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C865B6" w:rsidRDefault="00DF0B54" w:rsidP="006B204A">
      <w:pPr>
        <w:rPr>
          <w:lang w:val="es-DO"/>
        </w:rPr>
      </w:pPr>
      <w:bookmarkStart w:id="0" w:name="_Hlk123205458"/>
      <w:r w:rsidRPr="00C865B6">
        <w:rPr>
          <w:noProof/>
        </w:rPr>
        <w:drawing>
          <wp:anchor distT="0" distB="0" distL="114300" distR="114300" simplePos="0" relativeHeight="251658258" behindDoc="0" locked="0" layoutInCell="1" allowOverlap="1" wp14:anchorId="3F0A51DA" wp14:editId="7CF7F9DE">
            <wp:simplePos x="0" y="0"/>
            <wp:positionH relativeFrom="margin">
              <wp:align>center</wp:align>
            </wp:positionH>
            <wp:positionV relativeFrom="paragraph">
              <wp:posOffset>274955</wp:posOffset>
            </wp:positionV>
            <wp:extent cx="1280160" cy="1207770"/>
            <wp:effectExtent l="0" t="0" r="0" b="0"/>
            <wp:wrapNone/>
            <wp:docPr id="1" name="Imagen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C865B6" w:rsidRDefault="008D7F4E" w:rsidP="006B204A">
      <w:pPr>
        <w:rPr>
          <w:lang w:val="es-DO"/>
        </w:rPr>
      </w:pPr>
    </w:p>
    <w:p w14:paraId="1AC5E2C3" w14:textId="77777777" w:rsidR="008D7F4E" w:rsidRPr="00C865B6" w:rsidRDefault="008D7F4E" w:rsidP="006B204A">
      <w:pPr>
        <w:rPr>
          <w:lang w:val="es-DO"/>
        </w:rPr>
      </w:pPr>
    </w:p>
    <w:p w14:paraId="34990FAF" w14:textId="52B5DA41" w:rsidR="008D7F4E" w:rsidRPr="00C865B6" w:rsidRDefault="008D7F4E" w:rsidP="006B204A">
      <w:pPr>
        <w:rPr>
          <w:lang w:val="es-DO"/>
        </w:rPr>
      </w:pPr>
      <w:bookmarkStart w:id="1" w:name="_Hlk86404256"/>
      <w:bookmarkEnd w:id="1"/>
    </w:p>
    <w:p w14:paraId="6EFB72EE" w14:textId="272B2AD6" w:rsidR="008D7F4E" w:rsidRPr="00C865B6" w:rsidRDefault="008D7F4E" w:rsidP="006B204A">
      <w:pPr>
        <w:rPr>
          <w:lang w:val="es-DO"/>
        </w:rPr>
      </w:pPr>
    </w:p>
    <w:p w14:paraId="3F7503CE" w14:textId="172B5CFE" w:rsidR="008D7F4E" w:rsidRPr="00C865B6" w:rsidRDefault="008D7F4E" w:rsidP="006B204A">
      <w:pPr>
        <w:rPr>
          <w:lang w:val="es-DO"/>
        </w:rPr>
      </w:pPr>
    </w:p>
    <w:p w14:paraId="071FCCAE" w14:textId="759B330B" w:rsidR="008D7F4E" w:rsidRPr="00C865B6" w:rsidRDefault="00A63A00" w:rsidP="006B204A">
      <w:pPr>
        <w:rPr>
          <w:lang w:val="es-DO"/>
        </w:rPr>
      </w:pPr>
      <w:r w:rsidRPr="00C865B6">
        <w:rPr>
          <w:noProof/>
        </w:rPr>
        <mc:AlternateContent>
          <mc:Choice Requires="wps">
            <w:drawing>
              <wp:anchor distT="0" distB="0" distL="114300" distR="114300" simplePos="0" relativeHeight="251658244" behindDoc="0" locked="0" layoutInCell="1" allowOverlap="1" wp14:anchorId="49B1C421" wp14:editId="091888C5">
                <wp:simplePos x="0" y="0"/>
                <wp:positionH relativeFrom="margin">
                  <wp:align>center</wp:align>
                </wp:positionH>
                <wp:positionV relativeFrom="paragraph">
                  <wp:posOffset>11430</wp:posOffset>
                </wp:positionV>
                <wp:extent cx="1884680" cy="177165"/>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Cuadro de texto 6" o:spid="_x0000_s1026" type="#_x0000_t202" style="position:absolute;margin-left:0;margin-top:.9pt;width:148.4pt;height:13.95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69FBF6B1" w14:textId="7ADAC71B" w:rsidR="008D7F4E" w:rsidRPr="00C865B6" w:rsidRDefault="008D7F4E" w:rsidP="006B204A">
      <w:pPr>
        <w:rPr>
          <w:lang w:val="es-DO"/>
        </w:rPr>
      </w:pPr>
    </w:p>
    <w:p w14:paraId="0233C915" w14:textId="77777777" w:rsidR="008D7F4E" w:rsidRPr="00C865B6" w:rsidRDefault="008D7F4E" w:rsidP="006B204A">
      <w:pPr>
        <w:rPr>
          <w:lang w:val="es-DO"/>
        </w:rPr>
      </w:pPr>
    </w:p>
    <w:p w14:paraId="274DCED8" w14:textId="29760130" w:rsidR="004F2DD5" w:rsidRPr="00C865B6" w:rsidRDefault="00E7088E" w:rsidP="006B204A">
      <w:r w:rsidRPr="00C865B6">
        <w:rPr>
          <w:noProof/>
        </w:rPr>
        <mc:AlternateContent>
          <mc:Choice Requires="wps">
            <w:drawing>
              <wp:anchor distT="4294967295" distB="4294967295" distL="114300" distR="114300" simplePos="0" relativeHeight="251658248" behindDoc="0" locked="0" layoutInCell="1" allowOverlap="1" wp14:anchorId="209AF3DE" wp14:editId="6524D345">
                <wp:simplePos x="0" y="0"/>
                <wp:positionH relativeFrom="margin">
                  <wp:posOffset>2266950</wp:posOffset>
                </wp:positionH>
                <wp:positionV relativeFrom="paragraph">
                  <wp:posOffset>1550508</wp:posOffset>
                </wp:positionV>
                <wp:extent cx="463550" cy="0"/>
                <wp:effectExtent l="0" t="19050" r="31750" b="19050"/>
                <wp:wrapNone/>
                <wp:docPr id="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70A120E7" id="Conector recto 9" o:spid="_x0000_s1026" style="position:absolute;z-index:251658249;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8.5pt,122.1pt" to="21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" strokecolor="#c8b688" strokeweight="2.25pt">
                <v:stroke joinstyle="miter"/>
                <o:lock v:ext="edit" shapetype="f"/>
                <w10:wrap anchorx="margin"/>
              </v:line>
            </w:pict>
          </mc:Fallback>
        </mc:AlternateContent>
      </w:r>
      <w:r w:rsidR="00DA6C2F" w:rsidRPr="00C865B6">
        <w:rPr>
          <w:noProof/>
        </w:rPr>
        <mc:AlternateContent>
          <mc:Choice Requires="wps">
            <w:drawing>
              <wp:anchor distT="0" distB="0" distL="114300" distR="114300" simplePos="0" relativeHeight="251658243" behindDoc="0" locked="0" layoutInCell="1" allowOverlap="1" wp14:anchorId="6B2EB822" wp14:editId="7FBDA475">
                <wp:simplePos x="0" y="0"/>
                <wp:positionH relativeFrom="margin">
                  <wp:align>center</wp:align>
                </wp:positionH>
                <wp:positionV relativeFrom="paragraph">
                  <wp:posOffset>1739900</wp:posOffset>
                </wp:positionV>
                <wp:extent cx="3070747" cy="390496"/>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3070747" cy="390496"/>
                        </a:xfrm>
                        <a:prstGeom prst="rect">
                          <a:avLst/>
                        </a:prstGeom>
                      </wps:spPr>
                      <wps:txbx>
                        <w:txbxContent>
                          <w:p w14:paraId="50ABDE0F" w14:textId="2C1B9E46" w:rsidR="008D7F4E" w:rsidRPr="00F36012" w:rsidRDefault="008D7F4E" w:rsidP="00151607">
                            <w:pPr>
                              <w:spacing w:before="20"/>
                              <w:ind w:left="14"/>
                              <w:jc w:val="center"/>
                              <w:rPr>
                                <w:b/>
                                <w:bCs/>
                                <w:color w:val="D5B788"/>
                                <w:spacing w:val="74"/>
                                <w:kern w:val="24"/>
                                <w:sz w:val="28"/>
                                <w:szCs w:val="28"/>
                              </w:rPr>
                            </w:pPr>
                            <w:r w:rsidRPr="00F36012">
                              <w:rPr>
                                <w:b/>
                                <w:bCs/>
                                <w:color w:val="D5B788"/>
                                <w:spacing w:val="74"/>
                                <w:kern w:val="24"/>
                                <w:sz w:val="28"/>
                                <w:szCs w:val="28"/>
                              </w:rPr>
                              <w:t>A</w:t>
                            </w:r>
                            <w:r w:rsidR="00AA7013">
                              <w:rPr>
                                <w:b/>
                                <w:bCs/>
                                <w:color w:val="D5B788"/>
                                <w:spacing w:val="74"/>
                                <w:kern w:val="24"/>
                                <w:sz w:val="28"/>
                                <w:szCs w:val="28"/>
                              </w:rPr>
                              <w:t>ño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7C5C5D">
                              <w:rPr>
                                <w:b/>
                                <w:bCs/>
                                <w:color w:val="D5B788"/>
                                <w:spacing w:val="28"/>
                                <w:kern w:val="24"/>
                                <w:sz w:val="28"/>
                                <w:szCs w:val="28"/>
                              </w:rPr>
                              <w:t>3</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Cuadro de texto 5" o:spid="_x0000_s1027" type="#_x0000_t202" style="position:absolute;margin-left:0;margin-top:137pt;width:241.8pt;height:30.75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" filled="f" stroked="f">
                <v:textbox inset="0,1pt,0,0">
                  <w:txbxContent>
                    <w:p w14:paraId="50ABDE0F" w14:textId="2C1B9E46" w:rsidR="008D7F4E" w:rsidRPr="00F36012" w:rsidRDefault="008D7F4E" w:rsidP="00151607">
                      <w:pPr>
                        <w:spacing w:before="20"/>
                        <w:ind w:left="14"/>
                        <w:jc w:val="center"/>
                        <w:rPr>
                          <w:b/>
                          <w:bCs/>
                          <w:color w:val="D5B788"/>
                          <w:spacing w:val="74"/>
                          <w:kern w:val="24"/>
                          <w:sz w:val="28"/>
                          <w:szCs w:val="28"/>
                        </w:rPr>
                      </w:pPr>
                      <w:r w:rsidRPr="00F36012">
                        <w:rPr>
                          <w:b/>
                          <w:bCs/>
                          <w:color w:val="D5B788"/>
                          <w:spacing w:val="74"/>
                          <w:kern w:val="24"/>
                          <w:sz w:val="28"/>
                          <w:szCs w:val="28"/>
                        </w:rPr>
                        <w:t>A</w:t>
                      </w:r>
                      <w:r w:rsidR="00AA7013">
                        <w:rPr>
                          <w:b/>
                          <w:bCs/>
                          <w:color w:val="D5B788"/>
                          <w:spacing w:val="74"/>
                          <w:kern w:val="24"/>
                          <w:sz w:val="28"/>
                          <w:szCs w:val="28"/>
                        </w:rPr>
                        <w:t>ño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7C5C5D">
                        <w:rPr>
                          <w:b/>
                          <w:bCs/>
                          <w:color w:val="D5B788"/>
                          <w:spacing w:val="28"/>
                          <w:kern w:val="24"/>
                          <w:sz w:val="28"/>
                          <w:szCs w:val="28"/>
                        </w:rPr>
                        <w:t>3</w:t>
                      </w:r>
                    </w:p>
                  </w:txbxContent>
                </v:textbox>
                <w10:wrap anchorx="margin"/>
              </v:shape>
            </w:pict>
          </mc:Fallback>
        </mc:AlternateContent>
      </w:r>
      <w:r w:rsidR="00DA6C2F" w:rsidRPr="00C865B6">
        <w:rPr>
          <w:noProof/>
        </w:rPr>
        <mc:AlternateContent>
          <mc:Choice Requires="wps">
            <w:drawing>
              <wp:anchor distT="0" distB="0" distL="114300" distR="114300" simplePos="0" relativeHeight="251658242" behindDoc="0" locked="0" layoutInCell="1" allowOverlap="1" wp14:anchorId="0C109D41" wp14:editId="7BC62140">
                <wp:simplePos x="0" y="0"/>
                <wp:positionH relativeFrom="margin">
                  <wp:align>center</wp:align>
                </wp:positionH>
                <wp:positionV relativeFrom="paragraph">
                  <wp:posOffset>511810</wp:posOffset>
                </wp:positionV>
                <wp:extent cx="5758815" cy="985651"/>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Cuadro de texto 4" o:spid="_x0000_s1028" type="#_x0000_t202" style="position:absolute;margin-left:0;margin-top:40.3pt;width:453.45pt;height:77.6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w10:wrap anchorx="margin"/>
              </v:shape>
            </w:pict>
          </mc:Fallback>
        </mc:AlternateContent>
      </w:r>
      <w:r w:rsidR="006160B6" w:rsidRPr="00C865B6">
        <w:rPr>
          <w:noProof/>
        </w:rPr>
        <mc:AlternateContent>
          <mc:Choice Requires="wps">
            <w:drawing>
              <wp:anchor distT="0" distB="0" distL="114300" distR="114300" simplePos="0" relativeHeight="251658247" behindDoc="0" locked="0" layoutInCell="1" allowOverlap="1" wp14:anchorId="4B9C2ACC" wp14:editId="6230B0DD">
                <wp:simplePos x="0" y="0"/>
                <wp:positionH relativeFrom="column">
                  <wp:posOffset>4719955</wp:posOffset>
                </wp:positionH>
                <wp:positionV relativeFrom="paragraph">
                  <wp:posOffset>8886825</wp:posOffset>
                </wp:positionV>
                <wp:extent cx="542925" cy="509270"/>
                <wp:effectExtent l="0" t="0" r="9525" b="5080"/>
                <wp:wrapNone/>
                <wp:docPr id="44" name="Forma lib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shape w14:anchorId="6A1DA4F6" id="Forma libre: forma 44" o:spid="_x0000_s1026" style="position:absolute;margin-left:371.65pt;margin-top:699.75pt;width:42.75pt;height:40.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8D7F4E" w:rsidRPr="00C865B6">
        <w:rPr>
          <w:lang w:val="es-DO"/>
        </w:rPr>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r w:rsidR="004F2DD5" w:rsidRPr="00C865B6">
        <w:tab/>
      </w:r>
    </w:p>
    <w:p w14:paraId="6F050B88" w14:textId="656207D5" w:rsidR="004F2DD5" w:rsidRPr="00C865B6" w:rsidRDefault="0086267D" w:rsidP="006B204A">
      <w:r w:rsidRPr="00C865B6">
        <w:rPr>
          <w:noProof/>
        </w:rPr>
        <w:drawing>
          <wp:anchor distT="0" distB="0" distL="114300" distR="114300" simplePos="0" relativeHeight="251658259" behindDoc="0" locked="0" layoutInCell="1" allowOverlap="1" wp14:anchorId="3B8AB68D" wp14:editId="6E39DF79">
            <wp:simplePos x="0" y="0"/>
            <wp:positionH relativeFrom="margin">
              <wp:align>right</wp:align>
            </wp:positionH>
            <wp:positionV relativeFrom="paragraph">
              <wp:posOffset>133350</wp:posOffset>
            </wp:positionV>
            <wp:extent cx="2000250" cy="901065"/>
            <wp:effectExtent l="0" t="0" r="0" b="0"/>
            <wp:wrapNone/>
            <wp:docPr id="13" name="Imagen 13"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Imagen que contiene Logotipo&#10;&#10;Descripción generada automáticamente"/>
                    <pic:cNvPicPr/>
                  </pic:nvPicPr>
                  <pic:blipFill rotWithShape="1">
                    <a:blip r:embed="rId12" cstate="print">
                      <a:extLst>
                        <a:ext uri="{28A0092B-C50C-407E-A947-70E740481C1C}">
                          <a14:useLocalDpi xmlns:a14="http://schemas.microsoft.com/office/drawing/2010/main" val="0"/>
                        </a:ext>
                      </a:extLst>
                    </a:blip>
                    <a:srcRect t="12641"/>
                    <a:stretch/>
                  </pic:blipFill>
                  <pic:spPr bwMode="auto">
                    <a:xfrm>
                      <a:off x="0" y="0"/>
                      <a:ext cx="2000250" cy="901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865B6">
        <w:rPr>
          <w:noProof/>
        </w:rPr>
        <mc:AlternateContent>
          <mc:Choice Requires="wpg">
            <w:drawing>
              <wp:anchor distT="0" distB="0" distL="114300" distR="114300" simplePos="0" relativeHeight="251658262" behindDoc="0" locked="0" layoutInCell="1" allowOverlap="1" wp14:anchorId="22E2C515" wp14:editId="1B2ED1F8">
                <wp:simplePos x="0" y="0"/>
                <wp:positionH relativeFrom="margin">
                  <wp:align>left</wp:align>
                </wp:positionH>
                <wp:positionV relativeFrom="paragraph">
                  <wp:posOffset>29655</wp:posOffset>
                </wp:positionV>
                <wp:extent cx="2527300" cy="1005840"/>
                <wp:effectExtent l="0" t="0" r="0" b="3810"/>
                <wp:wrapNone/>
                <wp:docPr id="37" name="Grupo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upo 37" o:spid="_x0000_s1029" style="position:absolute;margin-left:0;margin-top:2.35pt;width:199pt;height:79.2pt;z-index:251658262;mso-position-horizontal:left;mso-position-horizontal-relative:margin;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4" o:title="Icon&#10;&#10;Description automatically generated"/>
                  </v:shape>
                </v:group>
                <w10:wrap anchorx="margin"/>
              </v:group>
            </w:pict>
          </mc:Fallback>
        </mc:AlternateContent>
      </w:r>
    </w:p>
    <w:p w14:paraId="17B5E9DF" w14:textId="42DB43A4" w:rsidR="008D7F4E" w:rsidRPr="00C865B6" w:rsidRDefault="008D7F4E" w:rsidP="006B204A">
      <w:pPr>
        <w:rPr>
          <w:lang w:val="es-DO"/>
        </w:rPr>
      </w:pPr>
      <w:r w:rsidRPr="00C865B6">
        <w:rPr>
          <w:lang w:val="es-DO"/>
        </w:rPr>
        <w:tab/>
      </w:r>
      <w:r w:rsidRPr="00C865B6">
        <w:rPr>
          <w:lang w:val="es-DO"/>
        </w:rPr>
        <w:tab/>
      </w:r>
      <w:r w:rsidRPr="00C865B6">
        <w:rPr>
          <w:lang w:val="es-DO"/>
        </w:rPr>
        <w:tab/>
      </w:r>
      <w:r w:rsidRPr="00C865B6">
        <w:rPr>
          <w:lang w:val="es-DO"/>
        </w:rPr>
        <w:tab/>
      </w:r>
      <w:r w:rsidRPr="00C865B6">
        <w:rPr>
          <w:lang w:val="es-DO"/>
        </w:rPr>
        <w:tab/>
      </w:r>
      <w:r w:rsidRPr="00C865B6">
        <w:rPr>
          <w:lang w:val="es-DO"/>
        </w:rPr>
        <w:tab/>
      </w:r>
      <w:r w:rsidRPr="00C865B6">
        <w:rPr>
          <w:lang w:val="es-DO"/>
        </w:rPr>
        <w:tab/>
      </w:r>
      <w:r w:rsidRPr="00C865B6">
        <w:rPr>
          <w:lang w:val="es-DO"/>
        </w:rPr>
        <w:tab/>
      </w:r>
      <w:r w:rsidRPr="00C865B6">
        <w:rPr>
          <w:lang w:val="es-DO"/>
        </w:rPr>
        <w:tab/>
      </w:r>
      <w:r w:rsidRPr="00C865B6">
        <w:rPr>
          <w:lang w:val="es-DO"/>
        </w:rPr>
        <w:tab/>
      </w:r>
      <w:r w:rsidRPr="00C865B6">
        <w:rPr>
          <w:lang w:val="es-DO"/>
        </w:rPr>
        <w:tab/>
      </w:r>
      <w:r w:rsidRPr="00C865B6">
        <w:rPr>
          <w:lang w:val="es-DO"/>
        </w:rPr>
        <w:tab/>
      </w:r>
      <w:r w:rsidRPr="00C865B6">
        <w:rPr>
          <w:lang w:val="es-DO"/>
        </w:rPr>
        <w:tab/>
      </w:r>
      <w:r w:rsidRPr="00C865B6">
        <w:rPr>
          <w:lang w:val="es-DO"/>
        </w:rPr>
        <w:tab/>
      </w:r>
      <w:r w:rsidRPr="00C865B6">
        <w:rPr>
          <w:lang w:val="es-DO"/>
        </w:rPr>
        <w:tab/>
      </w:r>
      <w:r w:rsidRPr="00C865B6">
        <w:rPr>
          <w:lang w:val="es-DO"/>
        </w:rPr>
        <w:tab/>
      </w:r>
      <w:r w:rsidRPr="00C865B6">
        <w:rPr>
          <w:lang w:val="es-DO"/>
        </w:rPr>
        <w:tab/>
      </w:r>
      <w:r w:rsidRPr="00C865B6">
        <w:rPr>
          <w:lang w:val="es-DO"/>
        </w:rPr>
        <w:tab/>
      </w:r>
      <w:r w:rsidRPr="00C865B6">
        <w:rPr>
          <w:lang w:val="es-DO"/>
        </w:rPr>
        <w:tab/>
      </w:r>
      <w:r w:rsidRPr="00C865B6">
        <w:rPr>
          <w:lang w:val="es-DO"/>
        </w:rPr>
        <w:tab/>
      </w:r>
      <w:r w:rsidRPr="00C865B6">
        <w:rPr>
          <w:lang w:val="es-DO"/>
        </w:rPr>
        <w:tab/>
      </w:r>
      <w:r w:rsidRPr="00C865B6">
        <w:rPr>
          <w:lang w:val="es-DO"/>
        </w:rPr>
        <w:tab/>
      </w:r>
      <w:r w:rsidRPr="00C865B6">
        <w:rPr>
          <w:lang w:val="es-DO"/>
        </w:rPr>
        <w:tab/>
      </w:r>
      <w:r w:rsidRPr="00C865B6">
        <w:rPr>
          <w:lang w:val="es-DO"/>
        </w:rPr>
        <w:tab/>
      </w:r>
      <w:r w:rsidRPr="00C865B6">
        <w:rPr>
          <w:lang w:val="es-DO"/>
        </w:rPr>
        <w:tab/>
      </w:r>
      <w:r w:rsidRPr="00C865B6">
        <w:rPr>
          <w:lang w:val="es-DO"/>
        </w:rPr>
        <w:tab/>
      </w:r>
    </w:p>
    <w:p w14:paraId="38D9CF2E" w14:textId="7585FBF3" w:rsidR="008D7F4E" w:rsidRPr="00C865B6" w:rsidRDefault="008D7F4E" w:rsidP="006B204A">
      <w:pPr>
        <w:rPr>
          <w:lang w:val="es-DO"/>
        </w:rPr>
      </w:pPr>
    </w:p>
    <w:p w14:paraId="16EDE6EA" w14:textId="51136D97" w:rsidR="008D7F4E" w:rsidRPr="00C865B6" w:rsidRDefault="008D7F4E" w:rsidP="006B204A">
      <w:pPr>
        <w:rPr>
          <w:b/>
          <w:bCs/>
          <w:lang w:val="es-DO"/>
        </w:rPr>
      </w:pPr>
    </w:p>
    <w:p w14:paraId="3FC05242" w14:textId="77777777" w:rsidR="008D7F4E" w:rsidRPr="00C865B6" w:rsidRDefault="008D7F4E" w:rsidP="006B204A">
      <w:pPr>
        <w:rPr>
          <w:lang w:val="es-DO"/>
        </w:rPr>
      </w:pPr>
    </w:p>
    <w:p w14:paraId="52109915" w14:textId="77777777" w:rsidR="008D7F4E" w:rsidRPr="00C865B6" w:rsidRDefault="008D7F4E" w:rsidP="006B204A">
      <w:pPr>
        <w:rPr>
          <w:lang w:val="es-DO"/>
        </w:rPr>
      </w:pPr>
    </w:p>
    <w:p w14:paraId="22DD7F53" w14:textId="11B7CA22" w:rsidR="008D7F4E" w:rsidRPr="00C865B6" w:rsidRDefault="008D7F4E" w:rsidP="006B204A">
      <w:pPr>
        <w:rPr>
          <w:lang w:val="es-DO"/>
        </w:rPr>
      </w:pPr>
    </w:p>
    <w:p w14:paraId="266A4AE7" w14:textId="5784A2EE" w:rsidR="008D7F4E" w:rsidRPr="00C865B6" w:rsidRDefault="008D7F4E" w:rsidP="006B204A">
      <w:pPr>
        <w:rPr>
          <w:lang w:val="es-DO"/>
        </w:rPr>
      </w:pPr>
    </w:p>
    <w:p w14:paraId="56C838CA" w14:textId="59180D27" w:rsidR="008D7F4E" w:rsidRPr="00C865B6" w:rsidRDefault="008D7F4E" w:rsidP="006B204A">
      <w:pPr>
        <w:rPr>
          <w:lang w:val="es-DO"/>
        </w:rPr>
      </w:pPr>
    </w:p>
    <w:p w14:paraId="5A37720D" w14:textId="305BC668" w:rsidR="008D7F4E" w:rsidRPr="00C865B6" w:rsidRDefault="008D7F4E" w:rsidP="006B204A">
      <w:pPr>
        <w:rPr>
          <w:lang w:val="es-DO"/>
        </w:rPr>
      </w:pPr>
    </w:p>
    <w:p w14:paraId="1C1F404E" w14:textId="6EBA6B68" w:rsidR="008D7F4E" w:rsidRPr="00C865B6" w:rsidRDefault="00654164" w:rsidP="006B204A">
      <w:pPr>
        <w:rPr>
          <w:lang w:val="es-DO"/>
        </w:rPr>
      </w:pPr>
      <w:r w:rsidRPr="00C865B6">
        <w:rPr>
          <w:noProof/>
        </w:rPr>
        <mc:AlternateContent>
          <mc:Choice Requires="wps">
            <w:drawing>
              <wp:anchor distT="0" distB="0" distL="114300" distR="114300" simplePos="0" relativeHeight="251658241" behindDoc="0" locked="0" layoutInCell="1" allowOverlap="1" wp14:anchorId="611EEDAC" wp14:editId="45529743">
                <wp:simplePos x="0" y="0"/>
                <wp:positionH relativeFrom="margin">
                  <wp:align>center</wp:align>
                </wp:positionH>
                <wp:positionV relativeFrom="paragraph">
                  <wp:posOffset>201930</wp:posOffset>
                </wp:positionV>
                <wp:extent cx="5758815" cy="985651"/>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Cuadro de texto 7" o:spid="_x0000_s1034" type="#_x0000_t202" style="position:absolute;margin-left:0;margin-top:15.9pt;width:453.45pt;height:77.6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&#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w10:wrap anchorx="margin"/>
              </v:shape>
            </w:pict>
          </mc:Fallback>
        </mc:AlternateContent>
      </w:r>
    </w:p>
    <w:p w14:paraId="75F2B32B" w14:textId="0C1187B8" w:rsidR="008D7F4E" w:rsidRPr="00C865B6" w:rsidRDefault="008D7F4E" w:rsidP="006B204A">
      <w:pPr>
        <w:rPr>
          <w:b/>
          <w:bCs/>
          <w:lang w:val="es-DO"/>
        </w:rPr>
      </w:pPr>
    </w:p>
    <w:p w14:paraId="7AD079B8" w14:textId="0286F320" w:rsidR="008D7F4E" w:rsidRPr="00C865B6" w:rsidRDefault="008D7F4E" w:rsidP="006B204A">
      <w:pPr>
        <w:rPr>
          <w:lang w:val="es-DO"/>
        </w:rPr>
      </w:pPr>
    </w:p>
    <w:p w14:paraId="2ADA86D9" w14:textId="17D9F279" w:rsidR="008D7F4E" w:rsidRPr="00C865B6" w:rsidRDefault="008D7F4E" w:rsidP="006B204A">
      <w:pPr>
        <w:rPr>
          <w:b/>
          <w:bCs/>
          <w:lang w:val="es-DO"/>
        </w:rPr>
      </w:pPr>
    </w:p>
    <w:p w14:paraId="163CEF29" w14:textId="7ADC6695" w:rsidR="00E739F8" w:rsidRPr="00C865B6" w:rsidRDefault="001E07B9" w:rsidP="006B204A">
      <w:pPr>
        <w:rPr>
          <w:b/>
          <w:bCs/>
          <w:lang w:val="es-DO"/>
        </w:rPr>
      </w:pPr>
      <w:r w:rsidRPr="00C865B6">
        <w:rPr>
          <w:noProof/>
        </w:rPr>
        <mc:AlternateContent>
          <mc:Choice Requires="wps">
            <w:drawing>
              <wp:anchor distT="4294967295" distB="4294967295" distL="114300" distR="114300" simplePos="0" relativeHeight="251658249" behindDoc="0" locked="0" layoutInCell="1" allowOverlap="1" wp14:anchorId="4E0C23B7" wp14:editId="1AB958CC">
                <wp:simplePos x="0" y="0"/>
                <wp:positionH relativeFrom="margin">
                  <wp:align>center</wp:align>
                </wp:positionH>
                <wp:positionV relativeFrom="paragraph">
                  <wp:posOffset>131445</wp:posOffset>
                </wp:positionV>
                <wp:extent cx="463550" cy="0"/>
                <wp:effectExtent l="0" t="19050" r="31750" b="19050"/>
                <wp:wrapNone/>
                <wp:docPr id="22" name="Conector rec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34B30C94" id="Conector recto 22" o:spid="_x0000_s1026" style="position:absolute;z-index:25165825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0.35pt" to="36.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" strokecolor="#c8b688" strokeweight="2.25pt">
                <v:stroke joinstyle="miter"/>
                <o:lock v:ext="edit" shapetype="f"/>
                <w10:wrap anchorx="margin"/>
              </v:line>
            </w:pict>
          </mc:Fallback>
        </mc:AlternateContent>
      </w:r>
    </w:p>
    <w:p w14:paraId="3A86A8D9" w14:textId="1EB68358" w:rsidR="00E739F8" w:rsidRPr="00C865B6" w:rsidRDefault="00AA7013" w:rsidP="006B204A">
      <w:pPr>
        <w:rPr>
          <w:b/>
          <w:bCs/>
          <w:lang w:val="es-DO"/>
        </w:rPr>
      </w:pPr>
      <w:r w:rsidRPr="00C865B6">
        <w:rPr>
          <w:noProof/>
        </w:rPr>
        <mc:AlternateContent>
          <mc:Choice Requires="wps">
            <w:drawing>
              <wp:anchor distT="0" distB="0" distL="114300" distR="114300" simplePos="0" relativeHeight="251658245" behindDoc="0" locked="0" layoutInCell="1" allowOverlap="1" wp14:anchorId="65361376" wp14:editId="14A35B62">
                <wp:simplePos x="0" y="0"/>
                <wp:positionH relativeFrom="margin">
                  <wp:align>center</wp:align>
                </wp:positionH>
                <wp:positionV relativeFrom="paragraph">
                  <wp:posOffset>7620</wp:posOffset>
                </wp:positionV>
                <wp:extent cx="3138985" cy="417792"/>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3138985" cy="417792"/>
                        </a:xfrm>
                        <a:prstGeom prst="rect">
                          <a:avLst/>
                        </a:prstGeom>
                      </wps:spPr>
                      <wps:txbx>
                        <w:txbxContent>
                          <w:p w14:paraId="6B362718" w14:textId="6278D431" w:rsidR="008D7F4E" w:rsidRPr="005805BA" w:rsidRDefault="008D7F4E" w:rsidP="00151607">
                            <w:pPr>
                              <w:spacing w:before="20"/>
                              <w:ind w:left="14"/>
                              <w:jc w:val="center"/>
                              <w:rPr>
                                <w:b/>
                                <w:bCs/>
                                <w:color w:val="D5B788"/>
                                <w:spacing w:val="74"/>
                                <w:kern w:val="24"/>
                                <w:sz w:val="28"/>
                                <w:szCs w:val="28"/>
                              </w:rPr>
                            </w:pPr>
                            <w:r w:rsidRPr="005805BA">
                              <w:rPr>
                                <w:b/>
                                <w:bCs/>
                                <w:color w:val="D5B788"/>
                                <w:spacing w:val="74"/>
                                <w:kern w:val="24"/>
                                <w:sz w:val="28"/>
                                <w:szCs w:val="28"/>
                              </w:rPr>
                              <w:t>A</w:t>
                            </w:r>
                            <w:r w:rsidR="00AA7013">
                              <w:rPr>
                                <w:b/>
                                <w:bCs/>
                                <w:color w:val="D5B788"/>
                                <w:spacing w:val="74"/>
                                <w:kern w:val="24"/>
                                <w:sz w:val="28"/>
                                <w:szCs w:val="28"/>
                              </w:rPr>
                              <w:t>ño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7C5C5D">
                              <w:rPr>
                                <w:b/>
                                <w:bCs/>
                                <w:color w:val="D5B788"/>
                                <w:spacing w:val="28"/>
                                <w:kern w:val="24"/>
                                <w:sz w:val="28"/>
                                <w:szCs w:val="28"/>
                              </w:rPr>
                              <w:t>3</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Cuadro de texto 16" o:spid="_x0000_s1035" type="#_x0000_t202" style="position:absolute;margin-left:0;margin-top:.6pt;width:247.15pt;height:32.9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" filled="f" stroked="f">
                <v:textbox inset="0,1pt,0,0">
                  <w:txbxContent>
                    <w:p w14:paraId="6B362718" w14:textId="6278D431" w:rsidR="008D7F4E" w:rsidRPr="005805BA" w:rsidRDefault="008D7F4E" w:rsidP="00151607">
                      <w:pPr>
                        <w:spacing w:before="20"/>
                        <w:ind w:left="14"/>
                        <w:jc w:val="center"/>
                        <w:rPr>
                          <w:b/>
                          <w:bCs/>
                          <w:color w:val="D5B788"/>
                          <w:spacing w:val="74"/>
                          <w:kern w:val="24"/>
                          <w:sz w:val="28"/>
                          <w:szCs w:val="28"/>
                        </w:rPr>
                      </w:pPr>
                      <w:r w:rsidRPr="005805BA">
                        <w:rPr>
                          <w:b/>
                          <w:bCs/>
                          <w:color w:val="D5B788"/>
                          <w:spacing w:val="74"/>
                          <w:kern w:val="24"/>
                          <w:sz w:val="28"/>
                          <w:szCs w:val="28"/>
                        </w:rPr>
                        <w:t>A</w:t>
                      </w:r>
                      <w:r w:rsidR="00AA7013">
                        <w:rPr>
                          <w:b/>
                          <w:bCs/>
                          <w:color w:val="D5B788"/>
                          <w:spacing w:val="74"/>
                          <w:kern w:val="24"/>
                          <w:sz w:val="28"/>
                          <w:szCs w:val="28"/>
                        </w:rPr>
                        <w:t>ño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7C5C5D">
                        <w:rPr>
                          <w:b/>
                          <w:bCs/>
                          <w:color w:val="D5B788"/>
                          <w:spacing w:val="28"/>
                          <w:kern w:val="24"/>
                          <w:sz w:val="28"/>
                          <w:szCs w:val="28"/>
                        </w:rPr>
                        <w:t>3</w:t>
                      </w:r>
                    </w:p>
                  </w:txbxContent>
                </v:textbox>
                <w10:wrap anchorx="margin"/>
              </v:shape>
            </w:pict>
          </mc:Fallback>
        </mc:AlternateContent>
      </w:r>
    </w:p>
    <w:p w14:paraId="1C74082E" w14:textId="28C0782E" w:rsidR="008D7F4E" w:rsidRPr="00C865B6" w:rsidRDefault="008D7F4E" w:rsidP="006B204A">
      <w:pPr>
        <w:tabs>
          <w:tab w:val="left" w:pos="5229"/>
        </w:tabs>
        <w:rPr>
          <w:lang w:val="es-DO"/>
        </w:rPr>
      </w:pPr>
      <w:r w:rsidRPr="00C865B6">
        <w:rPr>
          <w:lang w:val="es-DO"/>
        </w:rPr>
        <w:tab/>
      </w:r>
      <w:r w:rsidRPr="00C865B6">
        <w:rPr>
          <w:lang w:val="es-DO"/>
        </w:rPr>
        <w:tab/>
      </w:r>
      <w:r w:rsidRPr="00C865B6">
        <w:rPr>
          <w:lang w:val="es-DO"/>
        </w:rPr>
        <w:tab/>
      </w:r>
    </w:p>
    <w:p w14:paraId="2A6A7BEB" w14:textId="206C2A0C" w:rsidR="008D7F4E" w:rsidRPr="00C865B6" w:rsidRDefault="008D7F4E" w:rsidP="006B204A">
      <w:pPr>
        <w:tabs>
          <w:tab w:val="left" w:pos="5229"/>
        </w:tabs>
        <w:rPr>
          <w:lang w:val="es-DO"/>
        </w:rPr>
      </w:pPr>
    </w:p>
    <w:p w14:paraId="5220AA7B" w14:textId="51FC36EA" w:rsidR="008D7F4E" w:rsidRPr="00C865B6" w:rsidRDefault="008D7F4E" w:rsidP="006B204A">
      <w:pPr>
        <w:tabs>
          <w:tab w:val="left" w:pos="5229"/>
        </w:tabs>
        <w:rPr>
          <w:lang w:val="es-DO"/>
        </w:rPr>
      </w:pPr>
    </w:p>
    <w:p w14:paraId="04CE79E8" w14:textId="4B64C890" w:rsidR="00B45B38" w:rsidRPr="00C865B6" w:rsidRDefault="00B45B38" w:rsidP="006B204A">
      <w:pPr>
        <w:tabs>
          <w:tab w:val="left" w:pos="5229"/>
        </w:tabs>
        <w:rPr>
          <w:lang w:val="es-DO"/>
        </w:rPr>
      </w:pPr>
    </w:p>
    <w:p w14:paraId="3DF5889C" w14:textId="6AA1CE4B" w:rsidR="00E7088E" w:rsidRDefault="00E7088E" w:rsidP="006B204A">
      <w:pPr>
        <w:tabs>
          <w:tab w:val="left" w:pos="5229"/>
        </w:tabs>
        <w:rPr>
          <w:lang w:val="es-DO"/>
        </w:rPr>
      </w:pPr>
    </w:p>
    <w:p w14:paraId="393DE279" w14:textId="77777777" w:rsidR="00E7088E" w:rsidRDefault="00E7088E" w:rsidP="006B204A">
      <w:pPr>
        <w:tabs>
          <w:tab w:val="left" w:pos="5229"/>
        </w:tabs>
        <w:rPr>
          <w:lang w:val="es-DO"/>
        </w:rPr>
      </w:pPr>
    </w:p>
    <w:p w14:paraId="4BDA5EE8" w14:textId="77777777" w:rsidR="00E7088E" w:rsidRDefault="00E7088E" w:rsidP="006B204A">
      <w:pPr>
        <w:tabs>
          <w:tab w:val="left" w:pos="5229"/>
        </w:tabs>
        <w:rPr>
          <w:lang w:val="es-DO"/>
        </w:rPr>
      </w:pPr>
    </w:p>
    <w:p w14:paraId="72DFBF9F" w14:textId="70704E83" w:rsidR="00E7088E" w:rsidRDefault="00E7088E" w:rsidP="006B204A">
      <w:pPr>
        <w:tabs>
          <w:tab w:val="left" w:pos="5229"/>
        </w:tabs>
        <w:rPr>
          <w:lang w:val="es-DO"/>
        </w:rPr>
      </w:pPr>
    </w:p>
    <w:p w14:paraId="529727D6" w14:textId="0CB9DBD2" w:rsidR="00E7088E" w:rsidRPr="00C865B6" w:rsidRDefault="00E7088E" w:rsidP="006B204A">
      <w:pPr>
        <w:tabs>
          <w:tab w:val="left" w:pos="5229"/>
        </w:tabs>
        <w:rPr>
          <w:lang w:val="es-DO"/>
        </w:rPr>
      </w:pPr>
    </w:p>
    <w:p w14:paraId="59F2CBAA" w14:textId="0D69A2B2" w:rsidR="00B45B38" w:rsidRPr="00C865B6" w:rsidRDefault="00E7088E" w:rsidP="006B204A">
      <w:pPr>
        <w:tabs>
          <w:tab w:val="left" w:pos="5229"/>
        </w:tabs>
        <w:jc w:val="center"/>
        <w:rPr>
          <w:lang w:val="es-DO"/>
        </w:rPr>
      </w:pPr>
      <w:r w:rsidRPr="00C865B6">
        <w:rPr>
          <w:noProof/>
        </w:rPr>
        <mc:AlternateContent>
          <mc:Choice Requires="wpg">
            <w:drawing>
              <wp:anchor distT="0" distB="0" distL="114300" distR="114300" simplePos="0" relativeHeight="251658260" behindDoc="0" locked="0" layoutInCell="1" allowOverlap="1" wp14:anchorId="668AD27C" wp14:editId="4FFDEE06">
                <wp:simplePos x="0" y="0"/>
                <wp:positionH relativeFrom="margin">
                  <wp:align>left</wp:align>
                </wp:positionH>
                <wp:positionV relativeFrom="paragraph">
                  <wp:posOffset>181786</wp:posOffset>
                </wp:positionV>
                <wp:extent cx="2527300" cy="1005840"/>
                <wp:effectExtent l="0" t="0" r="0" b="3810"/>
                <wp:wrapNone/>
                <wp:docPr id="29" name="Grupo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upo 29" o:spid="_x0000_s1036" style="position:absolute;left:0;text-align:left;margin-left:0;margin-top:14.3pt;width:199pt;height:79.2pt;z-index:251658260;mso-position-horizontal:left;mso-position-horizontal-relative:margin;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HVvr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x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">
                <v:shape id="Text Box 30" o:spid="_x0000_s1037"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3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4" o:title="Icon&#10;&#10;Description automatically generated"/>
                  </v:shape>
                </v:group>
                <w10:wrap anchorx="margin"/>
              </v:group>
            </w:pict>
          </mc:Fallback>
        </mc:AlternateContent>
      </w:r>
    </w:p>
    <w:p w14:paraId="6B439D31" w14:textId="5132CA59" w:rsidR="00B45B38" w:rsidRPr="00C865B6" w:rsidRDefault="00E7088E" w:rsidP="006B204A">
      <w:pPr>
        <w:tabs>
          <w:tab w:val="left" w:pos="5229"/>
        </w:tabs>
        <w:rPr>
          <w:lang w:val="es-DO"/>
        </w:rPr>
      </w:pPr>
      <w:r w:rsidRPr="00C865B6">
        <w:rPr>
          <w:noProof/>
        </w:rPr>
        <w:drawing>
          <wp:anchor distT="0" distB="0" distL="114300" distR="114300" simplePos="0" relativeHeight="251658261" behindDoc="0" locked="0" layoutInCell="1" allowOverlap="1" wp14:anchorId="38D28078" wp14:editId="2489A7FA">
            <wp:simplePos x="0" y="0"/>
            <wp:positionH relativeFrom="margin">
              <wp:align>right</wp:align>
            </wp:positionH>
            <wp:positionV relativeFrom="paragraph">
              <wp:posOffset>16970</wp:posOffset>
            </wp:positionV>
            <wp:extent cx="2000250" cy="901065"/>
            <wp:effectExtent l="0" t="0" r="0" b="0"/>
            <wp:wrapNone/>
            <wp:docPr id="17" name="Imagen 17"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Imagen que contiene Logotipo&#10;&#10;Descripción generada automáticamente"/>
                    <pic:cNvPicPr/>
                  </pic:nvPicPr>
                  <pic:blipFill rotWithShape="1">
                    <a:blip r:embed="rId12" cstate="print">
                      <a:extLst>
                        <a:ext uri="{28A0092B-C50C-407E-A947-70E740481C1C}">
                          <a14:useLocalDpi xmlns:a14="http://schemas.microsoft.com/office/drawing/2010/main" val="0"/>
                        </a:ext>
                      </a:extLst>
                    </a:blip>
                    <a:srcRect t="12641"/>
                    <a:stretch/>
                  </pic:blipFill>
                  <pic:spPr bwMode="auto">
                    <a:xfrm>
                      <a:off x="0" y="0"/>
                      <a:ext cx="2000250" cy="901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F960FC" w14:textId="273FCF1C" w:rsidR="008D7F4E" w:rsidRPr="00C865B6" w:rsidRDefault="008D7F4E" w:rsidP="006B204A">
      <w:pPr>
        <w:tabs>
          <w:tab w:val="left" w:pos="5229"/>
        </w:tabs>
        <w:rPr>
          <w:lang w:val="es-DO"/>
        </w:rPr>
      </w:pPr>
    </w:p>
    <w:bookmarkEnd w:id="0"/>
    <w:p w14:paraId="1A3EEBA4" w14:textId="77777777" w:rsidR="00BF7691" w:rsidRPr="00C865B6" w:rsidRDefault="00BF7691" w:rsidP="006B204A">
      <w:pPr>
        <w:rPr>
          <w:sz w:val="22"/>
          <w:szCs w:val="22"/>
          <w:lang w:val="es-DO"/>
        </w:rPr>
      </w:pPr>
    </w:p>
    <w:p w14:paraId="31E2FE32" w14:textId="426937EC" w:rsidR="00545797" w:rsidRPr="00A029EF" w:rsidRDefault="00545797" w:rsidP="006B204A">
      <w:pPr>
        <w:jc w:val="center"/>
        <w:rPr>
          <w:b/>
          <w:sz w:val="28"/>
          <w:lang w:val="es-DO"/>
        </w:rPr>
      </w:pPr>
      <w:r w:rsidRPr="00A029EF">
        <w:rPr>
          <w:b/>
          <w:sz w:val="28"/>
          <w:lang w:val="es-DO"/>
        </w:rPr>
        <w:lastRenderedPageBreak/>
        <w:t>TABLA DE CONTENIDO</w:t>
      </w:r>
    </w:p>
    <w:p w14:paraId="6C3E8713" w14:textId="043AA35F" w:rsidR="00545797" w:rsidRPr="00C865B6" w:rsidRDefault="00545797" w:rsidP="006B204A">
      <w:pPr>
        <w:rPr>
          <w:lang w:val="es-DO"/>
        </w:rPr>
      </w:pPr>
      <w:r w:rsidRPr="00C865B6">
        <w:rPr>
          <w:noProof/>
        </w:rPr>
        <mc:AlternateContent>
          <mc:Choice Requires="wps">
            <w:drawing>
              <wp:anchor distT="0" distB="0" distL="114300" distR="114300" simplePos="0" relativeHeight="251658246" behindDoc="0" locked="0" layoutInCell="1" allowOverlap="1" wp14:anchorId="1E07F231" wp14:editId="50714526">
                <wp:simplePos x="0" y="0"/>
                <wp:positionH relativeFrom="margin">
                  <wp:align>center</wp:align>
                </wp:positionH>
                <wp:positionV relativeFrom="paragraph">
                  <wp:posOffset>87127</wp:posOffset>
                </wp:positionV>
                <wp:extent cx="463550" cy="0"/>
                <wp:effectExtent l="0" t="19050" r="31750" b="19050"/>
                <wp:wrapNone/>
                <wp:docPr id="18" name="Conector rec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70E519DC" id="Conector recto 18" o:spid="_x0000_s1026" style="position:absolute;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85pt" to="3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Thccw2QAAAAUBAAAP&#10;AAAAZHJzL2Rvd25yZXYueG1sTI/NTsMwEITvSLyDtUjcqANFDQ1xKoSExAUohUOP23jzA/E6it0k&#10;vD2LOMBxdlYz3+Sb2XVqpCG0ng1cLhJQxKW3LdcG3t8eLm5AhYhssfNMBr4owKY4Pckxs37iVxp3&#10;sVYSwiFDA02MfaZ1KBtyGBa+Jxav8oPDKHKotR1wknDX6askWWmHLUtDgz3dN1R+7o5Oel+efFqN&#10;j6vruP3Yo11P7XO1Neb8bL67BRVpjn/P8IMv6FAI08Ef2QbVGZAhUa7LFJS46VL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JOFxzDZAAAABQEAAA8AAAAAAAAAAAAA&#10;AAAAIAQAAGRycy9kb3ducmV2LnhtbFBLBQYAAAAABAAEAPMAAAAmBQAAAAA=&#10;" strokecolor="#ee2a24" strokeweight="2.25pt">
                <v:stroke joinstyle="miter"/>
                <w10:wrap anchorx="margin"/>
              </v:line>
            </w:pict>
          </mc:Fallback>
        </mc:AlternateContent>
      </w:r>
    </w:p>
    <w:sdt>
      <w:sdtPr>
        <w:rPr>
          <w:rFonts w:ascii="Times New Roman" w:eastAsiaTheme="minorHAnsi" w:hAnsi="Times New Roman" w:cs="Times New Roman"/>
          <w:color w:val="767171"/>
          <w:sz w:val="24"/>
          <w:szCs w:val="24"/>
        </w:rPr>
        <w:id w:val="-1111128147"/>
        <w:docPartObj>
          <w:docPartGallery w:val="Table of Contents"/>
          <w:docPartUnique/>
        </w:docPartObj>
      </w:sdtPr>
      <w:sdtContent>
        <w:p w14:paraId="13CA098D" w14:textId="2CF4978C" w:rsidR="00A630BC" w:rsidRPr="005D5C92" w:rsidRDefault="00A630BC" w:rsidP="006B204A">
          <w:pPr>
            <w:pStyle w:val="TtuloTDC"/>
            <w:rPr>
              <w:rFonts w:ascii="Times New Roman" w:hAnsi="Times New Roman" w:cs="Times New Roman"/>
              <w:color w:val="767171"/>
              <w:sz w:val="24"/>
              <w:szCs w:val="24"/>
            </w:rPr>
          </w:pPr>
        </w:p>
        <w:p w14:paraId="4389BE63" w14:textId="2358A7E7" w:rsidR="001A74DD" w:rsidRPr="001A74DD" w:rsidRDefault="00A630BC">
          <w:pPr>
            <w:pStyle w:val="TDC1"/>
            <w:tabs>
              <w:tab w:val="left" w:pos="440"/>
              <w:tab w:val="right" w:leader="dot" w:pos="7910"/>
            </w:tabs>
            <w:rPr>
              <w:rFonts w:eastAsiaTheme="minorEastAsia"/>
              <w:noProof/>
              <w:spacing w:val="0"/>
              <w:kern w:val="2"/>
              <w:lang w:val="es-DO" w:eastAsia="es-DO"/>
              <w14:ligatures w14:val="standardContextual"/>
            </w:rPr>
          </w:pPr>
          <w:r w:rsidRPr="005D5C92">
            <w:fldChar w:fldCharType="begin"/>
          </w:r>
          <w:r w:rsidRPr="005D5C92">
            <w:instrText xml:space="preserve"> TOC \o "1-3" \h \z \u </w:instrText>
          </w:r>
          <w:r w:rsidRPr="005D5C92">
            <w:fldChar w:fldCharType="separate"/>
          </w:r>
          <w:hyperlink w:anchor="_Toc155354596" w:history="1">
            <w:r w:rsidR="001A74DD" w:rsidRPr="001A74DD">
              <w:rPr>
                <w:rStyle w:val="Hipervnculo"/>
                <w:rFonts w:eastAsia="Calibri"/>
                <w:noProof/>
                <w:color w:val="767171"/>
                <w:lang w:val="es-DO"/>
              </w:rPr>
              <w:t>I.</w:t>
            </w:r>
            <w:r w:rsidR="001A74DD" w:rsidRPr="001A74DD">
              <w:rPr>
                <w:rFonts w:eastAsiaTheme="minorEastAsia"/>
                <w:noProof/>
                <w:spacing w:val="0"/>
                <w:kern w:val="2"/>
                <w:lang w:val="es-DO" w:eastAsia="es-DO"/>
                <w14:ligatures w14:val="standardContextual"/>
              </w:rPr>
              <w:tab/>
            </w:r>
            <w:r w:rsidR="001A74DD" w:rsidRPr="001A74DD">
              <w:rPr>
                <w:rStyle w:val="Hipervnculo"/>
                <w:rFonts w:eastAsia="Calibri"/>
                <w:noProof/>
                <w:color w:val="767171"/>
                <w:lang w:val="es-DO"/>
              </w:rPr>
              <w:t>RESUMEN EJECUTIVO</w:t>
            </w:r>
            <w:r w:rsidR="001A74DD" w:rsidRPr="001A74DD">
              <w:rPr>
                <w:noProof/>
                <w:webHidden/>
              </w:rPr>
              <w:tab/>
            </w:r>
            <w:r w:rsidR="001A74DD" w:rsidRPr="001A74DD">
              <w:rPr>
                <w:noProof/>
                <w:webHidden/>
              </w:rPr>
              <w:fldChar w:fldCharType="begin"/>
            </w:r>
            <w:r w:rsidR="001A74DD" w:rsidRPr="001A74DD">
              <w:rPr>
                <w:noProof/>
                <w:webHidden/>
              </w:rPr>
              <w:instrText xml:space="preserve"> PAGEREF _Toc155354596 \h </w:instrText>
            </w:r>
            <w:r w:rsidR="001A74DD" w:rsidRPr="001A74DD">
              <w:rPr>
                <w:noProof/>
                <w:webHidden/>
              </w:rPr>
            </w:r>
            <w:r w:rsidR="001A74DD" w:rsidRPr="001A74DD">
              <w:rPr>
                <w:noProof/>
                <w:webHidden/>
              </w:rPr>
              <w:fldChar w:fldCharType="separate"/>
            </w:r>
            <w:r w:rsidR="001A74DD" w:rsidRPr="001A74DD">
              <w:rPr>
                <w:noProof/>
                <w:webHidden/>
              </w:rPr>
              <w:t>1</w:t>
            </w:r>
            <w:r w:rsidR="001A74DD" w:rsidRPr="001A74DD">
              <w:rPr>
                <w:noProof/>
                <w:webHidden/>
              </w:rPr>
              <w:fldChar w:fldCharType="end"/>
            </w:r>
          </w:hyperlink>
        </w:p>
        <w:p w14:paraId="1659A8FE" w14:textId="28E81EE4" w:rsidR="001A74DD" w:rsidRPr="001A74DD" w:rsidRDefault="001A74DD">
          <w:pPr>
            <w:pStyle w:val="TDC2"/>
            <w:rPr>
              <w:rFonts w:eastAsiaTheme="minorEastAsia"/>
              <w:kern w:val="2"/>
              <w14:ligatures w14:val="standardContextual"/>
            </w:rPr>
          </w:pPr>
          <w:hyperlink w:anchor="_Toc155354597" w:history="1">
            <w:r w:rsidRPr="001A74DD">
              <w:rPr>
                <w:rStyle w:val="Hipervnculo"/>
                <w:color w:val="767171"/>
              </w:rPr>
              <w:t xml:space="preserve">Principales logros </w:t>
            </w:r>
            <w:r>
              <w:rPr>
                <w:rStyle w:val="Hipervnculo"/>
                <w:color w:val="767171"/>
              </w:rPr>
              <w:t>a</w:t>
            </w:r>
            <w:r w:rsidRPr="001A74DD">
              <w:rPr>
                <w:rStyle w:val="Hipervnculo"/>
                <w:color w:val="767171"/>
              </w:rPr>
              <w:t>cumulados de la Superintendencia de Bancos desde el periodo 2020 al 2023</w:t>
            </w:r>
            <w:r w:rsidRPr="001A74DD">
              <w:rPr>
                <w:webHidden/>
              </w:rPr>
              <w:tab/>
            </w:r>
            <w:r w:rsidRPr="001A74DD">
              <w:rPr>
                <w:webHidden/>
              </w:rPr>
              <w:fldChar w:fldCharType="begin"/>
            </w:r>
            <w:r w:rsidRPr="001A74DD">
              <w:rPr>
                <w:webHidden/>
              </w:rPr>
              <w:instrText xml:space="preserve"> PAGEREF _Toc155354597 \h </w:instrText>
            </w:r>
            <w:r w:rsidRPr="001A74DD">
              <w:rPr>
                <w:webHidden/>
              </w:rPr>
            </w:r>
            <w:r w:rsidRPr="001A74DD">
              <w:rPr>
                <w:webHidden/>
              </w:rPr>
              <w:fldChar w:fldCharType="separate"/>
            </w:r>
            <w:r w:rsidRPr="001A74DD">
              <w:rPr>
                <w:webHidden/>
              </w:rPr>
              <w:t>6</w:t>
            </w:r>
            <w:r w:rsidRPr="001A74DD">
              <w:rPr>
                <w:webHidden/>
              </w:rPr>
              <w:fldChar w:fldCharType="end"/>
            </w:r>
          </w:hyperlink>
        </w:p>
        <w:p w14:paraId="08B4E7A0" w14:textId="0928E0FD" w:rsidR="001A74DD" w:rsidRPr="001A74DD" w:rsidRDefault="001A74DD">
          <w:pPr>
            <w:pStyle w:val="TDC2"/>
            <w:rPr>
              <w:rFonts w:eastAsiaTheme="minorEastAsia"/>
              <w:kern w:val="2"/>
              <w14:ligatures w14:val="standardContextual"/>
            </w:rPr>
          </w:pPr>
          <w:hyperlink w:anchor="_Toc155354598" w:history="1">
            <w:r w:rsidRPr="001A74DD">
              <w:rPr>
                <w:rStyle w:val="Hipervnculo"/>
                <w:color w:val="767171"/>
              </w:rPr>
              <w:t>Principales logros de la Superintendencia de Bancos durante el periodo 2023</w:t>
            </w:r>
            <w:r w:rsidRPr="001A74DD">
              <w:rPr>
                <w:webHidden/>
              </w:rPr>
              <w:tab/>
            </w:r>
            <w:r w:rsidRPr="001A74DD">
              <w:rPr>
                <w:webHidden/>
              </w:rPr>
              <w:fldChar w:fldCharType="begin"/>
            </w:r>
            <w:r w:rsidRPr="001A74DD">
              <w:rPr>
                <w:webHidden/>
              </w:rPr>
              <w:instrText xml:space="preserve"> PAGEREF _Toc155354598 \h </w:instrText>
            </w:r>
            <w:r w:rsidRPr="001A74DD">
              <w:rPr>
                <w:webHidden/>
              </w:rPr>
            </w:r>
            <w:r w:rsidRPr="001A74DD">
              <w:rPr>
                <w:webHidden/>
              </w:rPr>
              <w:fldChar w:fldCharType="separate"/>
            </w:r>
            <w:r w:rsidRPr="001A74DD">
              <w:rPr>
                <w:webHidden/>
              </w:rPr>
              <w:t>12</w:t>
            </w:r>
            <w:r w:rsidRPr="001A74DD">
              <w:rPr>
                <w:webHidden/>
              </w:rPr>
              <w:fldChar w:fldCharType="end"/>
            </w:r>
          </w:hyperlink>
        </w:p>
        <w:p w14:paraId="1F26A651" w14:textId="7C4AA765" w:rsidR="001A74DD" w:rsidRPr="001A74DD" w:rsidRDefault="001A74DD">
          <w:pPr>
            <w:pStyle w:val="TDC1"/>
            <w:tabs>
              <w:tab w:val="right" w:leader="dot" w:pos="7910"/>
            </w:tabs>
            <w:rPr>
              <w:rFonts w:eastAsiaTheme="minorEastAsia"/>
              <w:noProof/>
              <w:spacing w:val="0"/>
              <w:kern w:val="2"/>
              <w:lang w:val="es-DO" w:eastAsia="es-DO"/>
              <w14:ligatures w14:val="standardContextual"/>
            </w:rPr>
          </w:pPr>
          <w:hyperlink w:anchor="_Toc155354599" w:history="1">
            <w:r w:rsidRPr="001A74DD">
              <w:rPr>
                <w:rStyle w:val="Hipervnculo"/>
                <w:rFonts w:eastAsia="Calibri"/>
                <w:noProof/>
                <w:color w:val="767171"/>
                <w:lang w:val="es-DO"/>
              </w:rPr>
              <w:t>II. INFORMACIÓN INSTITUCIONAL</w:t>
            </w:r>
            <w:r w:rsidRPr="001A74DD">
              <w:rPr>
                <w:noProof/>
                <w:webHidden/>
              </w:rPr>
              <w:tab/>
            </w:r>
            <w:r w:rsidRPr="001A74DD">
              <w:rPr>
                <w:noProof/>
                <w:webHidden/>
              </w:rPr>
              <w:fldChar w:fldCharType="begin"/>
            </w:r>
            <w:r w:rsidRPr="001A74DD">
              <w:rPr>
                <w:noProof/>
                <w:webHidden/>
              </w:rPr>
              <w:instrText xml:space="preserve"> PAGEREF _Toc155354599 \h </w:instrText>
            </w:r>
            <w:r w:rsidRPr="001A74DD">
              <w:rPr>
                <w:noProof/>
                <w:webHidden/>
              </w:rPr>
            </w:r>
            <w:r w:rsidRPr="001A74DD">
              <w:rPr>
                <w:noProof/>
                <w:webHidden/>
              </w:rPr>
              <w:fldChar w:fldCharType="separate"/>
            </w:r>
            <w:r w:rsidRPr="001A74DD">
              <w:rPr>
                <w:noProof/>
                <w:webHidden/>
              </w:rPr>
              <w:t>18</w:t>
            </w:r>
            <w:r w:rsidRPr="001A74DD">
              <w:rPr>
                <w:noProof/>
                <w:webHidden/>
              </w:rPr>
              <w:fldChar w:fldCharType="end"/>
            </w:r>
          </w:hyperlink>
        </w:p>
        <w:p w14:paraId="28C725F4" w14:textId="6DC0714E" w:rsidR="001A74DD" w:rsidRPr="001A74DD" w:rsidRDefault="001A74DD">
          <w:pPr>
            <w:pStyle w:val="TDC2"/>
            <w:rPr>
              <w:rFonts w:eastAsiaTheme="minorEastAsia"/>
              <w:kern w:val="2"/>
              <w14:ligatures w14:val="standardContextual"/>
            </w:rPr>
          </w:pPr>
          <w:hyperlink w:anchor="_Toc155354600" w:history="1">
            <w:r w:rsidRPr="001A74DD">
              <w:rPr>
                <w:rStyle w:val="Hipervnculo"/>
                <w:color w:val="767171"/>
              </w:rPr>
              <w:t>2.1 Marco filosófico institucional</w:t>
            </w:r>
            <w:r w:rsidRPr="001A74DD">
              <w:rPr>
                <w:webHidden/>
              </w:rPr>
              <w:tab/>
            </w:r>
            <w:r w:rsidRPr="001A74DD">
              <w:rPr>
                <w:webHidden/>
              </w:rPr>
              <w:fldChar w:fldCharType="begin"/>
            </w:r>
            <w:r w:rsidRPr="001A74DD">
              <w:rPr>
                <w:webHidden/>
              </w:rPr>
              <w:instrText xml:space="preserve"> PAGEREF _Toc155354600 \h </w:instrText>
            </w:r>
            <w:r w:rsidRPr="001A74DD">
              <w:rPr>
                <w:webHidden/>
              </w:rPr>
            </w:r>
            <w:r w:rsidRPr="001A74DD">
              <w:rPr>
                <w:webHidden/>
              </w:rPr>
              <w:fldChar w:fldCharType="separate"/>
            </w:r>
            <w:r w:rsidRPr="001A74DD">
              <w:rPr>
                <w:webHidden/>
              </w:rPr>
              <w:t>18</w:t>
            </w:r>
            <w:r w:rsidRPr="001A74DD">
              <w:rPr>
                <w:webHidden/>
              </w:rPr>
              <w:fldChar w:fldCharType="end"/>
            </w:r>
          </w:hyperlink>
        </w:p>
        <w:p w14:paraId="7B07C1C7" w14:textId="2ADC1306" w:rsidR="001A74DD" w:rsidRPr="001A74DD" w:rsidRDefault="001A74DD">
          <w:pPr>
            <w:pStyle w:val="TDC3"/>
            <w:tabs>
              <w:tab w:val="right" w:leader="dot" w:pos="7910"/>
            </w:tabs>
            <w:rPr>
              <w:rFonts w:ascii="Times New Roman" w:eastAsiaTheme="minorEastAsia" w:hAnsi="Times New Roman"/>
              <w:noProof/>
              <w:color w:val="767171"/>
              <w:kern w:val="2"/>
              <w:sz w:val="24"/>
              <w:szCs w:val="24"/>
              <w14:ligatures w14:val="standardContextual"/>
            </w:rPr>
          </w:pPr>
          <w:hyperlink w:anchor="_Toc155354601" w:history="1">
            <w:r w:rsidRPr="001A74DD">
              <w:rPr>
                <w:rStyle w:val="Hipervnculo"/>
                <w:rFonts w:ascii="Times New Roman" w:eastAsiaTheme="majorEastAsia" w:hAnsi="Times New Roman"/>
                <w:noProof/>
                <w:color w:val="767171"/>
                <w:spacing w:val="20"/>
                <w:sz w:val="24"/>
                <w:szCs w:val="24"/>
              </w:rPr>
              <w:t xml:space="preserve">A. </w:t>
            </w:r>
            <w:r w:rsidRPr="001A74DD">
              <w:rPr>
                <w:rStyle w:val="Hipervnculo"/>
                <w:rFonts w:ascii="Times New Roman" w:hAnsi="Times New Roman"/>
                <w:noProof/>
                <w:color w:val="767171"/>
                <w:spacing w:val="20"/>
                <w:sz w:val="24"/>
                <w:szCs w:val="24"/>
              </w:rPr>
              <w:t>Misión</w:t>
            </w:r>
            <w:r w:rsidRPr="001A74DD">
              <w:rPr>
                <w:rFonts w:ascii="Times New Roman" w:hAnsi="Times New Roman"/>
                <w:noProof/>
                <w:webHidden/>
                <w:color w:val="767171"/>
                <w:sz w:val="24"/>
                <w:szCs w:val="24"/>
              </w:rPr>
              <w:tab/>
            </w:r>
            <w:r w:rsidRPr="001A74DD">
              <w:rPr>
                <w:rFonts w:ascii="Times New Roman" w:hAnsi="Times New Roman"/>
                <w:noProof/>
                <w:webHidden/>
                <w:color w:val="767171"/>
                <w:sz w:val="24"/>
                <w:szCs w:val="24"/>
              </w:rPr>
              <w:fldChar w:fldCharType="begin"/>
            </w:r>
            <w:r w:rsidRPr="001A74DD">
              <w:rPr>
                <w:rFonts w:ascii="Times New Roman" w:hAnsi="Times New Roman"/>
                <w:noProof/>
                <w:webHidden/>
                <w:color w:val="767171"/>
                <w:sz w:val="24"/>
                <w:szCs w:val="24"/>
              </w:rPr>
              <w:instrText xml:space="preserve"> PAGEREF _Toc155354601 \h </w:instrText>
            </w:r>
            <w:r w:rsidRPr="001A74DD">
              <w:rPr>
                <w:rFonts w:ascii="Times New Roman" w:hAnsi="Times New Roman"/>
                <w:noProof/>
                <w:webHidden/>
                <w:color w:val="767171"/>
                <w:sz w:val="24"/>
                <w:szCs w:val="24"/>
              </w:rPr>
            </w:r>
            <w:r w:rsidRPr="001A74DD">
              <w:rPr>
                <w:rFonts w:ascii="Times New Roman" w:hAnsi="Times New Roman"/>
                <w:noProof/>
                <w:webHidden/>
                <w:color w:val="767171"/>
                <w:sz w:val="24"/>
                <w:szCs w:val="24"/>
              </w:rPr>
              <w:fldChar w:fldCharType="separate"/>
            </w:r>
            <w:r w:rsidRPr="001A74DD">
              <w:rPr>
                <w:rFonts w:ascii="Times New Roman" w:hAnsi="Times New Roman"/>
                <w:noProof/>
                <w:webHidden/>
                <w:color w:val="767171"/>
                <w:sz w:val="24"/>
                <w:szCs w:val="24"/>
              </w:rPr>
              <w:t>18</w:t>
            </w:r>
            <w:r w:rsidRPr="001A74DD">
              <w:rPr>
                <w:rFonts w:ascii="Times New Roman" w:hAnsi="Times New Roman"/>
                <w:noProof/>
                <w:webHidden/>
                <w:color w:val="767171"/>
                <w:sz w:val="24"/>
                <w:szCs w:val="24"/>
              </w:rPr>
              <w:fldChar w:fldCharType="end"/>
            </w:r>
          </w:hyperlink>
        </w:p>
        <w:p w14:paraId="73A1DBB6" w14:textId="4458FF47" w:rsidR="001A74DD" w:rsidRPr="001A74DD" w:rsidRDefault="001A74DD">
          <w:pPr>
            <w:pStyle w:val="TDC3"/>
            <w:tabs>
              <w:tab w:val="right" w:leader="dot" w:pos="7910"/>
            </w:tabs>
            <w:rPr>
              <w:rFonts w:ascii="Times New Roman" w:eastAsiaTheme="minorEastAsia" w:hAnsi="Times New Roman"/>
              <w:noProof/>
              <w:color w:val="767171"/>
              <w:kern w:val="2"/>
              <w:sz w:val="24"/>
              <w:szCs w:val="24"/>
              <w14:ligatures w14:val="standardContextual"/>
            </w:rPr>
          </w:pPr>
          <w:hyperlink w:anchor="_Toc155354602" w:history="1">
            <w:r w:rsidRPr="001A74DD">
              <w:rPr>
                <w:rStyle w:val="Hipervnculo"/>
                <w:rFonts w:ascii="Times New Roman" w:eastAsiaTheme="majorEastAsia" w:hAnsi="Times New Roman"/>
                <w:noProof/>
                <w:color w:val="767171"/>
                <w:spacing w:val="20"/>
                <w:sz w:val="24"/>
                <w:szCs w:val="24"/>
              </w:rPr>
              <w:t>B. Visión</w:t>
            </w:r>
            <w:r w:rsidRPr="001A74DD">
              <w:rPr>
                <w:rFonts w:ascii="Times New Roman" w:hAnsi="Times New Roman"/>
                <w:noProof/>
                <w:webHidden/>
                <w:color w:val="767171"/>
                <w:sz w:val="24"/>
                <w:szCs w:val="24"/>
              </w:rPr>
              <w:tab/>
            </w:r>
            <w:r w:rsidRPr="001A74DD">
              <w:rPr>
                <w:rFonts w:ascii="Times New Roman" w:hAnsi="Times New Roman"/>
                <w:noProof/>
                <w:webHidden/>
                <w:color w:val="767171"/>
                <w:sz w:val="24"/>
                <w:szCs w:val="24"/>
              </w:rPr>
              <w:fldChar w:fldCharType="begin"/>
            </w:r>
            <w:r w:rsidRPr="001A74DD">
              <w:rPr>
                <w:rFonts w:ascii="Times New Roman" w:hAnsi="Times New Roman"/>
                <w:noProof/>
                <w:webHidden/>
                <w:color w:val="767171"/>
                <w:sz w:val="24"/>
                <w:szCs w:val="24"/>
              </w:rPr>
              <w:instrText xml:space="preserve"> PAGEREF _Toc155354602 \h </w:instrText>
            </w:r>
            <w:r w:rsidRPr="001A74DD">
              <w:rPr>
                <w:rFonts w:ascii="Times New Roman" w:hAnsi="Times New Roman"/>
                <w:noProof/>
                <w:webHidden/>
                <w:color w:val="767171"/>
                <w:sz w:val="24"/>
                <w:szCs w:val="24"/>
              </w:rPr>
            </w:r>
            <w:r w:rsidRPr="001A74DD">
              <w:rPr>
                <w:rFonts w:ascii="Times New Roman" w:hAnsi="Times New Roman"/>
                <w:noProof/>
                <w:webHidden/>
                <w:color w:val="767171"/>
                <w:sz w:val="24"/>
                <w:szCs w:val="24"/>
              </w:rPr>
              <w:fldChar w:fldCharType="separate"/>
            </w:r>
            <w:r w:rsidRPr="001A74DD">
              <w:rPr>
                <w:rFonts w:ascii="Times New Roman" w:hAnsi="Times New Roman"/>
                <w:noProof/>
                <w:webHidden/>
                <w:color w:val="767171"/>
                <w:sz w:val="24"/>
                <w:szCs w:val="24"/>
              </w:rPr>
              <w:t>18</w:t>
            </w:r>
            <w:r w:rsidRPr="001A74DD">
              <w:rPr>
                <w:rFonts w:ascii="Times New Roman" w:hAnsi="Times New Roman"/>
                <w:noProof/>
                <w:webHidden/>
                <w:color w:val="767171"/>
                <w:sz w:val="24"/>
                <w:szCs w:val="24"/>
              </w:rPr>
              <w:fldChar w:fldCharType="end"/>
            </w:r>
          </w:hyperlink>
        </w:p>
        <w:p w14:paraId="2376CF07" w14:textId="0DB52028" w:rsidR="001A74DD" w:rsidRPr="001A74DD" w:rsidRDefault="001A74DD">
          <w:pPr>
            <w:pStyle w:val="TDC3"/>
            <w:tabs>
              <w:tab w:val="right" w:leader="dot" w:pos="7910"/>
            </w:tabs>
            <w:rPr>
              <w:rFonts w:ascii="Times New Roman" w:eastAsiaTheme="minorEastAsia" w:hAnsi="Times New Roman"/>
              <w:noProof/>
              <w:color w:val="767171"/>
              <w:kern w:val="2"/>
              <w:sz w:val="24"/>
              <w:szCs w:val="24"/>
              <w14:ligatures w14:val="standardContextual"/>
            </w:rPr>
          </w:pPr>
          <w:hyperlink w:anchor="_Toc155354603" w:history="1">
            <w:r w:rsidRPr="001A74DD">
              <w:rPr>
                <w:rStyle w:val="Hipervnculo"/>
                <w:rFonts w:ascii="Times New Roman" w:eastAsiaTheme="majorEastAsia" w:hAnsi="Times New Roman"/>
                <w:noProof/>
                <w:color w:val="767171"/>
                <w:spacing w:val="20"/>
                <w:sz w:val="24"/>
                <w:szCs w:val="24"/>
              </w:rPr>
              <w:t>C. Valores</w:t>
            </w:r>
            <w:r w:rsidRPr="001A74DD">
              <w:rPr>
                <w:rFonts w:ascii="Times New Roman" w:hAnsi="Times New Roman"/>
                <w:noProof/>
                <w:webHidden/>
                <w:color w:val="767171"/>
                <w:sz w:val="24"/>
                <w:szCs w:val="24"/>
              </w:rPr>
              <w:tab/>
            </w:r>
            <w:r w:rsidRPr="001A74DD">
              <w:rPr>
                <w:rFonts w:ascii="Times New Roman" w:hAnsi="Times New Roman"/>
                <w:noProof/>
                <w:webHidden/>
                <w:color w:val="767171"/>
                <w:sz w:val="24"/>
                <w:szCs w:val="24"/>
              </w:rPr>
              <w:fldChar w:fldCharType="begin"/>
            </w:r>
            <w:r w:rsidRPr="001A74DD">
              <w:rPr>
                <w:rFonts w:ascii="Times New Roman" w:hAnsi="Times New Roman"/>
                <w:noProof/>
                <w:webHidden/>
                <w:color w:val="767171"/>
                <w:sz w:val="24"/>
                <w:szCs w:val="24"/>
              </w:rPr>
              <w:instrText xml:space="preserve"> PAGEREF _Toc155354603 \h </w:instrText>
            </w:r>
            <w:r w:rsidRPr="001A74DD">
              <w:rPr>
                <w:rFonts w:ascii="Times New Roman" w:hAnsi="Times New Roman"/>
                <w:noProof/>
                <w:webHidden/>
                <w:color w:val="767171"/>
                <w:sz w:val="24"/>
                <w:szCs w:val="24"/>
              </w:rPr>
            </w:r>
            <w:r w:rsidRPr="001A74DD">
              <w:rPr>
                <w:rFonts w:ascii="Times New Roman" w:hAnsi="Times New Roman"/>
                <w:noProof/>
                <w:webHidden/>
                <w:color w:val="767171"/>
                <w:sz w:val="24"/>
                <w:szCs w:val="24"/>
              </w:rPr>
              <w:fldChar w:fldCharType="separate"/>
            </w:r>
            <w:r w:rsidRPr="001A74DD">
              <w:rPr>
                <w:rFonts w:ascii="Times New Roman" w:hAnsi="Times New Roman"/>
                <w:noProof/>
                <w:webHidden/>
                <w:color w:val="767171"/>
                <w:sz w:val="24"/>
                <w:szCs w:val="24"/>
              </w:rPr>
              <w:t>18</w:t>
            </w:r>
            <w:r w:rsidRPr="001A74DD">
              <w:rPr>
                <w:rFonts w:ascii="Times New Roman" w:hAnsi="Times New Roman"/>
                <w:noProof/>
                <w:webHidden/>
                <w:color w:val="767171"/>
                <w:sz w:val="24"/>
                <w:szCs w:val="24"/>
              </w:rPr>
              <w:fldChar w:fldCharType="end"/>
            </w:r>
          </w:hyperlink>
        </w:p>
        <w:p w14:paraId="1FF10767" w14:textId="14F9F2CE" w:rsidR="001A74DD" w:rsidRPr="001A74DD" w:rsidRDefault="001A74DD">
          <w:pPr>
            <w:pStyle w:val="TDC2"/>
            <w:rPr>
              <w:rFonts w:eastAsiaTheme="minorEastAsia"/>
              <w:kern w:val="2"/>
              <w14:ligatures w14:val="standardContextual"/>
            </w:rPr>
          </w:pPr>
          <w:hyperlink w:anchor="_Toc155354604" w:history="1">
            <w:r w:rsidRPr="001A74DD">
              <w:rPr>
                <w:rStyle w:val="Hipervnculo"/>
                <w:color w:val="767171"/>
              </w:rPr>
              <w:t>2.2 Base legal</w:t>
            </w:r>
            <w:r w:rsidRPr="001A74DD">
              <w:rPr>
                <w:webHidden/>
              </w:rPr>
              <w:tab/>
            </w:r>
            <w:r w:rsidRPr="001A74DD">
              <w:rPr>
                <w:webHidden/>
              </w:rPr>
              <w:fldChar w:fldCharType="begin"/>
            </w:r>
            <w:r w:rsidRPr="001A74DD">
              <w:rPr>
                <w:webHidden/>
              </w:rPr>
              <w:instrText xml:space="preserve"> PAGEREF _Toc155354604 \h </w:instrText>
            </w:r>
            <w:r w:rsidRPr="001A74DD">
              <w:rPr>
                <w:webHidden/>
              </w:rPr>
            </w:r>
            <w:r w:rsidRPr="001A74DD">
              <w:rPr>
                <w:webHidden/>
              </w:rPr>
              <w:fldChar w:fldCharType="separate"/>
            </w:r>
            <w:r w:rsidRPr="001A74DD">
              <w:rPr>
                <w:webHidden/>
              </w:rPr>
              <w:t>19</w:t>
            </w:r>
            <w:r w:rsidRPr="001A74DD">
              <w:rPr>
                <w:webHidden/>
              </w:rPr>
              <w:fldChar w:fldCharType="end"/>
            </w:r>
          </w:hyperlink>
        </w:p>
        <w:p w14:paraId="7CB5B54F" w14:textId="7FCC975E" w:rsidR="001A74DD" w:rsidRPr="001A74DD" w:rsidRDefault="001A74DD">
          <w:pPr>
            <w:pStyle w:val="TDC2"/>
            <w:rPr>
              <w:rFonts w:eastAsiaTheme="minorEastAsia"/>
              <w:kern w:val="2"/>
              <w14:ligatures w14:val="standardContextual"/>
            </w:rPr>
          </w:pPr>
          <w:hyperlink w:anchor="_Toc155354605" w:history="1">
            <w:r w:rsidRPr="001A74DD">
              <w:rPr>
                <w:rStyle w:val="Hipervnculo"/>
                <w:color w:val="767171"/>
              </w:rPr>
              <w:t>2.3 Estructura Organizativa</w:t>
            </w:r>
            <w:r w:rsidRPr="001A74DD">
              <w:rPr>
                <w:webHidden/>
              </w:rPr>
              <w:tab/>
            </w:r>
            <w:r w:rsidRPr="001A74DD">
              <w:rPr>
                <w:webHidden/>
              </w:rPr>
              <w:fldChar w:fldCharType="begin"/>
            </w:r>
            <w:r w:rsidRPr="001A74DD">
              <w:rPr>
                <w:webHidden/>
              </w:rPr>
              <w:instrText xml:space="preserve"> PAGEREF _Toc155354605 \h </w:instrText>
            </w:r>
            <w:r w:rsidRPr="001A74DD">
              <w:rPr>
                <w:webHidden/>
              </w:rPr>
            </w:r>
            <w:r w:rsidRPr="001A74DD">
              <w:rPr>
                <w:webHidden/>
              </w:rPr>
              <w:fldChar w:fldCharType="separate"/>
            </w:r>
            <w:r w:rsidRPr="001A74DD">
              <w:rPr>
                <w:webHidden/>
              </w:rPr>
              <w:t>20</w:t>
            </w:r>
            <w:r w:rsidRPr="001A74DD">
              <w:rPr>
                <w:webHidden/>
              </w:rPr>
              <w:fldChar w:fldCharType="end"/>
            </w:r>
          </w:hyperlink>
        </w:p>
        <w:p w14:paraId="61F98F0F" w14:textId="06724E83" w:rsidR="001A74DD" w:rsidRPr="001A74DD" w:rsidRDefault="001A74DD">
          <w:pPr>
            <w:pStyle w:val="TDC2"/>
            <w:rPr>
              <w:rFonts w:eastAsiaTheme="minorEastAsia"/>
              <w:kern w:val="2"/>
              <w14:ligatures w14:val="standardContextual"/>
            </w:rPr>
          </w:pPr>
          <w:hyperlink w:anchor="_Toc155354606" w:history="1">
            <w:r w:rsidRPr="001A74DD">
              <w:rPr>
                <w:rStyle w:val="Hipervnculo"/>
                <w:color w:val="767171"/>
              </w:rPr>
              <w:t>2.4 Planificación Estratégica Institucional</w:t>
            </w:r>
            <w:r w:rsidRPr="001A74DD">
              <w:rPr>
                <w:webHidden/>
              </w:rPr>
              <w:tab/>
            </w:r>
            <w:r w:rsidRPr="001A74DD">
              <w:rPr>
                <w:webHidden/>
              </w:rPr>
              <w:fldChar w:fldCharType="begin"/>
            </w:r>
            <w:r w:rsidRPr="001A74DD">
              <w:rPr>
                <w:webHidden/>
              </w:rPr>
              <w:instrText xml:space="preserve"> PAGEREF _Toc155354606 \h </w:instrText>
            </w:r>
            <w:r w:rsidRPr="001A74DD">
              <w:rPr>
                <w:webHidden/>
              </w:rPr>
            </w:r>
            <w:r w:rsidRPr="001A74DD">
              <w:rPr>
                <w:webHidden/>
              </w:rPr>
              <w:fldChar w:fldCharType="separate"/>
            </w:r>
            <w:r w:rsidRPr="001A74DD">
              <w:rPr>
                <w:webHidden/>
              </w:rPr>
              <w:t>20</w:t>
            </w:r>
            <w:r w:rsidRPr="001A74DD">
              <w:rPr>
                <w:webHidden/>
              </w:rPr>
              <w:fldChar w:fldCharType="end"/>
            </w:r>
          </w:hyperlink>
        </w:p>
        <w:p w14:paraId="3DF219ED" w14:textId="6A370086" w:rsidR="001A74DD" w:rsidRPr="001A74DD" w:rsidRDefault="001A74DD">
          <w:pPr>
            <w:pStyle w:val="TDC1"/>
            <w:tabs>
              <w:tab w:val="right" w:leader="dot" w:pos="7910"/>
            </w:tabs>
            <w:rPr>
              <w:rFonts w:eastAsiaTheme="minorEastAsia"/>
              <w:noProof/>
              <w:spacing w:val="0"/>
              <w:kern w:val="2"/>
              <w:lang w:val="es-DO" w:eastAsia="es-DO"/>
              <w14:ligatures w14:val="standardContextual"/>
            </w:rPr>
          </w:pPr>
          <w:hyperlink w:anchor="_Toc155354607" w:history="1">
            <w:r w:rsidRPr="001A74DD">
              <w:rPr>
                <w:rStyle w:val="Hipervnculo"/>
                <w:rFonts w:eastAsia="Calibri"/>
                <w:noProof/>
                <w:color w:val="767171"/>
                <w:lang w:val="es-DO"/>
              </w:rPr>
              <w:t>III. RESULTADOS MISIONALES</w:t>
            </w:r>
            <w:r w:rsidRPr="001A74DD">
              <w:rPr>
                <w:noProof/>
                <w:webHidden/>
              </w:rPr>
              <w:tab/>
            </w:r>
            <w:r w:rsidRPr="001A74DD">
              <w:rPr>
                <w:noProof/>
                <w:webHidden/>
              </w:rPr>
              <w:fldChar w:fldCharType="begin"/>
            </w:r>
            <w:r w:rsidRPr="001A74DD">
              <w:rPr>
                <w:noProof/>
                <w:webHidden/>
              </w:rPr>
              <w:instrText xml:space="preserve"> PAGEREF _Toc155354607 \h </w:instrText>
            </w:r>
            <w:r w:rsidRPr="001A74DD">
              <w:rPr>
                <w:noProof/>
                <w:webHidden/>
              </w:rPr>
            </w:r>
            <w:r w:rsidRPr="001A74DD">
              <w:rPr>
                <w:noProof/>
                <w:webHidden/>
              </w:rPr>
              <w:fldChar w:fldCharType="separate"/>
            </w:r>
            <w:r w:rsidRPr="001A74DD">
              <w:rPr>
                <w:noProof/>
                <w:webHidden/>
              </w:rPr>
              <w:t>23</w:t>
            </w:r>
            <w:r w:rsidRPr="001A74DD">
              <w:rPr>
                <w:noProof/>
                <w:webHidden/>
              </w:rPr>
              <w:fldChar w:fldCharType="end"/>
            </w:r>
          </w:hyperlink>
        </w:p>
        <w:p w14:paraId="0BD96D05" w14:textId="5C437756" w:rsidR="001A74DD" w:rsidRPr="001A74DD" w:rsidRDefault="001A74DD">
          <w:pPr>
            <w:pStyle w:val="TDC2"/>
            <w:rPr>
              <w:rFonts w:eastAsiaTheme="minorEastAsia"/>
              <w:kern w:val="2"/>
              <w14:ligatures w14:val="standardContextual"/>
            </w:rPr>
          </w:pPr>
          <w:hyperlink w:anchor="_Toc155354608" w:history="1">
            <w:r w:rsidRPr="001A74DD">
              <w:rPr>
                <w:rStyle w:val="Hipervnculo"/>
                <w:color w:val="767171"/>
              </w:rPr>
              <w:t>3.1 Desempeño del sector financiero</w:t>
            </w:r>
            <w:r w:rsidRPr="001A74DD">
              <w:rPr>
                <w:webHidden/>
              </w:rPr>
              <w:tab/>
            </w:r>
            <w:r w:rsidRPr="001A74DD">
              <w:rPr>
                <w:webHidden/>
              </w:rPr>
              <w:fldChar w:fldCharType="begin"/>
            </w:r>
            <w:r w:rsidRPr="001A74DD">
              <w:rPr>
                <w:webHidden/>
              </w:rPr>
              <w:instrText xml:space="preserve"> PAGEREF _Toc155354608 \h </w:instrText>
            </w:r>
            <w:r w:rsidRPr="001A74DD">
              <w:rPr>
                <w:webHidden/>
              </w:rPr>
            </w:r>
            <w:r w:rsidRPr="001A74DD">
              <w:rPr>
                <w:webHidden/>
              </w:rPr>
              <w:fldChar w:fldCharType="separate"/>
            </w:r>
            <w:r w:rsidRPr="001A74DD">
              <w:rPr>
                <w:webHidden/>
              </w:rPr>
              <w:t>23</w:t>
            </w:r>
            <w:r w:rsidRPr="001A74DD">
              <w:rPr>
                <w:webHidden/>
              </w:rPr>
              <w:fldChar w:fldCharType="end"/>
            </w:r>
          </w:hyperlink>
        </w:p>
        <w:p w14:paraId="2F381D14" w14:textId="51560C41" w:rsidR="001A74DD" w:rsidRPr="001A74DD" w:rsidRDefault="001A74DD">
          <w:pPr>
            <w:pStyle w:val="TDC2"/>
            <w:rPr>
              <w:rFonts w:eastAsiaTheme="minorEastAsia"/>
              <w:kern w:val="2"/>
              <w14:ligatures w14:val="standardContextual"/>
            </w:rPr>
          </w:pPr>
          <w:hyperlink w:anchor="_Toc155354609" w:history="1">
            <w:r w:rsidRPr="001A74DD">
              <w:rPr>
                <w:rStyle w:val="Hipervnculo"/>
                <w:color w:val="767171"/>
              </w:rPr>
              <w:t>3.2 Supervisión de entidades de intermediación financiera y cambiarias</w:t>
            </w:r>
            <w:r w:rsidRPr="001A74DD">
              <w:rPr>
                <w:webHidden/>
              </w:rPr>
              <w:tab/>
            </w:r>
            <w:r w:rsidRPr="001A74DD">
              <w:rPr>
                <w:webHidden/>
              </w:rPr>
              <w:fldChar w:fldCharType="begin"/>
            </w:r>
            <w:r w:rsidRPr="001A74DD">
              <w:rPr>
                <w:webHidden/>
              </w:rPr>
              <w:instrText xml:space="preserve"> PAGEREF _Toc155354609 \h </w:instrText>
            </w:r>
            <w:r w:rsidRPr="001A74DD">
              <w:rPr>
                <w:webHidden/>
              </w:rPr>
            </w:r>
            <w:r w:rsidRPr="001A74DD">
              <w:rPr>
                <w:webHidden/>
              </w:rPr>
              <w:fldChar w:fldCharType="separate"/>
            </w:r>
            <w:r w:rsidRPr="001A74DD">
              <w:rPr>
                <w:webHidden/>
              </w:rPr>
              <w:t>27</w:t>
            </w:r>
            <w:r w:rsidRPr="001A74DD">
              <w:rPr>
                <w:webHidden/>
              </w:rPr>
              <w:fldChar w:fldCharType="end"/>
            </w:r>
          </w:hyperlink>
        </w:p>
        <w:p w14:paraId="16C04DF4" w14:textId="237362F6" w:rsidR="001A74DD" w:rsidRPr="001A74DD" w:rsidRDefault="001A74DD">
          <w:pPr>
            <w:pStyle w:val="TDC2"/>
            <w:rPr>
              <w:rFonts w:eastAsiaTheme="minorEastAsia"/>
              <w:kern w:val="2"/>
              <w14:ligatures w14:val="standardContextual"/>
            </w:rPr>
          </w:pPr>
          <w:hyperlink w:anchor="_Toc155354610" w:history="1">
            <w:r w:rsidRPr="001A74DD">
              <w:rPr>
                <w:rStyle w:val="Hipervnculo"/>
                <w:color w:val="767171"/>
              </w:rPr>
              <w:t>3.3 Monitoreo de riesgos</w:t>
            </w:r>
            <w:r w:rsidRPr="001A74DD">
              <w:rPr>
                <w:webHidden/>
              </w:rPr>
              <w:tab/>
            </w:r>
            <w:r w:rsidRPr="001A74DD">
              <w:rPr>
                <w:webHidden/>
              </w:rPr>
              <w:fldChar w:fldCharType="begin"/>
            </w:r>
            <w:r w:rsidRPr="001A74DD">
              <w:rPr>
                <w:webHidden/>
              </w:rPr>
              <w:instrText xml:space="preserve"> PAGEREF _Toc155354610 \h </w:instrText>
            </w:r>
            <w:r w:rsidRPr="001A74DD">
              <w:rPr>
                <w:webHidden/>
              </w:rPr>
            </w:r>
            <w:r w:rsidRPr="001A74DD">
              <w:rPr>
                <w:webHidden/>
              </w:rPr>
              <w:fldChar w:fldCharType="separate"/>
            </w:r>
            <w:r w:rsidRPr="001A74DD">
              <w:rPr>
                <w:webHidden/>
              </w:rPr>
              <w:t>30</w:t>
            </w:r>
            <w:r w:rsidRPr="001A74DD">
              <w:rPr>
                <w:webHidden/>
              </w:rPr>
              <w:fldChar w:fldCharType="end"/>
            </w:r>
          </w:hyperlink>
        </w:p>
        <w:p w14:paraId="6A7B3A44" w14:textId="7EDBBFF5" w:rsidR="001A74DD" w:rsidRPr="001A74DD" w:rsidRDefault="001A74DD">
          <w:pPr>
            <w:pStyle w:val="TDC2"/>
            <w:rPr>
              <w:rFonts w:eastAsiaTheme="minorEastAsia"/>
              <w:kern w:val="2"/>
              <w14:ligatures w14:val="standardContextual"/>
            </w:rPr>
          </w:pPr>
          <w:hyperlink w:anchor="_Toc155354611" w:history="1">
            <w:r w:rsidRPr="001A74DD">
              <w:rPr>
                <w:rStyle w:val="Hipervnculo"/>
                <w:color w:val="767171"/>
              </w:rPr>
              <w:t>3.4 Supervisión de Prevención del Lavado de Activos y Financiamiento al Terrorismo (PLAFT)</w:t>
            </w:r>
            <w:r w:rsidRPr="001A74DD">
              <w:rPr>
                <w:webHidden/>
              </w:rPr>
              <w:tab/>
            </w:r>
            <w:r w:rsidRPr="001A74DD">
              <w:rPr>
                <w:webHidden/>
              </w:rPr>
              <w:fldChar w:fldCharType="begin"/>
            </w:r>
            <w:r w:rsidRPr="001A74DD">
              <w:rPr>
                <w:webHidden/>
              </w:rPr>
              <w:instrText xml:space="preserve"> PAGEREF _Toc155354611 \h </w:instrText>
            </w:r>
            <w:r w:rsidRPr="001A74DD">
              <w:rPr>
                <w:webHidden/>
              </w:rPr>
            </w:r>
            <w:r w:rsidRPr="001A74DD">
              <w:rPr>
                <w:webHidden/>
              </w:rPr>
              <w:fldChar w:fldCharType="separate"/>
            </w:r>
            <w:r w:rsidRPr="001A74DD">
              <w:rPr>
                <w:webHidden/>
              </w:rPr>
              <w:t>32</w:t>
            </w:r>
            <w:r w:rsidRPr="001A74DD">
              <w:rPr>
                <w:webHidden/>
              </w:rPr>
              <w:fldChar w:fldCharType="end"/>
            </w:r>
          </w:hyperlink>
        </w:p>
        <w:p w14:paraId="14773E7D" w14:textId="36A06091" w:rsidR="001A74DD" w:rsidRPr="001A74DD" w:rsidRDefault="001A74DD">
          <w:pPr>
            <w:pStyle w:val="TDC2"/>
            <w:rPr>
              <w:rFonts w:eastAsiaTheme="minorEastAsia"/>
              <w:kern w:val="2"/>
              <w14:ligatures w14:val="standardContextual"/>
            </w:rPr>
          </w:pPr>
          <w:hyperlink w:anchor="_Toc155354612" w:history="1">
            <w:r w:rsidRPr="001A74DD">
              <w:rPr>
                <w:rStyle w:val="Hipervnculo"/>
                <w:color w:val="767171"/>
              </w:rPr>
              <w:t>3.5 Procesos Sancionadores</w:t>
            </w:r>
            <w:r w:rsidRPr="001A74DD">
              <w:rPr>
                <w:webHidden/>
              </w:rPr>
              <w:tab/>
            </w:r>
            <w:r w:rsidRPr="001A74DD">
              <w:rPr>
                <w:webHidden/>
              </w:rPr>
              <w:fldChar w:fldCharType="begin"/>
            </w:r>
            <w:r w:rsidRPr="001A74DD">
              <w:rPr>
                <w:webHidden/>
              </w:rPr>
              <w:instrText xml:space="preserve"> PAGEREF _Toc155354612 \h </w:instrText>
            </w:r>
            <w:r w:rsidRPr="001A74DD">
              <w:rPr>
                <w:webHidden/>
              </w:rPr>
            </w:r>
            <w:r w:rsidRPr="001A74DD">
              <w:rPr>
                <w:webHidden/>
              </w:rPr>
              <w:fldChar w:fldCharType="separate"/>
            </w:r>
            <w:r w:rsidRPr="001A74DD">
              <w:rPr>
                <w:webHidden/>
              </w:rPr>
              <w:t>35</w:t>
            </w:r>
            <w:r w:rsidRPr="001A74DD">
              <w:rPr>
                <w:webHidden/>
              </w:rPr>
              <w:fldChar w:fldCharType="end"/>
            </w:r>
          </w:hyperlink>
        </w:p>
        <w:p w14:paraId="3DA4F795" w14:textId="04961091" w:rsidR="001A74DD" w:rsidRPr="001A74DD" w:rsidRDefault="001A74DD">
          <w:pPr>
            <w:pStyle w:val="TDC2"/>
            <w:rPr>
              <w:rFonts w:eastAsiaTheme="minorEastAsia"/>
              <w:kern w:val="2"/>
              <w14:ligatures w14:val="standardContextual"/>
            </w:rPr>
          </w:pPr>
          <w:hyperlink w:anchor="_Toc155354613" w:history="1">
            <w:r w:rsidRPr="001A74DD">
              <w:rPr>
                <w:rStyle w:val="Hipervnculo"/>
                <w:color w:val="767171"/>
              </w:rPr>
              <w:t>3.6 Regulación</w:t>
            </w:r>
            <w:r w:rsidRPr="001A74DD">
              <w:rPr>
                <w:webHidden/>
              </w:rPr>
              <w:tab/>
            </w:r>
            <w:r w:rsidRPr="001A74DD">
              <w:rPr>
                <w:webHidden/>
              </w:rPr>
              <w:fldChar w:fldCharType="begin"/>
            </w:r>
            <w:r w:rsidRPr="001A74DD">
              <w:rPr>
                <w:webHidden/>
              </w:rPr>
              <w:instrText xml:space="preserve"> PAGEREF _Toc155354613 \h </w:instrText>
            </w:r>
            <w:r w:rsidRPr="001A74DD">
              <w:rPr>
                <w:webHidden/>
              </w:rPr>
            </w:r>
            <w:r w:rsidRPr="001A74DD">
              <w:rPr>
                <w:webHidden/>
              </w:rPr>
              <w:fldChar w:fldCharType="separate"/>
            </w:r>
            <w:r w:rsidRPr="001A74DD">
              <w:rPr>
                <w:webHidden/>
              </w:rPr>
              <w:t>38</w:t>
            </w:r>
            <w:r w:rsidRPr="001A74DD">
              <w:rPr>
                <w:webHidden/>
              </w:rPr>
              <w:fldChar w:fldCharType="end"/>
            </w:r>
          </w:hyperlink>
        </w:p>
        <w:p w14:paraId="7CBAF57A" w14:textId="675746A8" w:rsidR="001A74DD" w:rsidRPr="001A74DD" w:rsidRDefault="001A74DD">
          <w:pPr>
            <w:pStyle w:val="TDC2"/>
            <w:rPr>
              <w:rFonts w:eastAsiaTheme="minorEastAsia"/>
              <w:kern w:val="2"/>
              <w14:ligatures w14:val="standardContextual"/>
            </w:rPr>
          </w:pPr>
          <w:hyperlink w:anchor="_Toc155354614" w:history="1">
            <w:r w:rsidRPr="001A74DD">
              <w:rPr>
                <w:rStyle w:val="Hipervnculo"/>
                <w:color w:val="767171"/>
              </w:rPr>
              <w:t>3.7 Promoción de la Innovación Financiera</w:t>
            </w:r>
            <w:r w:rsidRPr="001A74DD">
              <w:rPr>
                <w:webHidden/>
              </w:rPr>
              <w:tab/>
            </w:r>
            <w:r w:rsidRPr="001A74DD">
              <w:rPr>
                <w:webHidden/>
              </w:rPr>
              <w:fldChar w:fldCharType="begin"/>
            </w:r>
            <w:r w:rsidRPr="001A74DD">
              <w:rPr>
                <w:webHidden/>
              </w:rPr>
              <w:instrText xml:space="preserve"> PAGEREF _Toc155354614 \h </w:instrText>
            </w:r>
            <w:r w:rsidRPr="001A74DD">
              <w:rPr>
                <w:webHidden/>
              </w:rPr>
            </w:r>
            <w:r w:rsidRPr="001A74DD">
              <w:rPr>
                <w:webHidden/>
              </w:rPr>
              <w:fldChar w:fldCharType="separate"/>
            </w:r>
            <w:r w:rsidRPr="001A74DD">
              <w:rPr>
                <w:webHidden/>
              </w:rPr>
              <w:t>50</w:t>
            </w:r>
            <w:r w:rsidRPr="001A74DD">
              <w:rPr>
                <w:webHidden/>
              </w:rPr>
              <w:fldChar w:fldCharType="end"/>
            </w:r>
          </w:hyperlink>
        </w:p>
        <w:p w14:paraId="2B684E2B" w14:textId="6B2A28C2" w:rsidR="001A74DD" w:rsidRPr="001A74DD" w:rsidRDefault="001A74DD">
          <w:pPr>
            <w:pStyle w:val="TDC2"/>
            <w:rPr>
              <w:rFonts w:eastAsiaTheme="minorEastAsia"/>
              <w:kern w:val="2"/>
              <w14:ligatures w14:val="standardContextual"/>
            </w:rPr>
          </w:pPr>
          <w:hyperlink w:anchor="_Toc155354615" w:history="1">
            <w:r w:rsidRPr="001A74DD">
              <w:rPr>
                <w:rStyle w:val="Hipervnculo"/>
                <w:color w:val="767171"/>
              </w:rPr>
              <w:t>3.8 Protección y Atención al Usuario Financiero</w:t>
            </w:r>
            <w:r w:rsidRPr="001A74DD">
              <w:rPr>
                <w:webHidden/>
              </w:rPr>
              <w:tab/>
            </w:r>
            <w:r w:rsidRPr="001A74DD">
              <w:rPr>
                <w:webHidden/>
              </w:rPr>
              <w:fldChar w:fldCharType="begin"/>
            </w:r>
            <w:r w:rsidRPr="001A74DD">
              <w:rPr>
                <w:webHidden/>
              </w:rPr>
              <w:instrText xml:space="preserve"> PAGEREF _Toc155354615 \h </w:instrText>
            </w:r>
            <w:r w:rsidRPr="001A74DD">
              <w:rPr>
                <w:webHidden/>
              </w:rPr>
            </w:r>
            <w:r w:rsidRPr="001A74DD">
              <w:rPr>
                <w:webHidden/>
              </w:rPr>
              <w:fldChar w:fldCharType="separate"/>
            </w:r>
            <w:r w:rsidRPr="001A74DD">
              <w:rPr>
                <w:webHidden/>
              </w:rPr>
              <w:t>54</w:t>
            </w:r>
            <w:r w:rsidRPr="001A74DD">
              <w:rPr>
                <w:webHidden/>
              </w:rPr>
              <w:fldChar w:fldCharType="end"/>
            </w:r>
          </w:hyperlink>
        </w:p>
        <w:p w14:paraId="5B8BA368" w14:textId="4EA6B19E" w:rsidR="001A74DD" w:rsidRPr="001A74DD" w:rsidRDefault="001A74DD">
          <w:pPr>
            <w:pStyle w:val="TDC2"/>
            <w:rPr>
              <w:rFonts w:eastAsiaTheme="minorEastAsia"/>
              <w:kern w:val="2"/>
              <w14:ligatures w14:val="standardContextual"/>
            </w:rPr>
          </w:pPr>
          <w:hyperlink w:anchor="_Toc155354616" w:history="1">
            <w:r w:rsidRPr="001A74DD">
              <w:rPr>
                <w:rStyle w:val="Hipervnculo"/>
                <w:color w:val="767171"/>
              </w:rPr>
              <w:t>3.9 Atención a Ahorristas de Instituciones Financieras Intervenidas y en Liquidación</w:t>
            </w:r>
            <w:r w:rsidRPr="001A74DD">
              <w:rPr>
                <w:webHidden/>
              </w:rPr>
              <w:tab/>
            </w:r>
            <w:r w:rsidRPr="001A74DD">
              <w:rPr>
                <w:webHidden/>
              </w:rPr>
              <w:fldChar w:fldCharType="begin"/>
            </w:r>
            <w:r w:rsidRPr="001A74DD">
              <w:rPr>
                <w:webHidden/>
              </w:rPr>
              <w:instrText xml:space="preserve"> PAGEREF _Toc155354616 \h </w:instrText>
            </w:r>
            <w:r w:rsidRPr="001A74DD">
              <w:rPr>
                <w:webHidden/>
              </w:rPr>
            </w:r>
            <w:r w:rsidRPr="001A74DD">
              <w:rPr>
                <w:webHidden/>
              </w:rPr>
              <w:fldChar w:fldCharType="separate"/>
            </w:r>
            <w:r w:rsidRPr="001A74DD">
              <w:rPr>
                <w:webHidden/>
              </w:rPr>
              <w:t>60</w:t>
            </w:r>
            <w:r w:rsidRPr="001A74DD">
              <w:rPr>
                <w:webHidden/>
              </w:rPr>
              <w:fldChar w:fldCharType="end"/>
            </w:r>
          </w:hyperlink>
        </w:p>
        <w:p w14:paraId="1708BA2E" w14:textId="440718ED" w:rsidR="001A74DD" w:rsidRPr="001A74DD" w:rsidRDefault="001A74DD">
          <w:pPr>
            <w:pStyle w:val="TDC2"/>
            <w:rPr>
              <w:rFonts w:eastAsiaTheme="minorEastAsia"/>
              <w:kern w:val="2"/>
              <w14:ligatures w14:val="standardContextual"/>
            </w:rPr>
          </w:pPr>
          <w:hyperlink w:anchor="_Toc155354617" w:history="1">
            <w:r w:rsidRPr="001A74DD">
              <w:rPr>
                <w:rStyle w:val="Hipervnculo"/>
                <w:color w:val="767171"/>
              </w:rPr>
              <w:t>3.10 Estudios Económicos</w:t>
            </w:r>
            <w:r w:rsidRPr="001A74DD">
              <w:rPr>
                <w:webHidden/>
              </w:rPr>
              <w:tab/>
            </w:r>
            <w:r w:rsidRPr="001A74DD">
              <w:rPr>
                <w:webHidden/>
              </w:rPr>
              <w:fldChar w:fldCharType="begin"/>
            </w:r>
            <w:r w:rsidRPr="001A74DD">
              <w:rPr>
                <w:webHidden/>
              </w:rPr>
              <w:instrText xml:space="preserve"> PAGEREF _Toc155354617 \h </w:instrText>
            </w:r>
            <w:r w:rsidRPr="001A74DD">
              <w:rPr>
                <w:webHidden/>
              </w:rPr>
            </w:r>
            <w:r w:rsidRPr="001A74DD">
              <w:rPr>
                <w:webHidden/>
              </w:rPr>
              <w:fldChar w:fldCharType="separate"/>
            </w:r>
            <w:r w:rsidRPr="001A74DD">
              <w:rPr>
                <w:webHidden/>
              </w:rPr>
              <w:t>61</w:t>
            </w:r>
            <w:r w:rsidRPr="001A74DD">
              <w:rPr>
                <w:webHidden/>
              </w:rPr>
              <w:fldChar w:fldCharType="end"/>
            </w:r>
          </w:hyperlink>
        </w:p>
        <w:p w14:paraId="44DB31AE" w14:textId="39391A15" w:rsidR="001A74DD" w:rsidRPr="001A74DD" w:rsidRDefault="001A74DD">
          <w:pPr>
            <w:pStyle w:val="TDC1"/>
            <w:tabs>
              <w:tab w:val="right" w:leader="dot" w:pos="7910"/>
            </w:tabs>
            <w:rPr>
              <w:rFonts w:eastAsiaTheme="minorEastAsia"/>
              <w:noProof/>
              <w:spacing w:val="0"/>
              <w:kern w:val="2"/>
              <w:lang w:val="es-DO" w:eastAsia="es-DO"/>
              <w14:ligatures w14:val="standardContextual"/>
            </w:rPr>
          </w:pPr>
          <w:hyperlink w:anchor="_Toc155354618" w:history="1">
            <w:r w:rsidRPr="001A74DD">
              <w:rPr>
                <w:rStyle w:val="Hipervnculo"/>
                <w:rFonts w:eastAsia="Calibri"/>
                <w:noProof/>
                <w:color w:val="767171"/>
                <w:lang w:val="es-DO"/>
              </w:rPr>
              <w:t>IV.RESULTADOS ÁREAS TRANSVERSALES Y DE APOYO</w:t>
            </w:r>
            <w:r w:rsidRPr="001A74DD">
              <w:rPr>
                <w:noProof/>
                <w:webHidden/>
              </w:rPr>
              <w:tab/>
            </w:r>
            <w:r w:rsidRPr="001A74DD">
              <w:rPr>
                <w:noProof/>
                <w:webHidden/>
              </w:rPr>
              <w:fldChar w:fldCharType="begin"/>
            </w:r>
            <w:r w:rsidRPr="001A74DD">
              <w:rPr>
                <w:noProof/>
                <w:webHidden/>
              </w:rPr>
              <w:instrText xml:space="preserve"> PAGEREF _Toc155354618 \h </w:instrText>
            </w:r>
            <w:r w:rsidRPr="001A74DD">
              <w:rPr>
                <w:noProof/>
                <w:webHidden/>
              </w:rPr>
            </w:r>
            <w:r w:rsidRPr="001A74DD">
              <w:rPr>
                <w:noProof/>
                <w:webHidden/>
              </w:rPr>
              <w:fldChar w:fldCharType="separate"/>
            </w:r>
            <w:r w:rsidRPr="001A74DD">
              <w:rPr>
                <w:noProof/>
                <w:webHidden/>
              </w:rPr>
              <w:t>63</w:t>
            </w:r>
            <w:r w:rsidRPr="001A74DD">
              <w:rPr>
                <w:noProof/>
                <w:webHidden/>
              </w:rPr>
              <w:fldChar w:fldCharType="end"/>
            </w:r>
          </w:hyperlink>
        </w:p>
        <w:p w14:paraId="280DB82E" w14:textId="4B236206" w:rsidR="001A74DD" w:rsidRPr="001A74DD" w:rsidRDefault="001A74DD">
          <w:pPr>
            <w:pStyle w:val="TDC2"/>
            <w:rPr>
              <w:rFonts w:eastAsiaTheme="minorEastAsia"/>
              <w:kern w:val="2"/>
              <w14:ligatures w14:val="standardContextual"/>
            </w:rPr>
          </w:pPr>
          <w:hyperlink w:anchor="_Toc155354619" w:history="1">
            <w:r w:rsidRPr="001A74DD">
              <w:rPr>
                <w:rStyle w:val="Hipervnculo"/>
                <w:color w:val="767171"/>
              </w:rPr>
              <w:t>4.1 Desempeño Administrativo y Financiero</w:t>
            </w:r>
            <w:r w:rsidRPr="001A74DD">
              <w:rPr>
                <w:webHidden/>
              </w:rPr>
              <w:tab/>
            </w:r>
            <w:r w:rsidRPr="001A74DD">
              <w:rPr>
                <w:webHidden/>
              </w:rPr>
              <w:fldChar w:fldCharType="begin"/>
            </w:r>
            <w:r w:rsidRPr="001A74DD">
              <w:rPr>
                <w:webHidden/>
              </w:rPr>
              <w:instrText xml:space="preserve"> PAGEREF _Toc155354619 \h </w:instrText>
            </w:r>
            <w:r w:rsidRPr="001A74DD">
              <w:rPr>
                <w:webHidden/>
              </w:rPr>
            </w:r>
            <w:r w:rsidRPr="001A74DD">
              <w:rPr>
                <w:webHidden/>
              </w:rPr>
              <w:fldChar w:fldCharType="separate"/>
            </w:r>
            <w:r w:rsidRPr="001A74DD">
              <w:rPr>
                <w:webHidden/>
              </w:rPr>
              <w:t>63</w:t>
            </w:r>
            <w:r w:rsidRPr="001A74DD">
              <w:rPr>
                <w:webHidden/>
              </w:rPr>
              <w:fldChar w:fldCharType="end"/>
            </w:r>
          </w:hyperlink>
        </w:p>
        <w:p w14:paraId="315F79A1" w14:textId="382C66C7" w:rsidR="001A74DD" w:rsidRPr="001A74DD" w:rsidRDefault="001A74DD">
          <w:pPr>
            <w:pStyle w:val="TDC2"/>
            <w:rPr>
              <w:rFonts w:eastAsiaTheme="minorEastAsia"/>
              <w:kern w:val="2"/>
              <w14:ligatures w14:val="standardContextual"/>
            </w:rPr>
          </w:pPr>
          <w:hyperlink w:anchor="_Toc155354620" w:history="1">
            <w:r w:rsidRPr="001A74DD">
              <w:rPr>
                <w:rStyle w:val="Hipervnculo"/>
                <w:color w:val="767171"/>
              </w:rPr>
              <w:t>4.2 Desempeño de los Recursos Humanos</w:t>
            </w:r>
            <w:r w:rsidRPr="001A74DD">
              <w:rPr>
                <w:webHidden/>
              </w:rPr>
              <w:tab/>
            </w:r>
            <w:r w:rsidRPr="001A74DD">
              <w:rPr>
                <w:webHidden/>
              </w:rPr>
              <w:fldChar w:fldCharType="begin"/>
            </w:r>
            <w:r w:rsidRPr="001A74DD">
              <w:rPr>
                <w:webHidden/>
              </w:rPr>
              <w:instrText xml:space="preserve"> PAGEREF _Toc155354620 \h </w:instrText>
            </w:r>
            <w:r w:rsidRPr="001A74DD">
              <w:rPr>
                <w:webHidden/>
              </w:rPr>
            </w:r>
            <w:r w:rsidRPr="001A74DD">
              <w:rPr>
                <w:webHidden/>
              </w:rPr>
              <w:fldChar w:fldCharType="separate"/>
            </w:r>
            <w:r w:rsidRPr="001A74DD">
              <w:rPr>
                <w:webHidden/>
              </w:rPr>
              <w:t>68</w:t>
            </w:r>
            <w:r w:rsidRPr="001A74DD">
              <w:rPr>
                <w:webHidden/>
              </w:rPr>
              <w:fldChar w:fldCharType="end"/>
            </w:r>
          </w:hyperlink>
        </w:p>
        <w:p w14:paraId="36C9E2D1" w14:textId="4C1372B6" w:rsidR="001A74DD" w:rsidRPr="001A74DD" w:rsidRDefault="001A74DD">
          <w:pPr>
            <w:pStyle w:val="TDC2"/>
            <w:rPr>
              <w:rFonts w:eastAsiaTheme="minorEastAsia"/>
              <w:kern w:val="2"/>
              <w14:ligatures w14:val="standardContextual"/>
            </w:rPr>
          </w:pPr>
          <w:hyperlink w:anchor="_Toc155354621" w:history="1">
            <w:r w:rsidRPr="001A74DD">
              <w:rPr>
                <w:rStyle w:val="Hipervnculo"/>
                <w:color w:val="767171"/>
              </w:rPr>
              <w:t>4.3 Fortalecimiento de los Procesos Jurídicos</w:t>
            </w:r>
            <w:r w:rsidRPr="001A74DD">
              <w:rPr>
                <w:webHidden/>
              </w:rPr>
              <w:tab/>
            </w:r>
            <w:r w:rsidRPr="001A74DD">
              <w:rPr>
                <w:webHidden/>
              </w:rPr>
              <w:fldChar w:fldCharType="begin"/>
            </w:r>
            <w:r w:rsidRPr="001A74DD">
              <w:rPr>
                <w:webHidden/>
              </w:rPr>
              <w:instrText xml:space="preserve"> PAGEREF _Toc155354621 \h </w:instrText>
            </w:r>
            <w:r w:rsidRPr="001A74DD">
              <w:rPr>
                <w:webHidden/>
              </w:rPr>
            </w:r>
            <w:r w:rsidRPr="001A74DD">
              <w:rPr>
                <w:webHidden/>
              </w:rPr>
              <w:fldChar w:fldCharType="separate"/>
            </w:r>
            <w:r w:rsidRPr="001A74DD">
              <w:rPr>
                <w:webHidden/>
              </w:rPr>
              <w:t>73</w:t>
            </w:r>
            <w:r w:rsidRPr="001A74DD">
              <w:rPr>
                <w:webHidden/>
              </w:rPr>
              <w:fldChar w:fldCharType="end"/>
            </w:r>
          </w:hyperlink>
        </w:p>
        <w:p w14:paraId="7A0F30C8" w14:textId="1342FCDE" w:rsidR="001A74DD" w:rsidRPr="001A74DD" w:rsidRDefault="001A74DD">
          <w:pPr>
            <w:pStyle w:val="TDC2"/>
            <w:rPr>
              <w:rFonts w:eastAsiaTheme="minorEastAsia"/>
              <w:kern w:val="2"/>
              <w14:ligatures w14:val="standardContextual"/>
            </w:rPr>
          </w:pPr>
          <w:hyperlink w:anchor="_Toc155354622" w:history="1">
            <w:r w:rsidRPr="001A74DD">
              <w:rPr>
                <w:rStyle w:val="Hipervnculo"/>
                <w:color w:val="767171"/>
              </w:rPr>
              <w:t>4.4 Desempeño de la Tecnología</w:t>
            </w:r>
            <w:r w:rsidRPr="001A74DD">
              <w:rPr>
                <w:webHidden/>
              </w:rPr>
              <w:tab/>
            </w:r>
            <w:r w:rsidRPr="001A74DD">
              <w:rPr>
                <w:webHidden/>
              </w:rPr>
              <w:fldChar w:fldCharType="begin"/>
            </w:r>
            <w:r w:rsidRPr="001A74DD">
              <w:rPr>
                <w:webHidden/>
              </w:rPr>
              <w:instrText xml:space="preserve"> PAGEREF _Toc155354622 \h </w:instrText>
            </w:r>
            <w:r w:rsidRPr="001A74DD">
              <w:rPr>
                <w:webHidden/>
              </w:rPr>
            </w:r>
            <w:r w:rsidRPr="001A74DD">
              <w:rPr>
                <w:webHidden/>
              </w:rPr>
              <w:fldChar w:fldCharType="separate"/>
            </w:r>
            <w:r w:rsidRPr="001A74DD">
              <w:rPr>
                <w:webHidden/>
              </w:rPr>
              <w:t>78</w:t>
            </w:r>
            <w:r w:rsidRPr="001A74DD">
              <w:rPr>
                <w:webHidden/>
              </w:rPr>
              <w:fldChar w:fldCharType="end"/>
            </w:r>
          </w:hyperlink>
        </w:p>
        <w:p w14:paraId="33CF6616" w14:textId="655B0FBE" w:rsidR="001A74DD" w:rsidRPr="001A74DD" w:rsidRDefault="001A74DD">
          <w:pPr>
            <w:pStyle w:val="TDC2"/>
            <w:rPr>
              <w:rFonts w:eastAsiaTheme="minorEastAsia"/>
              <w:kern w:val="2"/>
              <w14:ligatures w14:val="standardContextual"/>
            </w:rPr>
          </w:pPr>
          <w:hyperlink w:anchor="_Toc155354623" w:history="1">
            <w:r w:rsidRPr="001A74DD">
              <w:rPr>
                <w:rStyle w:val="Hipervnculo"/>
                <w:color w:val="767171"/>
              </w:rPr>
              <w:t>4.5 Desempeño del Sistema de Planificación y Desarrollo Institucional</w:t>
            </w:r>
            <w:r w:rsidRPr="001A74DD">
              <w:rPr>
                <w:webHidden/>
              </w:rPr>
              <w:tab/>
            </w:r>
            <w:r w:rsidRPr="001A74DD">
              <w:rPr>
                <w:webHidden/>
              </w:rPr>
              <w:fldChar w:fldCharType="begin"/>
            </w:r>
            <w:r w:rsidRPr="001A74DD">
              <w:rPr>
                <w:webHidden/>
              </w:rPr>
              <w:instrText xml:space="preserve"> PAGEREF _Toc155354623 \h </w:instrText>
            </w:r>
            <w:r w:rsidRPr="001A74DD">
              <w:rPr>
                <w:webHidden/>
              </w:rPr>
            </w:r>
            <w:r w:rsidRPr="001A74DD">
              <w:rPr>
                <w:webHidden/>
              </w:rPr>
              <w:fldChar w:fldCharType="separate"/>
            </w:r>
            <w:r w:rsidRPr="001A74DD">
              <w:rPr>
                <w:webHidden/>
              </w:rPr>
              <w:t>79</w:t>
            </w:r>
            <w:r w:rsidRPr="001A74DD">
              <w:rPr>
                <w:webHidden/>
              </w:rPr>
              <w:fldChar w:fldCharType="end"/>
            </w:r>
          </w:hyperlink>
        </w:p>
        <w:p w14:paraId="368C3688" w14:textId="1EF392A9" w:rsidR="001A74DD" w:rsidRPr="001A74DD" w:rsidRDefault="001A74DD">
          <w:pPr>
            <w:pStyle w:val="TDC2"/>
            <w:rPr>
              <w:rFonts w:eastAsiaTheme="minorEastAsia"/>
              <w:kern w:val="2"/>
              <w14:ligatures w14:val="standardContextual"/>
            </w:rPr>
          </w:pPr>
          <w:hyperlink w:anchor="_Toc155354624" w:history="1">
            <w:r w:rsidRPr="001A74DD">
              <w:rPr>
                <w:rStyle w:val="Hipervnculo"/>
                <w:color w:val="767171"/>
              </w:rPr>
              <w:t>4.6 Desempeño en Materia Comunicacional</w:t>
            </w:r>
            <w:r w:rsidRPr="001A74DD">
              <w:rPr>
                <w:webHidden/>
              </w:rPr>
              <w:tab/>
            </w:r>
            <w:r w:rsidRPr="001A74DD">
              <w:rPr>
                <w:webHidden/>
              </w:rPr>
              <w:fldChar w:fldCharType="begin"/>
            </w:r>
            <w:r w:rsidRPr="001A74DD">
              <w:rPr>
                <w:webHidden/>
              </w:rPr>
              <w:instrText xml:space="preserve"> PAGEREF _Toc155354624 \h </w:instrText>
            </w:r>
            <w:r w:rsidRPr="001A74DD">
              <w:rPr>
                <w:webHidden/>
              </w:rPr>
            </w:r>
            <w:r w:rsidRPr="001A74DD">
              <w:rPr>
                <w:webHidden/>
              </w:rPr>
              <w:fldChar w:fldCharType="separate"/>
            </w:r>
            <w:r w:rsidRPr="001A74DD">
              <w:rPr>
                <w:webHidden/>
              </w:rPr>
              <w:t>83</w:t>
            </w:r>
            <w:r w:rsidRPr="001A74DD">
              <w:rPr>
                <w:webHidden/>
              </w:rPr>
              <w:fldChar w:fldCharType="end"/>
            </w:r>
          </w:hyperlink>
        </w:p>
        <w:p w14:paraId="3C14BF65" w14:textId="2DF7E982" w:rsidR="001A74DD" w:rsidRPr="001A74DD" w:rsidRDefault="001A74DD">
          <w:pPr>
            <w:pStyle w:val="TDC1"/>
            <w:tabs>
              <w:tab w:val="right" w:leader="dot" w:pos="7910"/>
            </w:tabs>
            <w:rPr>
              <w:rFonts w:eastAsiaTheme="minorEastAsia"/>
              <w:noProof/>
              <w:spacing w:val="0"/>
              <w:kern w:val="2"/>
              <w:lang w:val="es-DO" w:eastAsia="es-DO"/>
              <w14:ligatures w14:val="standardContextual"/>
            </w:rPr>
          </w:pPr>
          <w:hyperlink w:anchor="_Toc155354625" w:history="1">
            <w:r w:rsidRPr="001A74DD">
              <w:rPr>
                <w:rStyle w:val="Hipervnculo"/>
                <w:noProof/>
                <w:color w:val="767171"/>
              </w:rPr>
              <w:t>V. SERVICIO AL CIUDADANO Y ACCESO A LA INFORMACIÓN</w:t>
            </w:r>
            <w:r w:rsidRPr="001A74DD">
              <w:rPr>
                <w:noProof/>
                <w:webHidden/>
              </w:rPr>
              <w:tab/>
            </w:r>
            <w:r w:rsidRPr="001A74DD">
              <w:rPr>
                <w:noProof/>
                <w:webHidden/>
              </w:rPr>
              <w:fldChar w:fldCharType="begin"/>
            </w:r>
            <w:r w:rsidRPr="001A74DD">
              <w:rPr>
                <w:noProof/>
                <w:webHidden/>
              </w:rPr>
              <w:instrText xml:space="preserve"> PAGEREF _Toc155354625 \h </w:instrText>
            </w:r>
            <w:r w:rsidRPr="001A74DD">
              <w:rPr>
                <w:noProof/>
                <w:webHidden/>
              </w:rPr>
            </w:r>
            <w:r w:rsidRPr="001A74DD">
              <w:rPr>
                <w:noProof/>
                <w:webHidden/>
              </w:rPr>
              <w:fldChar w:fldCharType="separate"/>
            </w:r>
            <w:r w:rsidRPr="001A74DD">
              <w:rPr>
                <w:noProof/>
                <w:webHidden/>
              </w:rPr>
              <w:t>85</w:t>
            </w:r>
            <w:r w:rsidRPr="001A74DD">
              <w:rPr>
                <w:noProof/>
                <w:webHidden/>
              </w:rPr>
              <w:fldChar w:fldCharType="end"/>
            </w:r>
          </w:hyperlink>
        </w:p>
        <w:p w14:paraId="02FF642E" w14:textId="36C40A9C" w:rsidR="001A74DD" w:rsidRPr="001A74DD" w:rsidRDefault="001A74DD">
          <w:pPr>
            <w:pStyle w:val="TDC2"/>
            <w:tabs>
              <w:tab w:val="left" w:pos="660"/>
            </w:tabs>
            <w:rPr>
              <w:rFonts w:eastAsiaTheme="minorEastAsia"/>
              <w:kern w:val="2"/>
              <w14:ligatures w14:val="standardContextual"/>
            </w:rPr>
          </w:pPr>
          <w:hyperlink w:anchor="_Toc155354626" w:history="1">
            <w:r w:rsidRPr="001A74DD">
              <w:rPr>
                <w:rStyle w:val="Hipervnculo"/>
                <w:color w:val="767171"/>
              </w:rPr>
              <w:t>1.</w:t>
            </w:r>
            <w:r w:rsidRPr="001A74DD">
              <w:rPr>
                <w:rFonts w:eastAsiaTheme="minorEastAsia"/>
                <w:kern w:val="2"/>
                <w14:ligatures w14:val="standardContextual"/>
              </w:rPr>
              <w:tab/>
            </w:r>
            <w:r w:rsidRPr="001A74DD">
              <w:rPr>
                <w:rStyle w:val="Hipervnculo"/>
                <w:color w:val="767171"/>
              </w:rPr>
              <w:t>Nivel de cumplimiento acceso a la información</w:t>
            </w:r>
            <w:r w:rsidRPr="001A74DD">
              <w:rPr>
                <w:webHidden/>
              </w:rPr>
              <w:tab/>
            </w:r>
            <w:r w:rsidRPr="001A74DD">
              <w:rPr>
                <w:webHidden/>
              </w:rPr>
              <w:fldChar w:fldCharType="begin"/>
            </w:r>
            <w:r w:rsidRPr="001A74DD">
              <w:rPr>
                <w:webHidden/>
              </w:rPr>
              <w:instrText xml:space="preserve"> PAGEREF _Toc155354626 \h </w:instrText>
            </w:r>
            <w:r w:rsidRPr="001A74DD">
              <w:rPr>
                <w:webHidden/>
              </w:rPr>
            </w:r>
            <w:r w:rsidRPr="001A74DD">
              <w:rPr>
                <w:webHidden/>
              </w:rPr>
              <w:fldChar w:fldCharType="separate"/>
            </w:r>
            <w:r w:rsidRPr="001A74DD">
              <w:rPr>
                <w:webHidden/>
              </w:rPr>
              <w:t>85</w:t>
            </w:r>
            <w:r w:rsidRPr="001A74DD">
              <w:rPr>
                <w:webHidden/>
              </w:rPr>
              <w:fldChar w:fldCharType="end"/>
            </w:r>
          </w:hyperlink>
        </w:p>
        <w:p w14:paraId="1AB2EE10" w14:textId="0976EC43" w:rsidR="001A74DD" w:rsidRPr="001A74DD" w:rsidRDefault="001A74DD">
          <w:pPr>
            <w:pStyle w:val="TDC2"/>
            <w:tabs>
              <w:tab w:val="left" w:pos="660"/>
            </w:tabs>
            <w:rPr>
              <w:rFonts w:eastAsiaTheme="minorEastAsia"/>
              <w:kern w:val="2"/>
              <w14:ligatures w14:val="standardContextual"/>
            </w:rPr>
          </w:pPr>
          <w:hyperlink w:anchor="_Toc155354627" w:history="1">
            <w:r w:rsidRPr="001A74DD">
              <w:rPr>
                <w:rStyle w:val="Hipervnculo"/>
                <w:rFonts w:eastAsiaTheme="minorHAnsi"/>
                <w:color w:val="767171"/>
              </w:rPr>
              <w:t>2.</w:t>
            </w:r>
            <w:r w:rsidRPr="001A74DD">
              <w:rPr>
                <w:rFonts w:eastAsiaTheme="minorEastAsia"/>
                <w:kern w:val="2"/>
                <w14:ligatures w14:val="standardContextual"/>
              </w:rPr>
              <w:tab/>
            </w:r>
            <w:r w:rsidRPr="001A74DD">
              <w:rPr>
                <w:rStyle w:val="Hipervnculo"/>
                <w:rFonts w:eastAsiaTheme="minorHAnsi"/>
                <w:color w:val="767171"/>
              </w:rPr>
              <w:t>Resultados sistema de quejas, reclamos y sugerencias</w:t>
            </w:r>
            <w:r w:rsidRPr="001A74DD">
              <w:rPr>
                <w:webHidden/>
              </w:rPr>
              <w:tab/>
            </w:r>
            <w:r w:rsidRPr="001A74DD">
              <w:rPr>
                <w:webHidden/>
              </w:rPr>
              <w:fldChar w:fldCharType="begin"/>
            </w:r>
            <w:r w:rsidRPr="001A74DD">
              <w:rPr>
                <w:webHidden/>
              </w:rPr>
              <w:instrText xml:space="preserve"> PAGEREF _Toc155354627 \h </w:instrText>
            </w:r>
            <w:r w:rsidRPr="001A74DD">
              <w:rPr>
                <w:webHidden/>
              </w:rPr>
            </w:r>
            <w:r w:rsidRPr="001A74DD">
              <w:rPr>
                <w:webHidden/>
              </w:rPr>
              <w:fldChar w:fldCharType="separate"/>
            </w:r>
            <w:r w:rsidRPr="001A74DD">
              <w:rPr>
                <w:webHidden/>
              </w:rPr>
              <w:t>85</w:t>
            </w:r>
            <w:r w:rsidRPr="001A74DD">
              <w:rPr>
                <w:webHidden/>
              </w:rPr>
              <w:fldChar w:fldCharType="end"/>
            </w:r>
          </w:hyperlink>
        </w:p>
        <w:p w14:paraId="5D639BE1" w14:textId="244873DF" w:rsidR="001A74DD" w:rsidRPr="001A74DD" w:rsidRDefault="001A74DD">
          <w:pPr>
            <w:pStyle w:val="TDC2"/>
            <w:tabs>
              <w:tab w:val="left" w:pos="660"/>
            </w:tabs>
            <w:rPr>
              <w:rFonts w:eastAsiaTheme="minorEastAsia"/>
              <w:kern w:val="2"/>
              <w14:ligatures w14:val="standardContextual"/>
            </w:rPr>
          </w:pPr>
          <w:hyperlink w:anchor="_Toc155354628" w:history="1">
            <w:r w:rsidRPr="001A74DD">
              <w:rPr>
                <w:rStyle w:val="Hipervnculo"/>
                <w:rFonts w:eastAsiaTheme="minorHAnsi"/>
                <w:color w:val="767171"/>
              </w:rPr>
              <w:t>3.</w:t>
            </w:r>
            <w:r w:rsidRPr="001A74DD">
              <w:rPr>
                <w:rFonts w:eastAsiaTheme="minorEastAsia"/>
                <w:kern w:val="2"/>
                <w14:ligatures w14:val="standardContextual"/>
              </w:rPr>
              <w:tab/>
            </w:r>
            <w:r w:rsidRPr="001A74DD">
              <w:rPr>
                <w:rStyle w:val="Hipervnculo"/>
                <w:rFonts w:eastAsiaTheme="minorHAnsi"/>
                <w:color w:val="767171"/>
              </w:rPr>
              <w:t>Resultados de las mediciones del portal de transparencia</w:t>
            </w:r>
            <w:r w:rsidRPr="001A74DD">
              <w:rPr>
                <w:webHidden/>
              </w:rPr>
              <w:tab/>
            </w:r>
            <w:r w:rsidRPr="001A74DD">
              <w:rPr>
                <w:webHidden/>
              </w:rPr>
              <w:fldChar w:fldCharType="begin"/>
            </w:r>
            <w:r w:rsidRPr="001A74DD">
              <w:rPr>
                <w:webHidden/>
              </w:rPr>
              <w:instrText xml:space="preserve"> PAGEREF _Toc155354628 \h </w:instrText>
            </w:r>
            <w:r w:rsidRPr="001A74DD">
              <w:rPr>
                <w:webHidden/>
              </w:rPr>
            </w:r>
            <w:r w:rsidRPr="001A74DD">
              <w:rPr>
                <w:webHidden/>
              </w:rPr>
              <w:fldChar w:fldCharType="separate"/>
            </w:r>
            <w:r w:rsidRPr="001A74DD">
              <w:rPr>
                <w:webHidden/>
              </w:rPr>
              <w:t>85</w:t>
            </w:r>
            <w:r w:rsidRPr="001A74DD">
              <w:rPr>
                <w:webHidden/>
              </w:rPr>
              <w:fldChar w:fldCharType="end"/>
            </w:r>
          </w:hyperlink>
        </w:p>
        <w:p w14:paraId="515FDCD5" w14:textId="1CE0DE45" w:rsidR="001A74DD" w:rsidRPr="001A74DD" w:rsidRDefault="001A74DD">
          <w:pPr>
            <w:pStyle w:val="TDC1"/>
            <w:tabs>
              <w:tab w:val="right" w:leader="dot" w:pos="7910"/>
            </w:tabs>
            <w:rPr>
              <w:rFonts w:eastAsiaTheme="minorEastAsia"/>
              <w:noProof/>
              <w:spacing w:val="0"/>
              <w:kern w:val="2"/>
              <w:lang w:val="es-DO" w:eastAsia="es-DO"/>
              <w14:ligatures w14:val="standardContextual"/>
            </w:rPr>
          </w:pPr>
          <w:hyperlink w:anchor="_Toc155354629" w:history="1">
            <w:r w:rsidRPr="001A74DD">
              <w:rPr>
                <w:rStyle w:val="Hipervnculo"/>
                <w:noProof/>
                <w:color w:val="767171"/>
              </w:rPr>
              <w:t>VI. PROYECCIONES AL PRÓXIMO AÑO</w:t>
            </w:r>
            <w:r w:rsidRPr="001A74DD">
              <w:rPr>
                <w:noProof/>
                <w:webHidden/>
              </w:rPr>
              <w:tab/>
            </w:r>
            <w:r w:rsidRPr="001A74DD">
              <w:rPr>
                <w:noProof/>
                <w:webHidden/>
              </w:rPr>
              <w:fldChar w:fldCharType="begin"/>
            </w:r>
            <w:r w:rsidRPr="001A74DD">
              <w:rPr>
                <w:noProof/>
                <w:webHidden/>
              </w:rPr>
              <w:instrText xml:space="preserve"> PAGEREF _Toc155354629 \h </w:instrText>
            </w:r>
            <w:r w:rsidRPr="001A74DD">
              <w:rPr>
                <w:noProof/>
                <w:webHidden/>
              </w:rPr>
            </w:r>
            <w:r w:rsidRPr="001A74DD">
              <w:rPr>
                <w:noProof/>
                <w:webHidden/>
              </w:rPr>
              <w:fldChar w:fldCharType="separate"/>
            </w:r>
            <w:r w:rsidRPr="001A74DD">
              <w:rPr>
                <w:noProof/>
                <w:webHidden/>
              </w:rPr>
              <w:t>86</w:t>
            </w:r>
            <w:r w:rsidRPr="001A74DD">
              <w:rPr>
                <w:noProof/>
                <w:webHidden/>
              </w:rPr>
              <w:fldChar w:fldCharType="end"/>
            </w:r>
          </w:hyperlink>
        </w:p>
        <w:p w14:paraId="65A7A5E7" w14:textId="33AC70EC" w:rsidR="001A74DD" w:rsidRDefault="001A74DD">
          <w:pPr>
            <w:pStyle w:val="TDC1"/>
            <w:tabs>
              <w:tab w:val="right" w:leader="dot" w:pos="7910"/>
            </w:tabs>
            <w:rPr>
              <w:rFonts w:asciiTheme="minorHAnsi" w:eastAsiaTheme="minorEastAsia" w:hAnsiTheme="minorHAnsi" w:cstheme="minorBidi"/>
              <w:noProof/>
              <w:color w:val="auto"/>
              <w:spacing w:val="0"/>
              <w:kern w:val="2"/>
              <w:sz w:val="22"/>
              <w:szCs w:val="22"/>
              <w:lang w:val="es-DO" w:eastAsia="es-DO"/>
              <w14:ligatures w14:val="standardContextual"/>
            </w:rPr>
          </w:pPr>
          <w:hyperlink w:anchor="_Toc155354630" w:history="1">
            <w:r w:rsidRPr="001A74DD">
              <w:rPr>
                <w:rStyle w:val="Hipervnculo"/>
                <w:rFonts w:eastAsia="Calibri"/>
                <w:noProof/>
                <w:color w:val="767171"/>
                <w:lang w:val="es-DO"/>
              </w:rPr>
              <w:t>VII. ANEXOS</w:t>
            </w:r>
            <w:r w:rsidRPr="001A74DD">
              <w:rPr>
                <w:noProof/>
                <w:webHidden/>
              </w:rPr>
              <w:tab/>
            </w:r>
            <w:r w:rsidRPr="001A74DD">
              <w:rPr>
                <w:noProof/>
                <w:webHidden/>
              </w:rPr>
              <w:fldChar w:fldCharType="begin"/>
            </w:r>
            <w:r w:rsidRPr="001A74DD">
              <w:rPr>
                <w:noProof/>
                <w:webHidden/>
              </w:rPr>
              <w:instrText xml:space="preserve"> PAGEREF _Toc155354630 \h </w:instrText>
            </w:r>
            <w:r w:rsidRPr="001A74DD">
              <w:rPr>
                <w:noProof/>
                <w:webHidden/>
              </w:rPr>
            </w:r>
            <w:r w:rsidRPr="001A74DD">
              <w:rPr>
                <w:noProof/>
                <w:webHidden/>
              </w:rPr>
              <w:fldChar w:fldCharType="separate"/>
            </w:r>
            <w:r w:rsidRPr="001A74DD">
              <w:rPr>
                <w:noProof/>
                <w:webHidden/>
              </w:rPr>
              <w:t>88</w:t>
            </w:r>
            <w:r w:rsidRPr="001A74DD">
              <w:rPr>
                <w:noProof/>
                <w:webHidden/>
              </w:rPr>
              <w:fldChar w:fldCharType="end"/>
            </w:r>
          </w:hyperlink>
        </w:p>
        <w:p w14:paraId="573DD07B" w14:textId="6B94768B" w:rsidR="001240D0" w:rsidRPr="00C865B6" w:rsidRDefault="00A630BC" w:rsidP="006B204A">
          <w:r w:rsidRPr="005D5C92">
            <w:fldChar w:fldCharType="end"/>
          </w:r>
        </w:p>
      </w:sdtContent>
    </w:sdt>
    <w:p w14:paraId="1DBDA006" w14:textId="4D806799" w:rsidR="001240D0" w:rsidRPr="00C865B6" w:rsidRDefault="001240D0" w:rsidP="006B204A">
      <w:pPr>
        <w:rPr>
          <w:lang w:val="es-DO"/>
        </w:rPr>
        <w:sectPr w:rsidR="001240D0" w:rsidRPr="00C865B6" w:rsidSect="00DA6C2F">
          <w:headerReference w:type="default" r:id="rId15"/>
          <w:footerReference w:type="first" r:id="rId16"/>
          <w:pgSz w:w="12240" w:h="15840"/>
          <w:pgMar w:top="1701" w:right="2160" w:bottom="1701" w:left="2160" w:header="720" w:footer="720" w:gutter="0"/>
          <w:cols w:space="720"/>
          <w:docGrid w:linePitch="360"/>
        </w:sectPr>
      </w:pPr>
    </w:p>
    <w:p w14:paraId="649D29AD" w14:textId="1A65CC96" w:rsidR="001240D0" w:rsidRPr="00C865B6" w:rsidRDefault="001240D0" w:rsidP="006B204A">
      <w:pPr>
        <w:pStyle w:val="Ttulo1"/>
        <w:numPr>
          <w:ilvl w:val="0"/>
          <w:numId w:val="1"/>
        </w:numPr>
        <w:jc w:val="left"/>
        <w:rPr>
          <w:rStyle w:val="EstiloTItulosMemoriasCar"/>
          <w:rFonts w:eastAsia="Calibri" w:cs="Times New Roman"/>
        </w:rPr>
      </w:pPr>
      <w:bookmarkStart w:id="2" w:name="_Hlk86403204"/>
      <w:bookmarkStart w:id="3" w:name="_Toc155354596"/>
      <w:r w:rsidRPr="00C865B6">
        <w:rPr>
          <w:rStyle w:val="EstiloTItulosMemoriasCar"/>
          <w:rFonts w:eastAsia="Calibri" w:cs="Times New Roman"/>
        </w:rPr>
        <w:lastRenderedPageBreak/>
        <w:t>RESUMEN EJECUTIVO</w:t>
      </w:r>
      <w:bookmarkEnd w:id="3"/>
    </w:p>
    <w:p w14:paraId="15B8E2BC" w14:textId="5DFF8325" w:rsidR="00AA7013" w:rsidRDefault="00125D46" w:rsidP="006B204A">
      <w:pPr>
        <w:jc w:val="both"/>
        <w:rPr>
          <w:rFonts w:eastAsia="Calibri"/>
          <w:sz w:val="18"/>
          <w:lang w:val="es-DO"/>
        </w:rPr>
      </w:pPr>
      <w:r w:rsidRPr="00C865B6">
        <w:rPr>
          <w:rFonts w:eastAsia="Calibri"/>
          <w:noProof/>
          <w:sz w:val="18"/>
        </w:rPr>
        <mc:AlternateContent>
          <mc:Choice Requires="wps">
            <w:drawing>
              <wp:anchor distT="0" distB="0" distL="114300" distR="114300" simplePos="0" relativeHeight="251658240" behindDoc="0" locked="0" layoutInCell="1" allowOverlap="1" wp14:anchorId="5383067F" wp14:editId="2476AB7B">
                <wp:simplePos x="0" y="0"/>
                <wp:positionH relativeFrom="margin">
                  <wp:align>center</wp:align>
                </wp:positionH>
                <wp:positionV relativeFrom="paragraph">
                  <wp:posOffset>100625</wp:posOffset>
                </wp:positionV>
                <wp:extent cx="463550" cy="0"/>
                <wp:effectExtent l="0" t="19050" r="31750" b="19050"/>
                <wp:wrapNone/>
                <wp:docPr id="21" name="Conector recto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34AC1D04" id="Conector recto 21" o:spid="_x0000_s1026"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9pt" to="3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" strokecolor="#ee2a24" strokeweight="2.25pt">
                <v:stroke joinstyle="miter"/>
                <w10:wrap anchorx="margin"/>
              </v:line>
            </w:pict>
          </mc:Fallback>
        </mc:AlternateContent>
      </w:r>
    </w:p>
    <w:p w14:paraId="5AD9BF29" w14:textId="77777777" w:rsidR="001104A9" w:rsidRPr="001104A9" w:rsidRDefault="001104A9" w:rsidP="006B204A">
      <w:pPr>
        <w:jc w:val="both"/>
        <w:rPr>
          <w:rFonts w:eastAsia="Calibri"/>
          <w:sz w:val="18"/>
          <w:lang w:val="es-DO"/>
        </w:rPr>
      </w:pPr>
    </w:p>
    <w:p w14:paraId="258CAD57" w14:textId="2027ADCF" w:rsidR="00292E97" w:rsidRPr="00292E97" w:rsidRDefault="00292E97" w:rsidP="006B204A">
      <w:pPr>
        <w:spacing w:line="360" w:lineRule="auto"/>
        <w:jc w:val="both"/>
        <w:rPr>
          <w:rFonts w:eastAsia="Calibri"/>
          <w:lang w:val="es-DO"/>
        </w:rPr>
      </w:pPr>
      <w:r w:rsidRPr="00292E97">
        <w:rPr>
          <w:rFonts w:eastAsia="Calibri"/>
          <w:lang w:val="es-DO"/>
        </w:rPr>
        <w:t>La Superintendencia de Bancos (SB), ente supervisor del Sistema Financiero y Cambiario, en atención a dar cumplimiento a lo dispuesto por el literal B del artículo 20 de la Ley Monetaria y Financiera No. 183-02, tiene a bien presentar su memoria de rendición de cuentas correspondiente al año 2023. En esta, se exponen los principales logros desarrollados por la institución, en consonancia con la referida ley, el Plan Estratégico Institucional 2021-2024, la Ley No. 01-12 de Estrategia Nacional de Desarrollo (END 2030), y demás metas y compromisos nacionales e internacionales asumidos.</w:t>
      </w:r>
    </w:p>
    <w:p w14:paraId="3278D4B6" w14:textId="085E0ECB" w:rsidR="00292E97" w:rsidRPr="00292E97" w:rsidRDefault="00292E97" w:rsidP="006B204A">
      <w:pPr>
        <w:spacing w:line="360" w:lineRule="auto"/>
        <w:jc w:val="both"/>
        <w:rPr>
          <w:rFonts w:eastAsia="Calibri"/>
          <w:lang w:val="es-DO"/>
        </w:rPr>
      </w:pPr>
      <w:r w:rsidRPr="00292E97">
        <w:rPr>
          <w:rFonts w:eastAsia="Calibri"/>
          <w:lang w:val="es-DO"/>
        </w:rPr>
        <w:t>Durante el 2023, el sector bancario de la República Dominicana mantuvo indicadores de desempeño saludables y presento niveles de rentabilidad, solvencia y liquidez adecuadas para responder oportunamente a los cambios en las condiciones de mercado y la situación económica.</w:t>
      </w:r>
    </w:p>
    <w:p w14:paraId="6E48851B" w14:textId="1B6A30FE" w:rsidR="00292E97" w:rsidRPr="00292E97" w:rsidRDefault="00292E97" w:rsidP="006B204A">
      <w:pPr>
        <w:spacing w:line="360" w:lineRule="auto"/>
        <w:jc w:val="both"/>
        <w:rPr>
          <w:rFonts w:eastAsia="Calibri"/>
          <w:lang w:val="es-DO"/>
        </w:rPr>
      </w:pPr>
      <w:r w:rsidRPr="00292E97">
        <w:rPr>
          <w:rFonts w:eastAsia="Calibri"/>
          <w:lang w:val="es-DO"/>
        </w:rPr>
        <w:t>Con el objetivo de preservar el adecuado funcionamiento de las entidades de intermediación financieras y cambiarias, en el período comprendido entre enero y diciembre de 2023, la Superintendencia de Bancos de la República Dominicana realizó sesenta y ocho (68) inspecciones in-situ y extra-situ, de las cuales veintiuno (21) fueron realizadas en Bancos de Servicios Múltiples, nueve (9) en Asociaciones de Ahorros y Préstamos, catorce (14) en Bancos de Ahorro y Crédito, cuatro (4) en Corporaciones de Crédito, dos (2) en Entidades Estatales y dieciocho (18) en Entidades Cambiarias y Remesadoras.</w:t>
      </w:r>
    </w:p>
    <w:p w14:paraId="320E7A83" w14:textId="275B737D" w:rsidR="00292E97" w:rsidRPr="00292E97" w:rsidRDefault="00292E97" w:rsidP="006B204A">
      <w:pPr>
        <w:spacing w:line="360" w:lineRule="auto"/>
        <w:jc w:val="both"/>
        <w:rPr>
          <w:rFonts w:eastAsia="Calibri"/>
          <w:lang w:val="es-DO"/>
        </w:rPr>
      </w:pPr>
      <w:r w:rsidRPr="00292E97">
        <w:rPr>
          <w:rFonts w:eastAsia="Calibri"/>
          <w:lang w:val="es-DO"/>
        </w:rPr>
        <w:lastRenderedPageBreak/>
        <w:t>En términos de normativa, se han implementado las circulares emitidas para medidas contra la intermediación financiera y cambiaria no autorizada, y actividades financieras fraudulentas (Circular SB: No. 016/22); para promover mayor transparencia y protección a los usuarios de servicios del sector, estableciendo lineamientos con respecto al tratamiento de los datos biométricos de los usuarios (Circular SB: Núm. 017/22); y para estandarizar el registro de las reclamaciones realizadas por los clientes (Circular SB: Núm. 002/23). Igualmente, fue implementada la normativa para mejorar la calidad de las auditorías externas en las Entidades de Intermediación Financiera, con el objeto de fomentar el cumplimiento de los estándares internacionales, contribuyendo a una mayor transparencia y la eficacia de la supervisión con el instructivo para la Revisión de la Calidad de las Auditorías Externas (Circular SB: Núm. 014/22)</w:t>
      </w:r>
      <w:r w:rsidR="000D2A1B">
        <w:rPr>
          <w:rFonts w:eastAsia="Calibri"/>
          <w:lang w:val="es-DO"/>
        </w:rPr>
        <w:t xml:space="preserve"> y f</w:t>
      </w:r>
      <w:r w:rsidRPr="00292E97">
        <w:rPr>
          <w:rFonts w:eastAsia="Calibri"/>
          <w:lang w:val="es-DO"/>
        </w:rPr>
        <w:t>ue actualizado el Instructivo para la Elaboración y Preparación de los Planes Estratégicos (Circular SB: No. 020/22).</w:t>
      </w:r>
    </w:p>
    <w:p w14:paraId="4BCF844E" w14:textId="7A6A538E" w:rsidR="00292E97" w:rsidRPr="00292E97" w:rsidRDefault="00292E97" w:rsidP="006B204A">
      <w:pPr>
        <w:spacing w:line="360" w:lineRule="auto"/>
        <w:jc w:val="both"/>
        <w:rPr>
          <w:rFonts w:eastAsia="Calibri"/>
          <w:lang w:val="es-DO"/>
        </w:rPr>
      </w:pPr>
      <w:r w:rsidRPr="00292E97">
        <w:rPr>
          <w:rFonts w:eastAsia="Calibri"/>
          <w:lang w:val="es-DO"/>
        </w:rPr>
        <w:t xml:space="preserve">Así mismo, como parte de las acciones realizadas por la institución en consonancia con el eje estratégico que promueve la Estabilidad Financiera y Macro-Prudencial y la implementación del Marco de Supervisión Basado en Riesgos, la Superintendencia de Bancos recibió la asistencia técnica del Toronto Centre (TC) con el fin de robustecer el Marco y las prácticas de supervisión. Entre las actividades concluidas con dicho organismo se destacan: Desarrollo de estrategia de capacitación para </w:t>
      </w:r>
      <w:r w:rsidR="000D2A1B">
        <w:rPr>
          <w:rFonts w:eastAsia="Calibri"/>
          <w:lang w:val="es-DO"/>
        </w:rPr>
        <w:t>fortalecer</w:t>
      </w:r>
      <w:r w:rsidRPr="00292E97">
        <w:rPr>
          <w:rFonts w:eastAsia="Calibri"/>
          <w:lang w:val="es-DO"/>
        </w:rPr>
        <w:t xml:space="preserve"> el conocimiento sobre Supervisión Basada en Riesgos en los supervisores; </w:t>
      </w:r>
      <w:r w:rsidR="000D2A1B">
        <w:rPr>
          <w:rFonts w:eastAsia="Calibri"/>
          <w:lang w:val="es-DO"/>
        </w:rPr>
        <w:t>r</w:t>
      </w:r>
      <w:r w:rsidRPr="00292E97">
        <w:rPr>
          <w:rFonts w:eastAsia="Calibri"/>
          <w:lang w:val="es-DO"/>
        </w:rPr>
        <w:t xml:space="preserve">evisión de los criterios de evaluación y guías de las funciones de control de gestión de riesgos (FCGR); </w:t>
      </w:r>
      <w:r w:rsidR="000D2A1B">
        <w:rPr>
          <w:rFonts w:eastAsia="Calibri"/>
          <w:lang w:val="es-DO"/>
        </w:rPr>
        <w:t>r</w:t>
      </w:r>
      <w:r w:rsidRPr="00292E97">
        <w:rPr>
          <w:rFonts w:eastAsia="Calibri"/>
          <w:lang w:val="es-DO"/>
        </w:rPr>
        <w:t xml:space="preserve">evisión de los criterios de evaluación de la calificación de riesgo neto global y riesgo compuesto; </w:t>
      </w:r>
      <w:r w:rsidR="000D2A1B">
        <w:rPr>
          <w:rFonts w:eastAsia="Calibri"/>
          <w:lang w:val="es-DO"/>
        </w:rPr>
        <w:t>e</w:t>
      </w:r>
      <w:r w:rsidRPr="00292E97">
        <w:rPr>
          <w:rFonts w:eastAsia="Calibri"/>
          <w:lang w:val="es-DO"/>
        </w:rPr>
        <w:t>laboración de un modelo de actividades de supervisión; entre otras.</w:t>
      </w:r>
    </w:p>
    <w:p w14:paraId="4E2CD266" w14:textId="5C1463EC" w:rsidR="00292E97" w:rsidRPr="00292E97" w:rsidRDefault="00292E97" w:rsidP="006B204A">
      <w:pPr>
        <w:spacing w:line="360" w:lineRule="auto"/>
        <w:jc w:val="both"/>
        <w:rPr>
          <w:rFonts w:eastAsia="Calibri"/>
          <w:lang w:val="es-DO"/>
        </w:rPr>
      </w:pPr>
      <w:r w:rsidRPr="00292E97">
        <w:rPr>
          <w:rFonts w:eastAsia="Calibri"/>
          <w:lang w:val="es-DO"/>
        </w:rPr>
        <w:lastRenderedPageBreak/>
        <w:t>En otro orden, fueron desarrolladas 12 actividades de capacitación sobre el uso adecuado de las herramientas de remisión de reportes regulatorios donde se han beneficiado más de 500 colaboradores de las entidades de intermediación financiera y cambiaria, sobre temas asociados a riesgos, conforme el Manual de Requerimientos de Información de la Administración Monetaria y Financiera (MRI AMF), recalcando la importancia sobre la calidad de los datos.</w:t>
      </w:r>
    </w:p>
    <w:p w14:paraId="47975FE6" w14:textId="154A3FF6" w:rsidR="00292E97" w:rsidRPr="00292E97" w:rsidRDefault="00292E97" w:rsidP="006B204A">
      <w:pPr>
        <w:spacing w:line="360" w:lineRule="auto"/>
        <w:jc w:val="both"/>
        <w:rPr>
          <w:rFonts w:eastAsia="Calibri"/>
          <w:lang w:val="es-DO"/>
        </w:rPr>
      </w:pPr>
      <w:r w:rsidRPr="00292E97">
        <w:rPr>
          <w:rFonts w:eastAsia="Calibri"/>
          <w:lang w:val="es-DO"/>
        </w:rPr>
        <w:t>Así mismo, se llevó a cabo la publicación del “Instructivo sobre el Proceso de Evaluación de Adecuación del Capital Interno (ICAAP)” cuyo objetivo es brindar a las entidades los principios, lineamientos básicos y componentes fundamentales, para el proceso de evaluación interna del capital, así como establecer el formato para la remisión del Informe de Autoevaluación de Capital (IAC).</w:t>
      </w:r>
    </w:p>
    <w:p w14:paraId="586EC273" w14:textId="5C847112" w:rsidR="00292E97" w:rsidRPr="00292E97" w:rsidRDefault="00292E97" w:rsidP="006B204A">
      <w:pPr>
        <w:spacing w:line="360" w:lineRule="auto"/>
        <w:jc w:val="both"/>
        <w:rPr>
          <w:rFonts w:eastAsia="Calibri"/>
          <w:lang w:val="es-DO"/>
        </w:rPr>
      </w:pPr>
      <w:r w:rsidRPr="00292E97">
        <w:rPr>
          <w:rFonts w:eastAsia="Calibri"/>
          <w:lang w:val="es-DO"/>
        </w:rPr>
        <w:t>La Superintendencia de Bancos (SB), como autoridad competente en las funciones de prevención y sanción de delitos financieros en los ámbitos de su jurisdicción, se encargó de ejecutar supervisiones in situ y extra situ con enfoque basado en riesgo (EBR), a fin de dar cumplimiento a la Ley 155-17 contra el Lavado de Activos y el Financiamiento del Terrorismo y sus normas complementarias. Al respecto, durante el período 2023, se realizaron dieciséis (16) inspecciones a sujetos obligados. Dichas inspecciones se enfocaron en la evaluación de la gestión de riesgos realizadas por las entidades para la prevención de lavado de activos, financiamiento del terrorismo y de la proliferación de armas de destrucción masiva (PLAFTPADM).</w:t>
      </w:r>
    </w:p>
    <w:p w14:paraId="607CD9C1" w14:textId="5FF29BED" w:rsidR="00292E97" w:rsidRPr="00292E97" w:rsidRDefault="00292E97" w:rsidP="006B204A">
      <w:pPr>
        <w:spacing w:line="360" w:lineRule="auto"/>
        <w:jc w:val="both"/>
        <w:rPr>
          <w:rFonts w:eastAsia="Calibri"/>
          <w:lang w:val="es-DO"/>
        </w:rPr>
      </w:pPr>
      <w:r w:rsidRPr="00292E97">
        <w:rPr>
          <w:rFonts w:eastAsia="Calibri"/>
          <w:lang w:val="es-DO"/>
        </w:rPr>
        <w:t xml:space="preserve">En cuanto a los registros y autorizaciones que se realizan, se han emitido un total de 300 respuestas a solicitudes de opiniones técnicas realizadas por los sujetos obligados relacionadas a cumplimiento regulatorio. Dicho monto, representa un aumento de productividad de </w:t>
      </w:r>
      <w:r w:rsidRPr="00292E97">
        <w:rPr>
          <w:rFonts w:eastAsia="Calibri"/>
          <w:lang w:val="es-DO"/>
        </w:rPr>
        <w:lastRenderedPageBreak/>
        <w:t>más del 63% con relación al año 2022. Asimismo, fueron atendidas 225 consultas vinculantes sometidas por las entidades reguladas y supervisadas, representando un aumento de productividad de más de 400% con relación al año 2022.</w:t>
      </w:r>
    </w:p>
    <w:p w14:paraId="06665FCF" w14:textId="7954AB83" w:rsidR="00292E97" w:rsidRPr="00292E97" w:rsidRDefault="00292E97" w:rsidP="006B204A">
      <w:pPr>
        <w:spacing w:line="360" w:lineRule="auto"/>
        <w:jc w:val="both"/>
        <w:rPr>
          <w:rFonts w:eastAsia="Calibri"/>
          <w:lang w:val="es-DO"/>
        </w:rPr>
      </w:pPr>
      <w:r w:rsidRPr="00292E97">
        <w:rPr>
          <w:rFonts w:eastAsia="Calibri"/>
          <w:lang w:val="es-DO"/>
        </w:rPr>
        <w:t>Fue puesta en marcha el “Módulo de Solicitud Financiera” a través de la “SB Interactivo”, el cual, junto a la utilización de las firmas electrónicas, permiten un intercambio más ágil y seguro de las informaciones solicitadas por organismos competentes en materia de LAFTPADM. Durante el año 2023 las solicitudes recibidas superaron las tres mil (3,000), de las cuales dos mil novecientos ocho (2,908) corresponden a solicitudes de información financiera, certificaciones de transacciones, cheques y/o documentos; setenta y cinco (75) a congelamientos o inmovilización de cuentas, y cincuenta y siete (57) a descongelamientos. Esto representa un incremento aproximado del 40% respecto del año 2022.</w:t>
      </w:r>
    </w:p>
    <w:p w14:paraId="750414B0" w14:textId="4044A751" w:rsidR="00292E97" w:rsidRPr="00292E97" w:rsidRDefault="00292E97" w:rsidP="006B204A">
      <w:pPr>
        <w:spacing w:line="360" w:lineRule="auto"/>
        <w:jc w:val="both"/>
        <w:rPr>
          <w:rFonts w:eastAsia="Calibri"/>
          <w:lang w:val="es-DO"/>
        </w:rPr>
      </w:pPr>
      <w:r w:rsidRPr="00292E97">
        <w:rPr>
          <w:rFonts w:eastAsia="Calibri"/>
          <w:lang w:val="es-DO"/>
        </w:rPr>
        <w:t>En el año 2023, la Superintendencia de Bancos realizo profundas transformaciones institucionales en lo que respecta al procedimiento administrativo sancionador con el objetivo principal de establecer el respeto al debido proceso administrativo y a las garantías fundamentales que protegen a los administrados. Es por ello por lo que se procesaron 118 incumplimientos detectados, así también, se realizó la elaboración de pliegos y tramitación de 71 procedimientos sancionadores y la aplicación de sanciones por un monto de RD$ 34.26 millones.</w:t>
      </w:r>
    </w:p>
    <w:p w14:paraId="1BEEB4FD" w14:textId="46607C84" w:rsidR="00292E97" w:rsidRPr="00292E97" w:rsidRDefault="00292E97" w:rsidP="006B204A">
      <w:pPr>
        <w:spacing w:line="360" w:lineRule="auto"/>
        <w:jc w:val="both"/>
        <w:rPr>
          <w:rFonts w:eastAsia="Calibri"/>
          <w:lang w:val="es-DO"/>
        </w:rPr>
      </w:pPr>
      <w:r w:rsidRPr="00292E97">
        <w:rPr>
          <w:rFonts w:eastAsia="Calibri"/>
          <w:lang w:val="es-DO"/>
        </w:rPr>
        <w:t xml:space="preserve">La Superintendencia de Bancos a través de ProUsuario, han registrado ciento sesenta y cinco mil ciento treinta y ocho (165,138) contactos con usuarios, representando un incremento de un 28.25% con relación al mismo período del año 2022, 45% fueron realizados a través de los canales presenciales y alternos (oficinas, teléfono, </w:t>
      </w:r>
      <w:r w:rsidRPr="00292E97">
        <w:rPr>
          <w:rFonts w:eastAsia="Calibri"/>
          <w:lang w:val="es-DO"/>
        </w:rPr>
        <w:lastRenderedPageBreak/>
        <w:t>correo electrónico, redes sociales, APP ProUsuario, WhatsApp, atención virtual y chat) mientras que un 55% fueron realizados a través de nuestros canales de autoservicio (Sistema de IVR, ChatBot Lucía: web), representando una mejora significativa en el uso de la tecnología y mejoras en los procesos de servicios electrónicos, lo cual ha significado un promedio mensual de satisfacción de 93%. Esto, según lo indicado por las dieciocho mil doscientas ochenta (18,280) encuestas completadas por usuarios, luego de recibir nuestros servicios en los canales de atención.</w:t>
      </w:r>
    </w:p>
    <w:p w14:paraId="7632D817" w14:textId="4E61801E" w:rsidR="00292E97" w:rsidRPr="00292E97" w:rsidRDefault="00292E97" w:rsidP="006B204A">
      <w:pPr>
        <w:spacing w:line="360" w:lineRule="auto"/>
        <w:jc w:val="both"/>
        <w:rPr>
          <w:rFonts w:eastAsia="Calibri"/>
          <w:lang w:val="es-DO"/>
        </w:rPr>
      </w:pPr>
      <w:r w:rsidRPr="00292E97">
        <w:rPr>
          <w:rFonts w:eastAsia="Calibri"/>
          <w:lang w:val="es-DO"/>
        </w:rPr>
        <w:t>A su vez, se incorporaron dos funcionalidades nuevas en la aplicación ProUsuario uno de ellos es el comparativo de indicadores y el mapa bancario, el cual permite a los usuarios explorar las ubicaciones y horarios de todas las sucursales, cajeros automáticos y subagentes bancarios.</w:t>
      </w:r>
    </w:p>
    <w:p w14:paraId="5DEFFE5A" w14:textId="5FB64FD7" w:rsidR="00292E97" w:rsidRPr="00292E97" w:rsidRDefault="00292E97" w:rsidP="006B204A">
      <w:pPr>
        <w:spacing w:line="360" w:lineRule="auto"/>
        <w:jc w:val="both"/>
        <w:rPr>
          <w:rFonts w:eastAsia="Calibri"/>
          <w:lang w:val="es-DO"/>
        </w:rPr>
      </w:pPr>
      <w:r w:rsidRPr="00292E97">
        <w:rPr>
          <w:rFonts w:eastAsia="Calibri"/>
          <w:lang w:val="es-DO"/>
        </w:rPr>
        <w:t>Además, se presentó el libro “Guía Básica de Finanzas para Jóvenes”. Esta publicación digital e impresa invita al lector a tomar decisiones informadas sobre sus finanzas.</w:t>
      </w:r>
    </w:p>
    <w:p w14:paraId="4EF21F5D" w14:textId="0D7CDA8A" w:rsidR="00292E97" w:rsidRPr="00292E97" w:rsidRDefault="00292E97" w:rsidP="006B204A">
      <w:pPr>
        <w:spacing w:line="360" w:lineRule="auto"/>
        <w:jc w:val="both"/>
        <w:rPr>
          <w:rFonts w:eastAsia="Calibri"/>
          <w:lang w:val="es-DO"/>
        </w:rPr>
      </w:pPr>
      <w:r w:rsidRPr="00292E97">
        <w:rPr>
          <w:rFonts w:eastAsia="Calibri"/>
          <w:lang w:val="es-DO"/>
        </w:rPr>
        <w:t>En otro orden, la Superintendencia de Bancos, a través de su Programa de Entidades Financieras Intervenidas y en Liquidación (IFIL), al 2023, se han realizados pagos a favor de 1,668 ahorristas por un valor ascendente a Ciento cuarenta y seis millones dos mil quinientos cinco pesos (RD$146.002.505).</w:t>
      </w:r>
    </w:p>
    <w:p w14:paraId="2028CC73" w14:textId="706CCFB4" w:rsidR="000C7BBE" w:rsidRDefault="00116A35" w:rsidP="006B204A">
      <w:pPr>
        <w:spacing w:line="360" w:lineRule="auto"/>
        <w:jc w:val="both"/>
        <w:rPr>
          <w:rFonts w:eastAsia="Calibri"/>
          <w:lang w:val="es-DO"/>
        </w:rPr>
      </w:pPr>
      <w:r w:rsidRPr="00292E97">
        <w:rPr>
          <w:rFonts w:eastAsia="Calibri"/>
          <w:lang w:val="es-DO"/>
        </w:rPr>
        <w:t>Por último, pero no menos importante</w:t>
      </w:r>
      <w:r>
        <w:rPr>
          <w:rFonts w:eastAsia="Calibri"/>
          <w:lang w:val="es-DO"/>
        </w:rPr>
        <w:t xml:space="preserve">, con miras a </w:t>
      </w:r>
      <w:r w:rsidR="00292E97" w:rsidRPr="00292E97">
        <w:rPr>
          <w:rFonts w:eastAsia="Calibri"/>
          <w:lang w:val="es-DO"/>
        </w:rPr>
        <w:t xml:space="preserve">alcanzar estándares internaciones en aspectos como cumplimiento normativo, antisoborno, continuidad de negocios, gobernanza de TI, equidad de género, seguridad de la información, seguridad y salud laboral y medio ambiente. En esta última categoría se resaltar la obtención de la certificación medioambiental 3R, nivel Oro, en junio del año 2023. </w:t>
      </w:r>
    </w:p>
    <w:p w14:paraId="196436A2" w14:textId="15354075" w:rsidR="00274E67" w:rsidRPr="00274E67" w:rsidRDefault="001A74DD" w:rsidP="00274E67">
      <w:pPr>
        <w:pStyle w:val="Estilo3"/>
        <w:rPr>
          <w:rFonts w:eastAsia="Calibri"/>
          <w:b/>
          <w:szCs w:val="24"/>
        </w:rPr>
      </w:pPr>
      <w:bookmarkStart w:id="4" w:name="_Toc155354597"/>
      <w:r>
        <w:rPr>
          <w:rFonts w:eastAsia="Calibri"/>
          <w:b/>
          <w:szCs w:val="24"/>
        </w:rPr>
        <w:lastRenderedPageBreak/>
        <w:t>Principales l</w:t>
      </w:r>
      <w:r w:rsidR="00274E67" w:rsidRPr="00274E67">
        <w:rPr>
          <w:rFonts w:eastAsia="Calibri"/>
          <w:b/>
          <w:szCs w:val="24"/>
        </w:rPr>
        <w:t xml:space="preserve">ogros </w:t>
      </w:r>
      <w:r>
        <w:rPr>
          <w:rFonts w:eastAsia="Calibri"/>
          <w:b/>
          <w:szCs w:val="24"/>
        </w:rPr>
        <w:t>a</w:t>
      </w:r>
      <w:r w:rsidR="00274E67">
        <w:rPr>
          <w:rFonts w:eastAsia="Calibri"/>
          <w:b/>
          <w:szCs w:val="24"/>
        </w:rPr>
        <w:t xml:space="preserve">cumulados </w:t>
      </w:r>
      <w:r w:rsidR="00274E67" w:rsidRPr="00274E67">
        <w:rPr>
          <w:rFonts w:eastAsia="Calibri"/>
          <w:b/>
          <w:szCs w:val="24"/>
        </w:rPr>
        <w:t>de la Superintendencia de Bancos</w:t>
      </w:r>
      <w:r w:rsidR="00274E67">
        <w:rPr>
          <w:rFonts w:eastAsia="Calibri"/>
          <w:b/>
          <w:szCs w:val="24"/>
        </w:rPr>
        <w:t xml:space="preserve"> desde el periodo 2020 al </w:t>
      </w:r>
      <w:r w:rsidR="00274E67" w:rsidRPr="00274E67">
        <w:rPr>
          <w:rFonts w:eastAsia="Calibri"/>
          <w:b/>
          <w:szCs w:val="24"/>
        </w:rPr>
        <w:t>2023</w:t>
      </w:r>
      <w:bookmarkEnd w:id="4"/>
    </w:p>
    <w:p w14:paraId="3490B301" w14:textId="16BCA73F" w:rsidR="00274E67" w:rsidRDefault="00274E67" w:rsidP="00274E67">
      <w:pPr>
        <w:jc w:val="both"/>
        <w:rPr>
          <w:rFonts w:eastAsia="Calibri"/>
          <w:sz w:val="18"/>
          <w:lang w:val="es-DO"/>
        </w:rPr>
      </w:pPr>
      <w:r w:rsidRPr="00274E67">
        <w:rPr>
          <w:rFonts w:eastAsia="Calibri"/>
          <w:b/>
        </w:rPr>
        <mc:AlternateContent>
          <mc:Choice Requires="wps">
            <w:drawing>
              <wp:anchor distT="0" distB="0" distL="114300" distR="114300" simplePos="0" relativeHeight="251660311" behindDoc="0" locked="0" layoutInCell="1" allowOverlap="1" wp14:anchorId="03D5F6A5" wp14:editId="6EFE886E">
                <wp:simplePos x="0" y="0"/>
                <wp:positionH relativeFrom="margin">
                  <wp:posOffset>2266950</wp:posOffset>
                </wp:positionH>
                <wp:positionV relativeFrom="paragraph">
                  <wp:posOffset>158750</wp:posOffset>
                </wp:positionV>
                <wp:extent cx="463550" cy="0"/>
                <wp:effectExtent l="0" t="19050" r="31750" b="19050"/>
                <wp:wrapNone/>
                <wp:docPr id="228727125" name="Conector recto 228727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42E0D" id="Conector recto 228727125" o:spid="_x0000_s1026" style="position:absolute;z-index:2516603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5pt,12.5pt" to="2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" strokecolor="#ee2a24" strokeweight="2.25pt">
                <v:stroke joinstyle="miter"/>
                <w10:wrap anchorx="margin"/>
              </v:line>
            </w:pict>
          </mc:Fallback>
        </mc:AlternateContent>
      </w:r>
    </w:p>
    <w:p w14:paraId="596BE1D4" w14:textId="77777777" w:rsidR="00274E67" w:rsidRDefault="00274E67" w:rsidP="00274E67">
      <w:pPr>
        <w:spacing w:after="0" w:line="360" w:lineRule="auto"/>
        <w:jc w:val="both"/>
        <w:rPr>
          <w:lang w:val="es-DO"/>
        </w:rPr>
      </w:pPr>
    </w:p>
    <w:p w14:paraId="2E2FF226" w14:textId="5A4D5FF6" w:rsidR="00274E67" w:rsidRPr="00DB34CC" w:rsidRDefault="00274E67" w:rsidP="00274E67">
      <w:pPr>
        <w:spacing w:line="360" w:lineRule="auto"/>
        <w:jc w:val="both"/>
        <w:rPr>
          <w:lang w:val="es-DO"/>
        </w:rPr>
      </w:pPr>
      <w:r w:rsidRPr="00DB34CC">
        <w:rPr>
          <w:lang w:val="es-DO"/>
        </w:rPr>
        <w:t xml:space="preserve">A continuación, se describe los principales logros realizados por la Superintendencia de Bancos de la República Dominicana, en miras al cumplimiento de sus objetivos estratégicos </w:t>
      </w:r>
      <w:r w:rsidR="00D17D99">
        <w:rPr>
          <w:lang w:val="es-DO"/>
        </w:rPr>
        <w:t xml:space="preserve">desde el 2020 hasta el </w:t>
      </w:r>
      <w:r w:rsidRPr="00DB34CC">
        <w:rPr>
          <w:lang w:val="es-DO"/>
        </w:rPr>
        <w:t>2023, mostrando cuales fueron los</w:t>
      </w:r>
      <w:r w:rsidR="00D17D99">
        <w:rPr>
          <w:lang w:val="es-DO"/>
        </w:rPr>
        <w:t xml:space="preserve"> principales objetivos</w:t>
      </w:r>
      <w:r w:rsidRPr="00DB34CC">
        <w:rPr>
          <w:lang w:val="es-DO"/>
        </w:rPr>
        <w:t xml:space="preserve"> </w:t>
      </w:r>
      <w:r>
        <w:rPr>
          <w:lang w:val="es-DO"/>
        </w:rPr>
        <w:t>alcanzad</w:t>
      </w:r>
      <w:r w:rsidR="00D17D99">
        <w:rPr>
          <w:lang w:val="es-DO"/>
        </w:rPr>
        <w:t>os</w:t>
      </w:r>
      <w:r w:rsidRPr="00DB34CC">
        <w:rPr>
          <w:lang w:val="es-DO"/>
        </w:rPr>
        <w:t xml:space="preserve"> sobre la base del compromiso y las acciones realizadas.</w:t>
      </w:r>
    </w:p>
    <w:p w14:paraId="3A3966ED" w14:textId="216100F8" w:rsidR="00E832EC" w:rsidRDefault="00E832EC" w:rsidP="00274E67">
      <w:pPr>
        <w:spacing w:line="360" w:lineRule="auto"/>
        <w:jc w:val="both"/>
        <w:rPr>
          <w:b/>
          <w:bCs/>
          <w:lang w:val="es-DO"/>
        </w:rPr>
      </w:pPr>
      <w:r>
        <w:rPr>
          <w:b/>
          <w:bCs/>
          <w:lang w:val="es-DO"/>
        </w:rPr>
        <w:t>F</w:t>
      </w:r>
      <w:r w:rsidRPr="00E832EC">
        <w:rPr>
          <w:b/>
          <w:bCs/>
          <w:lang w:val="es-DO"/>
        </w:rPr>
        <w:t>ortalecimiento de la oficina de PROUSUARIO</w:t>
      </w:r>
    </w:p>
    <w:p w14:paraId="26AC669C" w14:textId="579F9611" w:rsidR="00274E67" w:rsidRPr="00E832EC" w:rsidRDefault="00E832EC" w:rsidP="00E832EC">
      <w:pPr>
        <w:spacing w:line="360" w:lineRule="auto"/>
        <w:jc w:val="both"/>
        <w:rPr>
          <w:lang w:val="es-DO"/>
        </w:rPr>
      </w:pPr>
      <w:r>
        <w:rPr>
          <w:lang w:val="es-DO"/>
        </w:rPr>
        <w:t>A</w:t>
      </w:r>
      <w:r w:rsidRPr="00E832EC">
        <w:rPr>
          <w:lang w:val="es-DO"/>
        </w:rPr>
        <w:t xml:space="preserve"> partir de agosto de 2020 se instauró un intenso proceso de</w:t>
      </w:r>
      <w:r>
        <w:rPr>
          <w:lang w:val="es-DO"/>
        </w:rPr>
        <w:t xml:space="preserve"> </w:t>
      </w:r>
      <w:r w:rsidRPr="00E832EC">
        <w:rPr>
          <w:lang w:val="es-DO"/>
        </w:rPr>
        <w:t>transformación y fortalecimiento de la oficina de PROUSUARIO, principalmente</w:t>
      </w:r>
      <w:r>
        <w:rPr>
          <w:lang w:val="es-DO"/>
        </w:rPr>
        <w:t xml:space="preserve"> </w:t>
      </w:r>
      <w:r w:rsidRPr="00E832EC">
        <w:rPr>
          <w:lang w:val="es-DO"/>
        </w:rPr>
        <w:t>enfocado en aspectos como la diversificación de los canales de servicio y la capacidad de</w:t>
      </w:r>
      <w:r>
        <w:rPr>
          <w:lang w:val="es-DO"/>
        </w:rPr>
        <w:t xml:space="preserve"> </w:t>
      </w:r>
      <w:r w:rsidRPr="00E832EC">
        <w:rPr>
          <w:lang w:val="es-DO"/>
        </w:rPr>
        <w:t>atención. En noviembre de 2020, se puso a disposición de los usuarios un portal web</w:t>
      </w:r>
      <w:r>
        <w:rPr>
          <w:lang w:val="es-DO"/>
        </w:rPr>
        <w:t xml:space="preserve"> </w:t>
      </w:r>
      <w:r w:rsidRPr="00E832EC">
        <w:rPr>
          <w:lang w:val="es-DO"/>
        </w:rPr>
        <w:t>independiente para</w:t>
      </w:r>
      <w:r>
        <w:rPr>
          <w:lang w:val="es-DO"/>
        </w:rPr>
        <w:t xml:space="preserve"> </w:t>
      </w:r>
      <w:r w:rsidRPr="00E832EC">
        <w:rPr>
          <w:lang w:val="es-DO"/>
        </w:rPr>
        <w:t>PROUSUARIO mediante las cual los usuarios tienen un mayor acceso</w:t>
      </w:r>
      <w:r>
        <w:rPr>
          <w:lang w:val="es-DO"/>
        </w:rPr>
        <w:t xml:space="preserve"> </w:t>
      </w:r>
      <w:r w:rsidRPr="00E832EC">
        <w:rPr>
          <w:lang w:val="es-DO"/>
        </w:rPr>
        <w:t>a los servicios de orientación y de atención de reclamaciones y denuncias. Además, se</w:t>
      </w:r>
      <w:r>
        <w:rPr>
          <w:lang w:val="es-DO"/>
        </w:rPr>
        <w:t xml:space="preserve"> </w:t>
      </w:r>
      <w:r w:rsidRPr="00E832EC">
        <w:rPr>
          <w:lang w:val="es-DO"/>
        </w:rPr>
        <w:t>adecuaron los canales actuales de servicio, estructurando un centro de contacto (</w:t>
      </w:r>
      <w:proofErr w:type="spellStart"/>
      <w:proofErr w:type="gramStart"/>
      <w:r w:rsidRPr="00E832EC">
        <w:rPr>
          <w:lang w:val="es-DO"/>
        </w:rPr>
        <w:t>call</w:t>
      </w:r>
      <w:proofErr w:type="spellEnd"/>
      <w:r>
        <w:rPr>
          <w:lang w:val="es-DO"/>
        </w:rPr>
        <w:t xml:space="preserve"> </w:t>
      </w:r>
      <w:r w:rsidRPr="00E832EC">
        <w:rPr>
          <w:lang w:val="es-DO"/>
        </w:rPr>
        <w:t>center</w:t>
      </w:r>
      <w:proofErr w:type="gramEnd"/>
      <w:r w:rsidRPr="00E832EC">
        <w:rPr>
          <w:lang w:val="es-DO"/>
        </w:rPr>
        <w:t>) que permitió duplicar la capacidad de respuesta, entre otras mejoras.</w:t>
      </w:r>
    </w:p>
    <w:p w14:paraId="6C22A3E5" w14:textId="357685AD" w:rsidR="00E832EC" w:rsidRDefault="00E832EC" w:rsidP="00E832EC">
      <w:pPr>
        <w:spacing w:line="360" w:lineRule="auto"/>
        <w:jc w:val="both"/>
        <w:rPr>
          <w:b/>
          <w:bCs/>
          <w:lang w:val="es-DO"/>
        </w:rPr>
      </w:pPr>
      <w:r>
        <w:rPr>
          <w:b/>
          <w:bCs/>
          <w:lang w:val="es-DO"/>
        </w:rPr>
        <w:t xml:space="preserve">Emitida la Circular </w:t>
      </w:r>
      <w:r w:rsidRPr="00E832EC">
        <w:rPr>
          <w:b/>
          <w:bCs/>
          <w:lang w:val="es-DO"/>
        </w:rPr>
        <w:t>SB: No.023/20</w:t>
      </w:r>
    </w:p>
    <w:p w14:paraId="30417E1F" w14:textId="1C5E1E59" w:rsidR="00274E67" w:rsidRDefault="00E832EC" w:rsidP="00E832EC">
      <w:pPr>
        <w:spacing w:line="360" w:lineRule="auto"/>
        <w:jc w:val="both"/>
        <w:rPr>
          <w:lang w:val="es-DO"/>
        </w:rPr>
      </w:pPr>
      <w:r w:rsidRPr="00E832EC">
        <w:rPr>
          <w:lang w:val="es-DO"/>
        </w:rPr>
        <w:t>en agosto de 2020 se emitió la Circular SB: No.023/20, donde se</w:t>
      </w:r>
      <w:r>
        <w:rPr>
          <w:lang w:val="es-DO"/>
        </w:rPr>
        <w:t xml:space="preserve"> </w:t>
      </w:r>
      <w:r w:rsidRPr="00E832EC">
        <w:rPr>
          <w:lang w:val="es-DO"/>
        </w:rPr>
        <w:t>establecen los lineamientos que deben observar las EIF que adoptaron medidas de</w:t>
      </w:r>
      <w:r>
        <w:rPr>
          <w:lang w:val="es-DO"/>
        </w:rPr>
        <w:t xml:space="preserve"> </w:t>
      </w:r>
      <w:r w:rsidRPr="00E832EC">
        <w:rPr>
          <w:lang w:val="es-DO"/>
        </w:rPr>
        <w:t>flexibilización para los clientes. A partir de esta circular, entre los meses de agosto y</w:t>
      </w:r>
      <w:r>
        <w:rPr>
          <w:lang w:val="es-DO"/>
        </w:rPr>
        <w:t xml:space="preserve"> </w:t>
      </w:r>
      <w:r w:rsidRPr="00E832EC">
        <w:rPr>
          <w:lang w:val="es-DO"/>
        </w:rPr>
        <w:t>noviembre de 2020, fueron implementadas varias campañas informativas/educativas en</w:t>
      </w:r>
      <w:r>
        <w:rPr>
          <w:lang w:val="es-DO"/>
        </w:rPr>
        <w:t xml:space="preserve"> </w:t>
      </w:r>
      <w:r w:rsidRPr="00E832EC">
        <w:rPr>
          <w:lang w:val="es-DO"/>
        </w:rPr>
        <w:t>redes sociales orientadas a los usuarios financieros, para que los mismos entendieran</w:t>
      </w:r>
      <w:r>
        <w:rPr>
          <w:lang w:val="es-DO"/>
        </w:rPr>
        <w:t xml:space="preserve"> </w:t>
      </w:r>
      <w:r w:rsidRPr="00E832EC">
        <w:rPr>
          <w:lang w:val="es-DO"/>
        </w:rPr>
        <w:t xml:space="preserve">mejor las medidas de flexibilización otorgadas por las </w:t>
      </w:r>
      <w:r w:rsidRPr="00E832EC">
        <w:rPr>
          <w:lang w:val="es-DO"/>
        </w:rPr>
        <w:lastRenderedPageBreak/>
        <w:t>EIF durante la pandemia generada</w:t>
      </w:r>
      <w:r>
        <w:rPr>
          <w:lang w:val="es-DO"/>
        </w:rPr>
        <w:t xml:space="preserve"> </w:t>
      </w:r>
      <w:r w:rsidRPr="00E832EC">
        <w:rPr>
          <w:lang w:val="es-DO"/>
        </w:rPr>
        <w:t>por el COVID-19. Como parte de este proceso</w:t>
      </w:r>
      <w:r>
        <w:rPr>
          <w:lang w:val="es-DO"/>
        </w:rPr>
        <w:t>.</w:t>
      </w:r>
    </w:p>
    <w:p w14:paraId="4BC46806" w14:textId="77777777" w:rsidR="00021A8C" w:rsidRDefault="00021A8C" w:rsidP="00E832EC">
      <w:pPr>
        <w:spacing w:line="360" w:lineRule="auto"/>
        <w:jc w:val="both"/>
        <w:rPr>
          <w:b/>
          <w:bCs/>
          <w:lang w:val="es-DO"/>
        </w:rPr>
      </w:pPr>
      <w:r w:rsidRPr="00021A8C">
        <w:rPr>
          <w:b/>
          <w:bCs/>
          <w:lang w:val="es-DO"/>
        </w:rPr>
        <w:t>Promoción de la Integridad del Sistema Financiero</w:t>
      </w:r>
    </w:p>
    <w:p w14:paraId="758CA3A9" w14:textId="18C26F3E" w:rsidR="00E832EC" w:rsidRDefault="00C3394B" w:rsidP="00021A8C">
      <w:pPr>
        <w:spacing w:line="360" w:lineRule="auto"/>
        <w:jc w:val="both"/>
        <w:rPr>
          <w:lang w:val="es-DO"/>
        </w:rPr>
      </w:pPr>
      <w:r>
        <w:rPr>
          <w:lang w:val="es-DO"/>
        </w:rPr>
        <w:t>En</w:t>
      </w:r>
      <w:r w:rsidR="00021A8C" w:rsidRPr="00021A8C">
        <w:rPr>
          <w:lang w:val="es-DO"/>
        </w:rPr>
        <w:t xml:space="preserve"> materia de Prevención de Lavado de Activos y Financiamiento del Terrorismo (PLAFT), durante el año 2021 se realizaron once (11) supervisiones transversales a sujetos obligados. Adicionalmente, se respondieron ciento sesenta y un (161) solicitudes de opinión, no objeciones y autorizaciones presentadas por las entidades de intermediación financiera y los intermediarios cambiarios (</w:t>
      </w:r>
      <w:proofErr w:type="spellStart"/>
      <w:r w:rsidR="00021A8C" w:rsidRPr="00021A8C">
        <w:rPr>
          <w:lang w:val="es-DO"/>
        </w:rPr>
        <w:t>EIFyC</w:t>
      </w:r>
      <w:proofErr w:type="spellEnd"/>
      <w:r w:rsidR="00021A8C" w:rsidRPr="00021A8C">
        <w:rPr>
          <w:lang w:val="es-DO"/>
        </w:rPr>
        <w:t>) y fueron recibidas y atendidas 1,653 solicitudes de información concernientes a Prevención del Lavado de Activos y Financiamiento del Terrorismo, en cumplimiento a la Ley 155-17.</w:t>
      </w:r>
    </w:p>
    <w:p w14:paraId="09021F91" w14:textId="77777777" w:rsidR="00C3394B" w:rsidRDefault="00C3394B" w:rsidP="00C3394B">
      <w:pPr>
        <w:spacing w:line="360" w:lineRule="auto"/>
        <w:jc w:val="both"/>
        <w:rPr>
          <w:b/>
          <w:bCs/>
          <w:lang w:val="es-DO"/>
        </w:rPr>
      </w:pPr>
      <w:r w:rsidRPr="00C3394B">
        <w:rPr>
          <w:b/>
          <w:bCs/>
          <w:lang w:val="es-DO"/>
        </w:rPr>
        <w:t>Procesos Sancionadores</w:t>
      </w:r>
      <w:r w:rsidRPr="00C3394B">
        <w:rPr>
          <w:b/>
          <w:bCs/>
          <w:lang w:val="es-DO"/>
        </w:rPr>
        <w:t xml:space="preserve"> </w:t>
      </w:r>
    </w:p>
    <w:p w14:paraId="767E3D72" w14:textId="06CD5635" w:rsidR="00C3394B" w:rsidRPr="00C3394B" w:rsidRDefault="00C3394B" w:rsidP="00C3394B">
      <w:pPr>
        <w:spacing w:line="360" w:lineRule="auto"/>
        <w:jc w:val="both"/>
        <w:rPr>
          <w:lang w:val="es-DO"/>
        </w:rPr>
      </w:pPr>
      <w:r w:rsidRPr="00C3394B">
        <w:rPr>
          <w:lang w:val="es-DO"/>
        </w:rPr>
        <w:t>La Superintendencia de Bancos, en su rol sancionador impuso durante el ejercicio del año 2021 un total de cuarenta y tres (43) sanciones. Estas</w:t>
      </w:r>
      <w:r>
        <w:rPr>
          <w:lang w:val="es-DO"/>
        </w:rPr>
        <w:t xml:space="preserve"> </w:t>
      </w:r>
      <w:r w:rsidRPr="00C3394B">
        <w:rPr>
          <w:lang w:val="es-DO"/>
        </w:rPr>
        <w:t>sanciones representaron multas pecuniarias por la suma de Ocho Millones Trecientos Setenta y Cinco Mil Seiscientos Sesenta y Nueve pesos con 00/100 (RD$8,375,669.00).</w:t>
      </w:r>
    </w:p>
    <w:p w14:paraId="1463D29C" w14:textId="77777777" w:rsidR="00C3394B" w:rsidRDefault="00C3394B" w:rsidP="00C3394B">
      <w:pPr>
        <w:spacing w:line="360" w:lineRule="auto"/>
        <w:jc w:val="both"/>
        <w:rPr>
          <w:b/>
          <w:bCs/>
          <w:lang w:val="es-DO"/>
        </w:rPr>
      </w:pPr>
      <w:r w:rsidRPr="00C3394B">
        <w:rPr>
          <w:b/>
          <w:bCs/>
          <w:lang w:val="es-DO"/>
        </w:rPr>
        <w:t>Protección y atención a los usuarios financieros</w:t>
      </w:r>
      <w:r w:rsidRPr="00C3394B">
        <w:rPr>
          <w:b/>
          <w:bCs/>
          <w:lang w:val="es-DO"/>
        </w:rPr>
        <w:t xml:space="preserve"> </w:t>
      </w:r>
    </w:p>
    <w:p w14:paraId="6F653B39" w14:textId="506E3467" w:rsidR="00274E67" w:rsidRDefault="00C3394B" w:rsidP="00C3394B">
      <w:pPr>
        <w:spacing w:line="360" w:lineRule="auto"/>
        <w:jc w:val="both"/>
        <w:rPr>
          <w:lang w:val="es-DO"/>
        </w:rPr>
      </w:pPr>
      <w:r w:rsidRPr="00C3394B">
        <w:rPr>
          <w:lang w:val="es-DO"/>
        </w:rPr>
        <w:t>En lo que respecta a la protección a los derechos de los usuarios financieros, se recibieron y atendieron un total de 73,523 usuarios entre enero-noviembre de 2021, representando un aumento de un 41% versus</w:t>
      </w:r>
      <w:r>
        <w:rPr>
          <w:lang w:val="es-DO"/>
        </w:rPr>
        <w:t xml:space="preserve"> </w:t>
      </w:r>
      <w:r w:rsidRPr="00C3394B">
        <w:rPr>
          <w:lang w:val="es-DO"/>
        </w:rPr>
        <w:t>el mismo período de 2020. Por otro lado, se recibieron un total de 3,919</w:t>
      </w:r>
      <w:r>
        <w:rPr>
          <w:lang w:val="es-DO"/>
        </w:rPr>
        <w:t xml:space="preserve"> </w:t>
      </w:r>
      <w:r w:rsidRPr="00C3394B">
        <w:rPr>
          <w:lang w:val="es-DO"/>
        </w:rPr>
        <w:t>reclamaciones que derivaron en la instrucción de acreditación de RD$ 78.3 millones de pesos a favor de los usuarios, monto que representa un incremento de 142% con relación al mismo período del año anterior.</w:t>
      </w:r>
    </w:p>
    <w:p w14:paraId="2C4A2C2B" w14:textId="77777777" w:rsidR="00C3394B" w:rsidRDefault="00C3394B" w:rsidP="00C3394B">
      <w:pPr>
        <w:spacing w:line="360" w:lineRule="auto"/>
        <w:jc w:val="both"/>
        <w:rPr>
          <w:b/>
          <w:bCs/>
          <w:lang w:val="es-DO"/>
        </w:rPr>
      </w:pPr>
      <w:r w:rsidRPr="00C3394B">
        <w:rPr>
          <w:b/>
          <w:bCs/>
          <w:lang w:val="es-DO"/>
        </w:rPr>
        <w:lastRenderedPageBreak/>
        <w:t>Resarcimiento de ahorristas mediante el programa IFIL</w:t>
      </w:r>
      <w:r w:rsidRPr="00C3394B">
        <w:rPr>
          <w:b/>
          <w:bCs/>
          <w:lang w:val="es-DO"/>
        </w:rPr>
        <w:t xml:space="preserve"> </w:t>
      </w:r>
    </w:p>
    <w:p w14:paraId="58DA5BCF" w14:textId="2B334245" w:rsidR="00274E67" w:rsidRDefault="00C3394B" w:rsidP="00C3394B">
      <w:pPr>
        <w:spacing w:line="360" w:lineRule="auto"/>
        <w:jc w:val="both"/>
        <w:rPr>
          <w:lang w:val="es-DO"/>
        </w:rPr>
      </w:pPr>
      <w:r w:rsidRPr="00C3394B">
        <w:rPr>
          <w:lang w:val="es-DO"/>
        </w:rPr>
        <w:t>En su rol como liquidador designado de las EIF en proceso de liquidación a través del Programa IFIL, la SB realizó considerables esfuerzos para identificar y resarcir a los ahorristas faltantes de estas entidades. En este sentido, durante el período enero-noviembre de 2021 fueron identificados 142 ahorristas con cuentas que cuyos montos suman alrededor de RD$28 millones. De este monto, se han emitidos pagos a la fecha por RD $17 millones. Estos son depositantes que tenían décadas con dinero disponible para pagarse, pero que no habían sido informados para recibir sus fondos.</w:t>
      </w:r>
    </w:p>
    <w:p w14:paraId="6573DBB2" w14:textId="77777777" w:rsidR="00C3394B" w:rsidRDefault="00C3394B" w:rsidP="00C3394B">
      <w:pPr>
        <w:spacing w:line="360" w:lineRule="auto"/>
        <w:jc w:val="both"/>
        <w:rPr>
          <w:b/>
          <w:bCs/>
          <w:lang w:val="es-DO"/>
        </w:rPr>
      </w:pPr>
      <w:r w:rsidRPr="00C3394B">
        <w:rPr>
          <w:b/>
          <w:bCs/>
          <w:lang w:val="es-DO"/>
        </w:rPr>
        <w:t>Fortalecimiento institucional</w:t>
      </w:r>
      <w:r w:rsidRPr="00C3394B">
        <w:rPr>
          <w:b/>
          <w:bCs/>
          <w:lang w:val="es-DO"/>
        </w:rPr>
        <w:t xml:space="preserve"> </w:t>
      </w:r>
    </w:p>
    <w:p w14:paraId="5D0BCC88" w14:textId="1E56FCDB" w:rsidR="00274E67" w:rsidRDefault="00A64301" w:rsidP="00A64301">
      <w:pPr>
        <w:spacing w:line="360" w:lineRule="auto"/>
        <w:jc w:val="both"/>
        <w:rPr>
          <w:lang w:val="es-DO"/>
        </w:rPr>
      </w:pPr>
      <w:r w:rsidRPr="00A64301">
        <w:rPr>
          <w:lang w:val="es-DO"/>
        </w:rPr>
        <w:t>como parte del proceso de transformación digital de la institución la SB se embarcó en la implementación de la firma digital con el objetivo de agilizar sus procesos internos. Mediante la publicación</w:t>
      </w:r>
      <w:r>
        <w:rPr>
          <w:lang w:val="es-DO"/>
        </w:rPr>
        <w:t xml:space="preserve"> </w:t>
      </w:r>
      <w:r w:rsidRPr="00A64301">
        <w:rPr>
          <w:lang w:val="es-DO"/>
        </w:rPr>
        <w:t>de la circular 009/21 la SB procura aumentar la eficiencia en las respuestas a las entidades y reducir su huella ambiental. Durante el año 2021, un total de 8,008 firmas digitales fueron emitidas en documentos de la SB tanto para uso interno como para remisión de información hacia las EIF y/u otras instituciones.</w:t>
      </w:r>
    </w:p>
    <w:p w14:paraId="070DD682" w14:textId="77777777" w:rsidR="00A64301" w:rsidRDefault="00A64301" w:rsidP="00A64301">
      <w:pPr>
        <w:spacing w:line="360" w:lineRule="auto"/>
        <w:jc w:val="both"/>
        <w:rPr>
          <w:b/>
          <w:bCs/>
          <w:lang w:val="es-DO"/>
        </w:rPr>
      </w:pPr>
      <w:r w:rsidRPr="00A64301">
        <w:rPr>
          <w:b/>
          <w:bCs/>
          <w:lang w:val="es-DO"/>
        </w:rPr>
        <w:t>APP Móvil ProUsuario</w:t>
      </w:r>
      <w:r w:rsidRPr="00A64301">
        <w:rPr>
          <w:b/>
          <w:bCs/>
          <w:lang w:val="es-DO"/>
        </w:rPr>
        <w:t xml:space="preserve"> </w:t>
      </w:r>
    </w:p>
    <w:p w14:paraId="77C042A5" w14:textId="1D36EE14" w:rsidR="00274E67" w:rsidRDefault="00A64301" w:rsidP="00A64301">
      <w:pPr>
        <w:spacing w:line="360" w:lineRule="auto"/>
        <w:jc w:val="both"/>
        <w:rPr>
          <w:lang w:val="es-DO"/>
        </w:rPr>
      </w:pPr>
      <w:r>
        <w:rPr>
          <w:lang w:val="es-DO"/>
        </w:rPr>
        <w:t>C</w:t>
      </w:r>
      <w:r w:rsidRPr="00A64301">
        <w:rPr>
          <w:lang w:val="es-DO"/>
        </w:rPr>
        <w:t>on el lanzamiento de la APP Móvil ProUsuario Digital, como canal digital de servicio a usuarios la institución fue seleccionada entre los cinco finalistas para el premio Nelson</w:t>
      </w:r>
      <w:r>
        <w:rPr>
          <w:lang w:val="es-DO"/>
        </w:rPr>
        <w:t xml:space="preserve"> </w:t>
      </w:r>
      <w:proofErr w:type="spellStart"/>
      <w:r w:rsidRPr="00A64301">
        <w:rPr>
          <w:lang w:val="es-DO"/>
        </w:rPr>
        <w:t>Espenilla</w:t>
      </w:r>
      <w:proofErr w:type="spellEnd"/>
      <w:r w:rsidRPr="00A64301">
        <w:rPr>
          <w:lang w:val="es-DO"/>
        </w:rPr>
        <w:t xml:space="preserve"> a la Innovación e Inclusión Financiera por la Alliance </w:t>
      </w:r>
      <w:proofErr w:type="spellStart"/>
      <w:r w:rsidRPr="00A64301">
        <w:rPr>
          <w:lang w:val="es-DO"/>
        </w:rPr>
        <w:t>for</w:t>
      </w:r>
      <w:proofErr w:type="spellEnd"/>
      <w:r w:rsidRPr="00A64301">
        <w:rPr>
          <w:lang w:val="es-DO"/>
        </w:rPr>
        <w:t xml:space="preserve"> Financial </w:t>
      </w:r>
      <w:proofErr w:type="spellStart"/>
      <w:r w:rsidRPr="00A64301">
        <w:rPr>
          <w:lang w:val="es-DO"/>
        </w:rPr>
        <w:t>Inclusion</w:t>
      </w:r>
      <w:proofErr w:type="spellEnd"/>
      <w:r w:rsidRPr="00A64301">
        <w:rPr>
          <w:lang w:val="es-DO"/>
        </w:rPr>
        <w:t>, por la Oficina Gubernamental de Tecnologías de</w:t>
      </w:r>
      <w:r>
        <w:rPr>
          <w:lang w:val="es-DO"/>
        </w:rPr>
        <w:t xml:space="preserve"> </w:t>
      </w:r>
      <w:r w:rsidRPr="00A64301">
        <w:rPr>
          <w:lang w:val="es-DO"/>
        </w:rPr>
        <w:t xml:space="preserve">la Información y Comunicación (OGTIC) como una “práctica promisoria de Gobierno Digital”, y el Ministerio Administrativo de la Presidencia nos </w:t>
      </w:r>
      <w:r w:rsidRPr="00A64301">
        <w:rPr>
          <w:lang w:val="es-DO"/>
        </w:rPr>
        <w:lastRenderedPageBreak/>
        <w:t>galardonó con el primer lugar del Premio Nacional a la Innovación Pública 2022, en el renglón Innovación Pública Implementada.</w:t>
      </w:r>
    </w:p>
    <w:p w14:paraId="54EE9895" w14:textId="77777777" w:rsidR="00A64301" w:rsidRDefault="00A64301" w:rsidP="00A64301">
      <w:pPr>
        <w:spacing w:line="360" w:lineRule="auto"/>
        <w:jc w:val="both"/>
        <w:rPr>
          <w:b/>
          <w:bCs/>
          <w:lang w:val="es-DO"/>
        </w:rPr>
      </w:pPr>
      <w:r w:rsidRPr="00A64301">
        <w:rPr>
          <w:b/>
          <w:bCs/>
          <w:lang w:val="es-DO"/>
        </w:rPr>
        <w:t>Burocracia Cero</w:t>
      </w:r>
      <w:r w:rsidRPr="00A64301">
        <w:rPr>
          <w:b/>
          <w:bCs/>
          <w:lang w:val="es-DO"/>
        </w:rPr>
        <w:t xml:space="preserve"> </w:t>
      </w:r>
    </w:p>
    <w:p w14:paraId="35787AE4" w14:textId="658A767C" w:rsidR="00A64301" w:rsidRDefault="00A64301" w:rsidP="00A64301">
      <w:pPr>
        <w:spacing w:line="360" w:lineRule="auto"/>
        <w:jc w:val="both"/>
        <w:rPr>
          <w:lang w:val="es-DO"/>
        </w:rPr>
      </w:pPr>
      <w:r>
        <w:rPr>
          <w:lang w:val="es-DO"/>
        </w:rPr>
        <w:t>E</w:t>
      </w:r>
      <w:r w:rsidRPr="00A64301">
        <w:rPr>
          <w:lang w:val="es-DO"/>
        </w:rPr>
        <w:t>n cumplimiento a las metas de gobierno 2020-2024, la institución realizó avances en el plan de mejora de la calidad y oportunidad de las informaciones requeridas por norma a las entidades reguladas</w:t>
      </w:r>
      <w:r>
        <w:rPr>
          <w:lang w:val="es-DO"/>
        </w:rPr>
        <w:t>,</w:t>
      </w:r>
      <w:r w:rsidRPr="00A64301">
        <w:rPr>
          <w:lang w:val="es-DO"/>
        </w:rPr>
        <w:t xml:space="preserve"> integrando nuevos reportes regulatorios en el Portal de la Administración Monetaria y Financiera (PAMF), en el que se ha migrado el 60% de los 127 reportes programados</w:t>
      </w:r>
      <w:r>
        <w:rPr>
          <w:lang w:val="es-DO"/>
        </w:rPr>
        <w:t xml:space="preserve"> al 2022</w:t>
      </w:r>
      <w:r w:rsidRPr="00A64301">
        <w:rPr>
          <w:lang w:val="es-DO"/>
        </w:rPr>
        <w:t xml:space="preserve"> y el Nuevo Portal Web Institucional que ha permitido mejorar la experiencia del usuario y expansión de autoservicios.</w:t>
      </w:r>
    </w:p>
    <w:p w14:paraId="532230E0" w14:textId="438BB48B" w:rsidR="00A64301" w:rsidRDefault="00A64301" w:rsidP="00A64301">
      <w:pPr>
        <w:spacing w:line="360" w:lineRule="auto"/>
        <w:jc w:val="both"/>
        <w:rPr>
          <w:b/>
          <w:bCs/>
          <w:lang w:val="es-DO"/>
        </w:rPr>
      </w:pPr>
      <w:r w:rsidRPr="00A64301">
        <w:rPr>
          <w:b/>
          <w:bCs/>
          <w:lang w:val="es-DO"/>
        </w:rPr>
        <w:t xml:space="preserve">Sistema de Gestión de </w:t>
      </w:r>
      <w:r w:rsidRPr="00A64301">
        <w:rPr>
          <w:b/>
          <w:bCs/>
          <w:lang w:val="es-DO"/>
        </w:rPr>
        <w:t xml:space="preserve">Calidad </w:t>
      </w:r>
      <w:r>
        <w:rPr>
          <w:b/>
          <w:bCs/>
          <w:lang w:val="es-DO"/>
        </w:rPr>
        <w:t>ISO 9001:2015</w:t>
      </w:r>
    </w:p>
    <w:p w14:paraId="69D2EBE9" w14:textId="6C70F96C" w:rsidR="00A64301" w:rsidRPr="00A64301" w:rsidRDefault="00A64301" w:rsidP="00A64301">
      <w:pPr>
        <w:spacing w:line="360" w:lineRule="auto"/>
        <w:jc w:val="both"/>
        <w:rPr>
          <w:lang w:val="es-DO"/>
        </w:rPr>
      </w:pPr>
      <w:r w:rsidRPr="00A64301">
        <w:rPr>
          <w:lang w:val="es-DO"/>
        </w:rPr>
        <w:t>Priorizando los servicios a usuarios y a las entidades supervisadas, se implementó un Sistema de Gestión de Calidad, basado en la Norma</w:t>
      </w:r>
      <w:r>
        <w:rPr>
          <w:lang w:val="es-DO"/>
        </w:rPr>
        <w:t xml:space="preserve"> </w:t>
      </w:r>
      <w:r w:rsidRPr="00A64301">
        <w:rPr>
          <w:lang w:val="es-DO"/>
        </w:rPr>
        <w:t>ISO 9001:2015, certificando los procesos de los departamentos ProUsuario y Registros &amp; Autorizaciones</w:t>
      </w:r>
      <w:r>
        <w:rPr>
          <w:lang w:val="es-DO"/>
        </w:rPr>
        <w:t>.</w:t>
      </w:r>
    </w:p>
    <w:p w14:paraId="718DA0E3" w14:textId="685F7322" w:rsidR="00FA2E80" w:rsidRDefault="00FA2E80" w:rsidP="00A64301">
      <w:pPr>
        <w:spacing w:line="360" w:lineRule="auto"/>
        <w:jc w:val="both"/>
        <w:rPr>
          <w:b/>
          <w:bCs/>
          <w:lang w:val="es-DO"/>
        </w:rPr>
      </w:pPr>
      <w:r>
        <w:rPr>
          <w:b/>
          <w:bCs/>
          <w:lang w:val="es-DO"/>
        </w:rPr>
        <w:t>R</w:t>
      </w:r>
      <w:r w:rsidRPr="00FA2E80">
        <w:rPr>
          <w:b/>
          <w:bCs/>
          <w:lang w:val="es-DO"/>
        </w:rPr>
        <w:t>uta regulatoria “B3-27”</w:t>
      </w:r>
    </w:p>
    <w:p w14:paraId="310682CD" w14:textId="0175E8CF" w:rsidR="00A64301" w:rsidRDefault="00FA2E80" w:rsidP="00FA2E80">
      <w:pPr>
        <w:spacing w:line="360" w:lineRule="auto"/>
        <w:jc w:val="both"/>
        <w:rPr>
          <w:lang w:val="es-DO"/>
        </w:rPr>
      </w:pPr>
      <w:r>
        <w:rPr>
          <w:lang w:val="es-DO"/>
        </w:rPr>
        <w:t>S</w:t>
      </w:r>
      <w:r w:rsidRPr="00FA2E80">
        <w:rPr>
          <w:lang w:val="es-DO"/>
        </w:rPr>
        <w:t xml:space="preserve">e sentaron las bases de la propuesta de ruta regulatoria “B3-27”, con el objetivo de actualizar la normativa del sistema financiero conforme con los estándares prudenciales internacionales. En paralelo, a fin de fortalecer y hacer más eficiente la regulación y supervisión del sistema financiero, se publicaron catorce (14) Cartas Circulares y dos (2) Instructivos. Regulando temas como: derechos de los usuarios, protocolo para la protección y uso adecuado de los datos personales, entre otros. Además, quince (15) Circulares, incluyendo la emblemática de </w:t>
      </w:r>
      <w:proofErr w:type="spellStart"/>
      <w:r w:rsidRPr="00FA2E80">
        <w:rPr>
          <w:lang w:val="es-DO"/>
        </w:rPr>
        <w:t>Onboarding</w:t>
      </w:r>
      <w:proofErr w:type="spellEnd"/>
      <w:r w:rsidRPr="00FA2E80">
        <w:rPr>
          <w:lang w:val="es-DO"/>
        </w:rPr>
        <w:t xml:space="preserve"> Digital, que establece la base jurídica y las rutinas de debida diligencia para las operaciones bancarias remotas y no presenciales</w:t>
      </w:r>
      <w:r>
        <w:rPr>
          <w:lang w:val="es-DO"/>
        </w:rPr>
        <w:t>.</w:t>
      </w:r>
    </w:p>
    <w:p w14:paraId="05F02CBF" w14:textId="10C402F4" w:rsidR="00FA2E80" w:rsidRDefault="00FA2E80" w:rsidP="00FA2E80">
      <w:pPr>
        <w:spacing w:line="360" w:lineRule="auto"/>
        <w:jc w:val="both"/>
        <w:rPr>
          <w:b/>
          <w:bCs/>
          <w:lang w:val="es-DO"/>
        </w:rPr>
      </w:pPr>
      <w:r>
        <w:rPr>
          <w:b/>
          <w:bCs/>
          <w:lang w:val="es-DO"/>
        </w:rPr>
        <w:lastRenderedPageBreak/>
        <w:t>Supervisiones reguladoras</w:t>
      </w:r>
    </w:p>
    <w:p w14:paraId="3F5973DC" w14:textId="6737B8B0" w:rsidR="00FA2E80" w:rsidRDefault="00FA2E80" w:rsidP="00FA2E80">
      <w:pPr>
        <w:spacing w:line="360" w:lineRule="auto"/>
        <w:jc w:val="both"/>
        <w:rPr>
          <w:lang w:val="es-DO"/>
        </w:rPr>
      </w:pPr>
      <w:r w:rsidRPr="00FA2E80">
        <w:rPr>
          <w:lang w:val="es-DO"/>
        </w:rPr>
        <w:t>En cumplimiento a las funciones que le confiere la Ley Monetaria y Financiera, durante el año 2022, la SB realizó setenta y una (71) inspecciones in-situ a entidades de intermediación financiera y cambiarias. Estas enfocadas en aspectos de calidad de los activos y pasivos, calidad de la cartera de créditos, evaluación de las operaciones de tesorería y captaciones, gobierno corporativo, auditoría interna, gestión de riesgos, adecuación patrimonial, evaluación de las utilidades, riesgo operacional, plataforma tecnológica, protección de los derechos de los usuarios de los productos y servicios financieros, seguimiento a planes de acción y en once (11) entidades, se realizaron revisiones especializadas con el</w:t>
      </w:r>
      <w:r>
        <w:rPr>
          <w:lang w:val="es-DO"/>
        </w:rPr>
        <w:t xml:space="preserve"> </w:t>
      </w:r>
      <w:r w:rsidRPr="00FA2E80">
        <w:rPr>
          <w:lang w:val="es-DO"/>
        </w:rPr>
        <w:t>Departamento de Monitoreo de Riesgos. En adición, se realizó una inspección en una entidad no regulada en colaboración con el Ministerio Público, atendiendo a denuncias de presunta intermediación financiera al margen de la Ley.</w:t>
      </w:r>
    </w:p>
    <w:p w14:paraId="2AB46413" w14:textId="77777777" w:rsidR="00FA2E80" w:rsidRPr="00D77F00" w:rsidRDefault="00FA2E80" w:rsidP="00FA2E80">
      <w:pPr>
        <w:spacing w:line="360" w:lineRule="auto"/>
        <w:jc w:val="both"/>
        <w:rPr>
          <w:b/>
          <w:bCs/>
          <w:lang w:val="es-DO"/>
        </w:rPr>
      </w:pPr>
      <w:r w:rsidRPr="00D77F00">
        <w:rPr>
          <w:b/>
          <w:bCs/>
          <w:lang w:val="es-DO"/>
        </w:rPr>
        <w:t>Oficina de Gestión de Proyectos de la SB</w:t>
      </w:r>
    </w:p>
    <w:p w14:paraId="656FEDDD" w14:textId="77777777" w:rsidR="00FA2E80" w:rsidRDefault="00FA2E80" w:rsidP="00FA2E80">
      <w:pPr>
        <w:spacing w:line="360" w:lineRule="auto"/>
        <w:jc w:val="both"/>
      </w:pPr>
      <w:r w:rsidRPr="00FA2E80">
        <w:t>Mediante este proyecto, la institución establece una serie de políticas, procedimientos, metodología, e indicadores de gestión, como inicio de un piloto para la gestión eficiente e implementación de mejores prácticas en los proyectos de la SB.</w:t>
      </w:r>
    </w:p>
    <w:p w14:paraId="04F0EEAA" w14:textId="77777777" w:rsidR="00FA2E80" w:rsidRPr="00A1453A" w:rsidRDefault="00FA2E80" w:rsidP="00FA2E80">
      <w:pPr>
        <w:spacing w:line="360" w:lineRule="auto"/>
        <w:jc w:val="both"/>
        <w:rPr>
          <w:b/>
          <w:bCs/>
          <w:lang w:val="es-DO"/>
        </w:rPr>
      </w:pPr>
      <w:r w:rsidRPr="00A1453A">
        <w:rPr>
          <w:b/>
          <w:bCs/>
          <w:lang w:val="es-DO"/>
        </w:rPr>
        <w:t>Inclusión Financiera para América Latina y el Caribe (FILAC-2023)</w:t>
      </w:r>
    </w:p>
    <w:p w14:paraId="2A00A58F" w14:textId="77777777" w:rsidR="00FA2E80" w:rsidRPr="00FA2E80" w:rsidRDefault="00FA2E80" w:rsidP="00FA2E80">
      <w:pPr>
        <w:spacing w:line="360" w:lineRule="auto"/>
        <w:jc w:val="both"/>
        <w:rPr>
          <w:lang w:val="es-DO"/>
        </w:rPr>
      </w:pPr>
      <w:r w:rsidRPr="00FA2E80">
        <w:t xml:space="preserve">La Superintendencia de Bancos celebró en el 2023, el evento “Inclusión Financiera para América Latina y el Caribe (FILAC-2023)”, afianzando las acciones de cooperación con entidades locales e internacionales; así como, la sinergia que potencie el accionar institucional. Se contemplaron estrategias de comunicación que </w:t>
      </w:r>
      <w:r w:rsidRPr="00FA2E80">
        <w:lastRenderedPageBreak/>
        <w:t xml:space="preserve">consolidaron la imagen de la institución en términos de credibilidad, confianza y visibilidad; alineados a la misión de ser un referente nacional </w:t>
      </w:r>
      <w:r w:rsidRPr="00FA2E80">
        <w:rPr>
          <w:lang w:val="es-DO"/>
        </w:rPr>
        <w:t>e internacional.</w:t>
      </w:r>
    </w:p>
    <w:p w14:paraId="358B6BB6" w14:textId="77777777" w:rsidR="00FA2E80" w:rsidRPr="00FA2E80" w:rsidRDefault="00FA2E80" w:rsidP="00FA2E80">
      <w:pPr>
        <w:spacing w:line="360" w:lineRule="auto"/>
        <w:jc w:val="both"/>
        <w:rPr>
          <w:b/>
          <w:bCs/>
          <w:lang w:val="es-DO"/>
        </w:rPr>
      </w:pPr>
      <w:r w:rsidRPr="00FA2E80">
        <w:rPr>
          <w:b/>
          <w:bCs/>
          <w:lang w:val="es-DO"/>
        </w:rPr>
        <w:t>Sellos de Subagentes Bancarios</w:t>
      </w:r>
    </w:p>
    <w:p w14:paraId="40AFF9A3" w14:textId="77777777" w:rsidR="00FA2E80" w:rsidRPr="00FA2E80" w:rsidRDefault="00FA2E80" w:rsidP="00FA2E80">
      <w:pPr>
        <w:spacing w:line="360" w:lineRule="auto"/>
        <w:jc w:val="both"/>
        <w:rPr>
          <w:lang w:val="es-DO"/>
        </w:rPr>
      </w:pPr>
      <w:r w:rsidRPr="00FA2E80">
        <w:rPr>
          <w:lang w:val="es-DO"/>
        </w:rPr>
        <w:t>Honrando la misión institucional, que establece la realización de distintas acciones orientadas a eliminar las operaciones fraudulentas del sistema financiero por parte de agentes económicos que no cuenten con la autorización establecida por las normativas vigentes, la Superintendencia de Bancos desarrolló e implementó un sello de identificación de subagentes bancarios regulados, llevando seguridad y confianza a todos los usuarios al momento de realizar sus transacciones.</w:t>
      </w:r>
    </w:p>
    <w:p w14:paraId="532C9733" w14:textId="77777777" w:rsidR="00FA2E80" w:rsidRPr="00FA2E80" w:rsidRDefault="00FA2E80" w:rsidP="00FA2E80">
      <w:pPr>
        <w:spacing w:line="360" w:lineRule="auto"/>
        <w:jc w:val="both"/>
        <w:rPr>
          <w:b/>
          <w:bCs/>
          <w:lang w:val="es-DO"/>
        </w:rPr>
      </w:pPr>
      <w:r w:rsidRPr="00FA2E80">
        <w:rPr>
          <w:b/>
          <w:bCs/>
          <w:lang w:val="es-DO"/>
        </w:rPr>
        <w:t>Unidad de Supervisión de Fiduciarias</w:t>
      </w:r>
    </w:p>
    <w:p w14:paraId="70B150D2" w14:textId="77777777" w:rsidR="00FA2E80" w:rsidRPr="00FA2E80" w:rsidRDefault="00FA2E80" w:rsidP="00FA2E80">
      <w:pPr>
        <w:spacing w:line="360" w:lineRule="auto"/>
        <w:jc w:val="both"/>
      </w:pPr>
      <w:r w:rsidRPr="00FA2E80">
        <w:t>Para el 2023, la Superintendencia de Bancos realizó cuantiosas acciones para desarrollar e implementar procesos de supervisión a todos los niveles; siendo válido destacar la Unidad de Supervisión de las Fiduciarias. Actualmente, la SB cuenta bajo su jurisdicción con diecinueve (19) entidades fiduciarias y tres (3) agentes de garantía.</w:t>
      </w:r>
    </w:p>
    <w:p w14:paraId="556FB960" w14:textId="77777777" w:rsidR="00FA2E80" w:rsidRPr="00A1453A" w:rsidRDefault="00FA2E80" w:rsidP="00FA2E80">
      <w:pPr>
        <w:spacing w:line="360" w:lineRule="auto"/>
        <w:jc w:val="both"/>
        <w:rPr>
          <w:b/>
          <w:bCs/>
          <w:lang w:val="es-DO"/>
        </w:rPr>
      </w:pPr>
      <w:r w:rsidRPr="00A1453A">
        <w:rPr>
          <w:b/>
          <w:bCs/>
          <w:lang w:val="es-DO"/>
        </w:rPr>
        <w:t>Sistema de Monitoreo de Calidad de Procesos Internos</w:t>
      </w:r>
    </w:p>
    <w:p w14:paraId="460541B5" w14:textId="6116D57E" w:rsidR="00274E67" w:rsidRDefault="00FA2E80" w:rsidP="006B204A">
      <w:pPr>
        <w:spacing w:line="360" w:lineRule="auto"/>
        <w:jc w:val="both"/>
        <w:rPr>
          <w:rFonts w:eastAsia="Calibri"/>
          <w:lang w:val="es-DO"/>
        </w:rPr>
      </w:pPr>
      <w:r w:rsidRPr="00FA2E80">
        <w:t xml:space="preserve">La SB diseñó, durante el año 2023, indicadores y métricas de eficiencia para las diferentes áreas de la Oficina de Protección al Usuario, así como, herramientas de visualización y autoservicio. </w:t>
      </w:r>
      <w:r w:rsidRPr="00FA2E80">
        <w:rPr>
          <w:lang w:val="es-DO"/>
        </w:rPr>
        <w:t>Este sistema implementado permitirá diagnosticar y aprovechar el conocimiento generado a la hora de tomar decisiones; tales como, asignación de recursos en base a las necesidades identificadas, mejoras en los procesos institucionales, invocar sanciones a las entidades del sistema financiero, entre otras situaciones de valor.</w:t>
      </w:r>
    </w:p>
    <w:p w14:paraId="1DA55F0C" w14:textId="72114CBD" w:rsidR="000C7BBE" w:rsidRPr="00274E67" w:rsidRDefault="001A74DD" w:rsidP="00274E67">
      <w:pPr>
        <w:pStyle w:val="Estilo3"/>
        <w:rPr>
          <w:rFonts w:eastAsia="Calibri"/>
          <w:b/>
          <w:szCs w:val="24"/>
        </w:rPr>
      </w:pPr>
      <w:bookmarkStart w:id="5" w:name="_Toc155354598"/>
      <w:r>
        <w:rPr>
          <w:rFonts w:eastAsia="Calibri"/>
          <w:b/>
          <w:szCs w:val="24"/>
        </w:rPr>
        <w:lastRenderedPageBreak/>
        <w:t>Principales l</w:t>
      </w:r>
      <w:r w:rsidR="000C7BBE" w:rsidRPr="00274E67">
        <w:rPr>
          <w:rFonts w:eastAsia="Calibri"/>
          <w:b/>
          <w:szCs w:val="24"/>
        </w:rPr>
        <w:t>ogros</w:t>
      </w:r>
      <w:r w:rsidR="00234FCF" w:rsidRPr="00274E67">
        <w:rPr>
          <w:rFonts w:eastAsia="Calibri"/>
          <w:b/>
          <w:szCs w:val="24"/>
        </w:rPr>
        <w:t xml:space="preserve"> de la Superintendencia de Bancos</w:t>
      </w:r>
      <w:r w:rsidR="005D5C92" w:rsidRPr="00274E67">
        <w:rPr>
          <w:rFonts w:eastAsia="Calibri"/>
          <w:b/>
          <w:szCs w:val="24"/>
        </w:rPr>
        <w:t xml:space="preserve"> </w:t>
      </w:r>
      <w:r w:rsidR="00274E67" w:rsidRPr="00FA2E80">
        <w:rPr>
          <w:rFonts w:eastAsia="Calibri"/>
          <w:b/>
          <w:szCs w:val="24"/>
        </w:rPr>
        <w:t>durante el periodo</w:t>
      </w:r>
      <w:r w:rsidR="004022BD" w:rsidRPr="00274E67">
        <w:rPr>
          <w:rFonts w:eastAsia="Calibri"/>
          <w:b/>
          <w:szCs w:val="24"/>
        </w:rPr>
        <w:t xml:space="preserve"> 2023</w:t>
      </w:r>
      <w:bookmarkEnd w:id="5"/>
    </w:p>
    <w:p w14:paraId="6C3C20A7" w14:textId="79EEA8A7" w:rsidR="000C7BBE" w:rsidRDefault="00274E67" w:rsidP="00274E67">
      <w:pPr>
        <w:spacing w:after="0"/>
        <w:jc w:val="both"/>
        <w:rPr>
          <w:rFonts w:eastAsia="Calibri"/>
          <w:sz w:val="18"/>
          <w:lang w:val="es-DO"/>
        </w:rPr>
      </w:pPr>
      <w:r w:rsidRPr="00274E67">
        <w:rPr>
          <w:rFonts w:eastAsia="Calibri"/>
          <w:b/>
        </w:rPr>
        <mc:AlternateContent>
          <mc:Choice Requires="wps">
            <w:drawing>
              <wp:anchor distT="0" distB="0" distL="114300" distR="114300" simplePos="0" relativeHeight="251658263" behindDoc="0" locked="0" layoutInCell="1" allowOverlap="1" wp14:anchorId="756FC1E2" wp14:editId="39F7B185">
                <wp:simplePos x="0" y="0"/>
                <wp:positionH relativeFrom="margin">
                  <wp:posOffset>2266950</wp:posOffset>
                </wp:positionH>
                <wp:positionV relativeFrom="paragraph">
                  <wp:posOffset>73025</wp:posOffset>
                </wp:positionV>
                <wp:extent cx="463550" cy="0"/>
                <wp:effectExtent l="0" t="19050" r="31750" b="19050"/>
                <wp:wrapNone/>
                <wp:docPr id="689562327" name="Conector recto 689562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1C17D" id="Conector recto 689562327" o:spid="_x0000_s1026" style="position:absolute;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5pt,5.75pt" to="21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" strokecolor="#ee2a24" strokeweight="2.25pt">
                <v:stroke joinstyle="miter"/>
                <w10:wrap anchorx="margin"/>
              </v:line>
            </w:pict>
          </mc:Fallback>
        </mc:AlternateContent>
      </w:r>
    </w:p>
    <w:p w14:paraId="5A728A89" w14:textId="77777777" w:rsidR="00274E67" w:rsidRDefault="00274E67" w:rsidP="00274E67">
      <w:pPr>
        <w:spacing w:after="0" w:line="360" w:lineRule="auto"/>
        <w:jc w:val="both"/>
        <w:rPr>
          <w:lang w:val="es-DO"/>
        </w:rPr>
      </w:pPr>
    </w:p>
    <w:p w14:paraId="5870EE14" w14:textId="35C4D029" w:rsidR="00D77F00" w:rsidRPr="00DB34CC" w:rsidRDefault="005F0F7F" w:rsidP="005F0F7F">
      <w:pPr>
        <w:spacing w:line="360" w:lineRule="auto"/>
        <w:jc w:val="both"/>
        <w:rPr>
          <w:lang w:val="es-DO"/>
        </w:rPr>
      </w:pPr>
      <w:r w:rsidRPr="00DB34CC">
        <w:rPr>
          <w:lang w:val="es-DO"/>
        </w:rPr>
        <w:t xml:space="preserve">A continuación, se describe los principales logros realizados por la Superintendencia de Bancos de la República Dominicana, en miras al cumplimiento de sus objetivos estratégicos durante todo el año 2023, mostrando cuales fueron los objetivos y metas </w:t>
      </w:r>
      <w:r w:rsidR="00647010" w:rsidRPr="00DB34CC">
        <w:rPr>
          <w:lang w:val="es-DO"/>
        </w:rPr>
        <w:t>propuestas,</w:t>
      </w:r>
      <w:r w:rsidR="00DB34CC" w:rsidRPr="00DB34CC">
        <w:rPr>
          <w:lang w:val="es-DO"/>
        </w:rPr>
        <w:t xml:space="preserve"> </w:t>
      </w:r>
      <w:r w:rsidR="00DB34CC">
        <w:rPr>
          <w:lang w:val="es-DO"/>
        </w:rPr>
        <w:t>así como las alcanzadas</w:t>
      </w:r>
      <w:r w:rsidRPr="00DB34CC">
        <w:rPr>
          <w:lang w:val="es-DO"/>
        </w:rPr>
        <w:t xml:space="preserve"> sobre la base del compromiso y las acciones realizadas.</w:t>
      </w:r>
    </w:p>
    <w:p w14:paraId="797AA5C0" w14:textId="77777777" w:rsidR="00D77F00" w:rsidRPr="00D77F00" w:rsidRDefault="00D77F00" w:rsidP="00D77F00">
      <w:pPr>
        <w:spacing w:line="360" w:lineRule="auto"/>
        <w:jc w:val="both"/>
        <w:rPr>
          <w:b/>
          <w:bCs/>
          <w:lang w:val="es-DO"/>
        </w:rPr>
      </w:pPr>
      <w:r w:rsidRPr="00D77F00">
        <w:rPr>
          <w:b/>
          <w:bCs/>
          <w:lang w:val="es-DO"/>
        </w:rPr>
        <w:t>Oficina de Gestión de Proyectos de la SB</w:t>
      </w:r>
    </w:p>
    <w:p w14:paraId="75CE81BA" w14:textId="26DB4349" w:rsidR="00D77F00" w:rsidRPr="00D77F00" w:rsidRDefault="00D77F00" w:rsidP="00D77F00">
      <w:pPr>
        <w:pStyle w:val="Prrafodelista"/>
        <w:numPr>
          <w:ilvl w:val="0"/>
          <w:numId w:val="29"/>
        </w:numPr>
        <w:spacing w:line="360" w:lineRule="auto"/>
        <w:jc w:val="both"/>
        <w:rPr>
          <w:rFonts w:ascii="Times New Roman" w:eastAsiaTheme="minorHAnsi" w:hAnsi="Times New Roman"/>
          <w:color w:val="767171"/>
          <w:spacing w:val="20"/>
          <w:sz w:val="24"/>
          <w:szCs w:val="24"/>
        </w:rPr>
      </w:pPr>
      <w:r w:rsidRPr="00D77F00">
        <w:rPr>
          <w:rFonts w:ascii="Times New Roman" w:eastAsiaTheme="minorHAnsi" w:hAnsi="Times New Roman"/>
          <w:color w:val="767171"/>
          <w:spacing w:val="20"/>
          <w:sz w:val="24"/>
          <w:szCs w:val="24"/>
        </w:rPr>
        <w:t>Mediante este proyecto, la institución establece una serie de políticas, procedimientos, metodología, e indicadores de gestión, como inicio de un piloto para la gestión eficiente e implementación de mejores prácticas en los proyectos de la SB.</w:t>
      </w:r>
    </w:p>
    <w:p w14:paraId="35005D15" w14:textId="77777777" w:rsidR="00D77F00" w:rsidRPr="00D77F00" w:rsidRDefault="00D77F00" w:rsidP="00D77F00">
      <w:pPr>
        <w:spacing w:line="360" w:lineRule="auto"/>
        <w:jc w:val="both"/>
        <w:rPr>
          <w:b/>
          <w:bCs/>
          <w:lang w:val="es-DO"/>
        </w:rPr>
      </w:pPr>
      <w:r w:rsidRPr="00D77F00">
        <w:rPr>
          <w:b/>
          <w:bCs/>
          <w:lang w:val="es-DO"/>
        </w:rPr>
        <w:t>Fortalecimiento de los valores éticos institucionales</w:t>
      </w:r>
    </w:p>
    <w:p w14:paraId="69FFADCB" w14:textId="74BBFF56" w:rsidR="00D77F00" w:rsidRPr="00D77F00" w:rsidRDefault="00D77F00" w:rsidP="00D77F00">
      <w:pPr>
        <w:pStyle w:val="Prrafodelista"/>
        <w:numPr>
          <w:ilvl w:val="0"/>
          <w:numId w:val="29"/>
        </w:numPr>
        <w:spacing w:line="360" w:lineRule="auto"/>
        <w:jc w:val="both"/>
        <w:rPr>
          <w:rFonts w:ascii="Times New Roman" w:eastAsiaTheme="minorHAnsi" w:hAnsi="Times New Roman"/>
          <w:color w:val="767171"/>
          <w:spacing w:val="20"/>
          <w:sz w:val="24"/>
          <w:szCs w:val="24"/>
        </w:rPr>
      </w:pPr>
      <w:r w:rsidRPr="00D77F00">
        <w:rPr>
          <w:rFonts w:ascii="Times New Roman" w:eastAsiaTheme="minorHAnsi" w:hAnsi="Times New Roman"/>
          <w:color w:val="767171"/>
          <w:spacing w:val="20"/>
          <w:sz w:val="24"/>
          <w:szCs w:val="24"/>
        </w:rPr>
        <w:t>Para el año 2023, la superintendencia desarrolló un conjunto de actividades a fin de impactar positivamente a toda la institución afianzando los valores éticos alineados a la visión y misión organizacional.</w:t>
      </w:r>
    </w:p>
    <w:p w14:paraId="10BB234F" w14:textId="77777777" w:rsidR="00D77F00" w:rsidRPr="00A1453A" w:rsidRDefault="00D77F00" w:rsidP="00D77F00">
      <w:pPr>
        <w:spacing w:line="360" w:lineRule="auto"/>
        <w:jc w:val="both"/>
        <w:rPr>
          <w:b/>
          <w:bCs/>
          <w:lang w:val="es-DO"/>
        </w:rPr>
      </w:pPr>
      <w:r w:rsidRPr="00A1453A">
        <w:rPr>
          <w:b/>
          <w:bCs/>
          <w:lang w:val="es-DO"/>
        </w:rPr>
        <w:t>Acercamiento al Usuario (Fase III)</w:t>
      </w:r>
    </w:p>
    <w:p w14:paraId="76464A03" w14:textId="6028ED33" w:rsidR="00D77F00" w:rsidRDefault="00D77F00" w:rsidP="00D77F00">
      <w:pPr>
        <w:pStyle w:val="Prrafodelista"/>
        <w:numPr>
          <w:ilvl w:val="0"/>
          <w:numId w:val="29"/>
        </w:numPr>
        <w:spacing w:line="360" w:lineRule="auto"/>
        <w:jc w:val="both"/>
        <w:rPr>
          <w:rFonts w:ascii="Times New Roman" w:eastAsiaTheme="minorHAnsi" w:hAnsi="Times New Roman"/>
          <w:color w:val="767171"/>
          <w:spacing w:val="20"/>
          <w:sz w:val="24"/>
          <w:szCs w:val="24"/>
        </w:rPr>
      </w:pPr>
      <w:r w:rsidRPr="00D77F00">
        <w:rPr>
          <w:rFonts w:ascii="Times New Roman" w:eastAsiaTheme="minorHAnsi" w:hAnsi="Times New Roman"/>
          <w:color w:val="767171"/>
          <w:spacing w:val="20"/>
          <w:sz w:val="24"/>
          <w:szCs w:val="24"/>
        </w:rPr>
        <w:t>Durante todo el periodo, la SB realizó una enérgica estrategia de comunicación a fin de lograr la inclusión de nuevos usuarios de los servicios financieros al sistema financiero nacional a través de la cuenta básica, aumentando el uso de la “Banca en Línea”.</w:t>
      </w:r>
    </w:p>
    <w:p w14:paraId="53583DE1" w14:textId="77777777" w:rsidR="001A74DD" w:rsidRPr="00D77F00" w:rsidRDefault="001A74DD" w:rsidP="001A74DD">
      <w:pPr>
        <w:pStyle w:val="Prrafodelista"/>
        <w:spacing w:line="360" w:lineRule="auto"/>
        <w:jc w:val="both"/>
        <w:rPr>
          <w:rFonts w:ascii="Times New Roman" w:eastAsiaTheme="minorHAnsi" w:hAnsi="Times New Roman"/>
          <w:color w:val="767171"/>
          <w:spacing w:val="20"/>
          <w:sz w:val="24"/>
          <w:szCs w:val="24"/>
        </w:rPr>
      </w:pPr>
    </w:p>
    <w:p w14:paraId="01925DC3" w14:textId="77777777" w:rsidR="00D77F00" w:rsidRPr="00A1453A" w:rsidRDefault="00D77F00" w:rsidP="00D77F00">
      <w:pPr>
        <w:spacing w:line="360" w:lineRule="auto"/>
        <w:jc w:val="both"/>
        <w:rPr>
          <w:b/>
          <w:bCs/>
          <w:lang w:val="es-DO"/>
        </w:rPr>
      </w:pPr>
      <w:r w:rsidRPr="00A1453A">
        <w:rPr>
          <w:b/>
          <w:bCs/>
          <w:lang w:val="es-DO"/>
        </w:rPr>
        <w:lastRenderedPageBreak/>
        <w:t>Interoperabilidad Consultoría jurídica de la SB – Dirección Nacional de Registro de Títulos</w:t>
      </w:r>
    </w:p>
    <w:p w14:paraId="6723C14D" w14:textId="275CFCA7" w:rsidR="00D77F00" w:rsidRPr="00D77F00" w:rsidRDefault="00D77F00" w:rsidP="00D77F00">
      <w:pPr>
        <w:pStyle w:val="Prrafodelista"/>
        <w:numPr>
          <w:ilvl w:val="0"/>
          <w:numId w:val="29"/>
        </w:numPr>
        <w:spacing w:line="360" w:lineRule="auto"/>
        <w:jc w:val="both"/>
        <w:rPr>
          <w:rFonts w:ascii="Times New Roman" w:eastAsiaTheme="minorHAnsi" w:hAnsi="Times New Roman"/>
          <w:color w:val="767171"/>
          <w:spacing w:val="20"/>
          <w:sz w:val="24"/>
          <w:szCs w:val="24"/>
        </w:rPr>
      </w:pPr>
      <w:r w:rsidRPr="00D77F00">
        <w:rPr>
          <w:rFonts w:ascii="Times New Roman" w:eastAsiaTheme="minorHAnsi" w:hAnsi="Times New Roman"/>
          <w:color w:val="767171"/>
          <w:spacing w:val="20"/>
          <w:sz w:val="24"/>
          <w:szCs w:val="24"/>
        </w:rPr>
        <w:t>Con el objetivo de reducir la burocracia, aportar valor a los procesos y, coadyuvando a los ciudadanos para que disfruten de servicios más eficientes y ágiles; durante el año 2023, la Superintendencia de Bancos realizó un conjunto de acciones dentro del marco del proyecto de interoperabilidad, junto a la Dirección Nacional de Registro de Títulos, dando como resultado un convenio para la digitalización de dos (2) de los trámites más recurrentes reduciendo los tiempos en las respuestas a las solicitudes correspondientes.</w:t>
      </w:r>
    </w:p>
    <w:p w14:paraId="61BBA168" w14:textId="77777777" w:rsidR="00D77F00" w:rsidRPr="00D77F00" w:rsidRDefault="00D77F00" w:rsidP="00D77F00">
      <w:pPr>
        <w:spacing w:line="360" w:lineRule="auto"/>
        <w:jc w:val="both"/>
        <w:rPr>
          <w:b/>
          <w:bCs/>
        </w:rPr>
      </w:pPr>
      <w:r w:rsidRPr="00D77F00">
        <w:rPr>
          <w:b/>
          <w:bCs/>
        </w:rPr>
        <w:t xml:space="preserve">Agenda </w:t>
      </w:r>
      <w:proofErr w:type="spellStart"/>
      <w:r w:rsidRPr="00D77F00">
        <w:rPr>
          <w:b/>
          <w:bCs/>
        </w:rPr>
        <w:t>Académica</w:t>
      </w:r>
      <w:proofErr w:type="spellEnd"/>
      <w:r w:rsidRPr="00D77F00">
        <w:rPr>
          <w:b/>
          <w:bCs/>
        </w:rPr>
        <w:t xml:space="preserve"> de </w:t>
      </w:r>
      <w:proofErr w:type="spellStart"/>
      <w:r w:rsidRPr="00D77F00">
        <w:rPr>
          <w:b/>
          <w:bCs/>
        </w:rPr>
        <w:t>Consultoría</w:t>
      </w:r>
      <w:proofErr w:type="spellEnd"/>
      <w:r w:rsidRPr="00D77F00">
        <w:rPr>
          <w:b/>
          <w:bCs/>
        </w:rPr>
        <w:t xml:space="preserve"> </w:t>
      </w:r>
      <w:proofErr w:type="spellStart"/>
      <w:r w:rsidRPr="00D77F00">
        <w:rPr>
          <w:b/>
          <w:bCs/>
        </w:rPr>
        <w:t>Jurídica</w:t>
      </w:r>
      <w:proofErr w:type="spellEnd"/>
    </w:p>
    <w:p w14:paraId="762BF070" w14:textId="2408E2E4" w:rsidR="00D77F00" w:rsidRPr="00D77F00" w:rsidRDefault="00D77F00" w:rsidP="00D77F00">
      <w:pPr>
        <w:pStyle w:val="Prrafodelista"/>
        <w:numPr>
          <w:ilvl w:val="0"/>
          <w:numId w:val="29"/>
        </w:numPr>
        <w:spacing w:line="360" w:lineRule="auto"/>
        <w:jc w:val="both"/>
        <w:rPr>
          <w:rFonts w:ascii="Times New Roman" w:eastAsiaTheme="minorHAnsi" w:hAnsi="Times New Roman"/>
          <w:color w:val="767171"/>
          <w:spacing w:val="20"/>
          <w:sz w:val="24"/>
          <w:szCs w:val="24"/>
        </w:rPr>
      </w:pPr>
      <w:r w:rsidRPr="00D77F00">
        <w:rPr>
          <w:rFonts w:ascii="Times New Roman" w:eastAsiaTheme="minorHAnsi" w:hAnsi="Times New Roman"/>
          <w:color w:val="767171"/>
          <w:spacing w:val="20"/>
          <w:sz w:val="24"/>
          <w:szCs w:val="24"/>
        </w:rPr>
        <w:t>La Superintendencia de Bancos realizó toda una agenda académica que fomentó el conocimiento en pro del desarrollo de la comunidad jurídica de toda la República Dominicana, mediante la promoción y organización de diversas actividades relacionadas al derecho bancario.</w:t>
      </w:r>
    </w:p>
    <w:p w14:paraId="0EB3FAD7" w14:textId="77777777" w:rsidR="00D77F00" w:rsidRPr="00D77F00" w:rsidRDefault="00D77F00" w:rsidP="00D77F00">
      <w:pPr>
        <w:spacing w:line="360" w:lineRule="auto"/>
        <w:jc w:val="both"/>
        <w:rPr>
          <w:b/>
          <w:bCs/>
        </w:rPr>
      </w:pPr>
      <w:r w:rsidRPr="00D77F00">
        <w:rPr>
          <w:b/>
          <w:bCs/>
        </w:rPr>
        <w:t xml:space="preserve">Ley de Embargo </w:t>
      </w:r>
      <w:proofErr w:type="spellStart"/>
      <w:r w:rsidRPr="00D77F00">
        <w:rPr>
          <w:b/>
          <w:bCs/>
        </w:rPr>
        <w:t>Retentivo</w:t>
      </w:r>
      <w:proofErr w:type="spellEnd"/>
    </w:p>
    <w:p w14:paraId="29AAD137" w14:textId="6A08C16F" w:rsidR="00D77F00" w:rsidRPr="00D77F00" w:rsidRDefault="00D77F00" w:rsidP="00D77F00">
      <w:pPr>
        <w:pStyle w:val="Prrafodelista"/>
        <w:numPr>
          <w:ilvl w:val="0"/>
          <w:numId w:val="29"/>
        </w:numPr>
        <w:spacing w:line="360" w:lineRule="auto"/>
        <w:jc w:val="both"/>
        <w:rPr>
          <w:rFonts w:ascii="Times New Roman" w:eastAsiaTheme="minorHAnsi" w:hAnsi="Times New Roman"/>
          <w:color w:val="767171"/>
          <w:spacing w:val="20"/>
          <w:sz w:val="24"/>
          <w:szCs w:val="24"/>
        </w:rPr>
      </w:pPr>
      <w:r w:rsidRPr="00D77F00">
        <w:rPr>
          <w:rFonts w:ascii="Times New Roman" w:eastAsiaTheme="minorHAnsi" w:hAnsi="Times New Roman"/>
          <w:color w:val="767171"/>
          <w:spacing w:val="20"/>
          <w:sz w:val="24"/>
          <w:szCs w:val="24"/>
        </w:rPr>
        <w:t>En el año 2023, la institución elabora un proyecto de ley que permitirá reformar el procedimiento de embargo retentivo, mejorando el posicionamiento de la reputación institucional impactando positivamente en la sociedad.</w:t>
      </w:r>
    </w:p>
    <w:p w14:paraId="1928ECEC" w14:textId="77777777" w:rsidR="00D77F00" w:rsidRPr="00A1453A" w:rsidRDefault="00D77F00" w:rsidP="00D77F00">
      <w:pPr>
        <w:spacing w:line="360" w:lineRule="auto"/>
        <w:jc w:val="both"/>
        <w:rPr>
          <w:b/>
          <w:bCs/>
          <w:lang w:val="es-DO"/>
        </w:rPr>
      </w:pPr>
      <w:r w:rsidRPr="00A1453A">
        <w:rPr>
          <w:b/>
          <w:bCs/>
          <w:lang w:val="es-DO"/>
        </w:rPr>
        <w:t>Inclusión Financiera para América Latina y el Caribe (FILAC-2023)</w:t>
      </w:r>
    </w:p>
    <w:p w14:paraId="5215C737" w14:textId="01F22AE8" w:rsidR="00D77F00" w:rsidRPr="00D77F00" w:rsidRDefault="00D77F00" w:rsidP="00D77F00">
      <w:pPr>
        <w:pStyle w:val="Prrafodelista"/>
        <w:numPr>
          <w:ilvl w:val="0"/>
          <w:numId w:val="29"/>
        </w:numPr>
        <w:spacing w:line="360" w:lineRule="auto"/>
        <w:jc w:val="both"/>
        <w:rPr>
          <w:rFonts w:ascii="Times New Roman" w:eastAsiaTheme="minorHAnsi" w:hAnsi="Times New Roman"/>
          <w:color w:val="767171"/>
          <w:spacing w:val="20"/>
          <w:sz w:val="24"/>
          <w:szCs w:val="24"/>
        </w:rPr>
      </w:pPr>
      <w:r w:rsidRPr="00D77F00">
        <w:rPr>
          <w:rFonts w:ascii="Times New Roman" w:eastAsiaTheme="minorHAnsi" w:hAnsi="Times New Roman"/>
          <w:color w:val="767171"/>
          <w:spacing w:val="20"/>
          <w:sz w:val="24"/>
          <w:szCs w:val="24"/>
        </w:rPr>
        <w:t xml:space="preserve">La Superintendencia de Bancos celebró en el 2023, el evento “Inclusión Financiera para América Latina y el Caribe (FILAC-2023)”, afianzando las acciones de cooperación con entidades </w:t>
      </w:r>
      <w:r w:rsidRPr="00D77F00">
        <w:rPr>
          <w:rFonts w:ascii="Times New Roman" w:eastAsiaTheme="minorHAnsi" w:hAnsi="Times New Roman"/>
          <w:color w:val="767171"/>
          <w:spacing w:val="20"/>
          <w:sz w:val="24"/>
          <w:szCs w:val="24"/>
        </w:rPr>
        <w:lastRenderedPageBreak/>
        <w:t>locales e internacionales; así como, la sinergia que potencie el accionar institucional. Se contemplaron estrategias de comunicación que consolidaron la imagen de la institución en términos de credibilidad, confianza y visibilidad; alineados a la misión de ser un referente nacional e internacional.</w:t>
      </w:r>
    </w:p>
    <w:p w14:paraId="28886CA3" w14:textId="77777777" w:rsidR="00D77F00" w:rsidRPr="00D77F00" w:rsidRDefault="00D77F00" w:rsidP="00D77F00">
      <w:pPr>
        <w:spacing w:line="360" w:lineRule="auto"/>
        <w:jc w:val="both"/>
        <w:rPr>
          <w:b/>
          <w:bCs/>
        </w:rPr>
      </w:pPr>
      <w:r w:rsidRPr="00D77F00">
        <w:rPr>
          <w:b/>
          <w:bCs/>
        </w:rPr>
        <w:t>Open Banking – Fase II</w:t>
      </w:r>
    </w:p>
    <w:p w14:paraId="14BC7306" w14:textId="7CBED34D" w:rsidR="00D77F00" w:rsidRPr="00D77F00" w:rsidRDefault="00D77F00" w:rsidP="00D77F00">
      <w:pPr>
        <w:pStyle w:val="Prrafodelista"/>
        <w:numPr>
          <w:ilvl w:val="0"/>
          <w:numId w:val="29"/>
        </w:numPr>
        <w:spacing w:line="360" w:lineRule="auto"/>
        <w:jc w:val="both"/>
        <w:rPr>
          <w:rFonts w:ascii="Times New Roman" w:eastAsiaTheme="minorHAnsi" w:hAnsi="Times New Roman"/>
          <w:color w:val="767171"/>
          <w:spacing w:val="20"/>
          <w:sz w:val="24"/>
          <w:szCs w:val="24"/>
        </w:rPr>
      </w:pPr>
      <w:r w:rsidRPr="00D77F00">
        <w:rPr>
          <w:rFonts w:ascii="Times New Roman" w:eastAsiaTheme="minorHAnsi" w:hAnsi="Times New Roman"/>
          <w:color w:val="767171"/>
          <w:spacing w:val="20"/>
          <w:sz w:val="24"/>
          <w:szCs w:val="24"/>
        </w:rPr>
        <w:t>Este proyecto realizado</w:t>
      </w:r>
      <w:r w:rsidR="00756931">
        <w:rPr>
          <w:rFonts w:ascii="Times New Roman" w:eastAsiaTheme="minorHAnsi" w:hAnsi="Times New Roman"/>
          <w:color w:val="767171"/>
          <w:spacing w:val="20"/>
          <w:sz w:val="24"/>
          <w:szCs w:val="24"/>
        </w:rPr>
        <w:t>,</w:t>
      </w:r>
      <w:r w:rsidRPr="00D77F00">
        <w:rPr>
          <w:rFonts w:ascii="Times New Roman" w:eastAsiaTheme="minorHAnsi" w:hAnsi="Times New Roman"/>
          <w:color w:val="767171"/>
          <w:spacing w:val="20"/>
          <w:sz w:val="24"/>
          <w:szCs w:val="24"/>
        </w:rPr>
        <w:t xml:space="preserve"> en el presente año</w:t>
      </w:r>
      <w:r>
        <w:rPr>
          <w:rFonts w:ascii="Times New Roman" w:eastAsiaTheme="minorHAnsi" w:hAnsi="Times New Roman"/>
          <w:color w:val="767171"/>
          <w:spacing w:val="20"/>
          <w:sz w:val="24"/>
          <w:szCs w:val="24"/>
        </w:rPr>
        <w:t>,</w:t>
      </w:r>
      <w:r w:rsidRPr="00D77F00">
        <w:rPr>
          <w:rFonts w:ascii="Times New Roman" w:eastAsiaTheme="minorHAnsi" w:hAnsi="Times New Roman"/>
          <w:color w:val="767171"/>
          <w:spacing w:val="20"/>
          <w:sz w:val="24"/>
          <w:szCs w:val="24"/>
        </w:rPr>
        <w:t xml:space="preserve"> comprendió una serie de ejercicios y acciones orientadas a mejorar la oferta de servicios financieros, realineando en mejor manera las soluciones que se ofrecen con las necesidades de los usuarios.</w:t>
      </w:r>
    </w:p>
    <w:p w14:paraId="1C955D70" w14:textId="77777777" w:rsidR="00D77F00" w:rsidRPr="00D77F00" w:rsidRDefault="00D77F00" w:rsidP="00D77F00">
      <w:pPr>
        <w:spacing w:line="360" w:lineRule="auto"/>
        <w:jc w:val="both"/>
        <w:rPr>
          <w:b/>
          <w:bCs/>
        </w:rPr>
      </w:pPr>
      <w:proofErr w:type="spellStart"/>
      <w:r w:rsidRPr="00D77F00">
        <w:rPr>
          <w:b/>
          <w:bCs/>
        </w:rPr>
        <w:t>Sellos</w:t>
      </w:r>
      <w:proofErr w:type="spellEnd"/>
      <w:r w:rsidRPr="00D77F00">
        <w:rPr>
          <w:b/>
          <w:bCs/>
        </w:rPr>
        <w:t xml:space="preserve"> de </w:t>
      </w:r>
      <w:proofErr w:type="spellStart"/>
      <w:r w:rsidRPr="00D77F00">
        <w:rPr>
          <w:b/>
          <w:bCs/>
        </w:rPr>
        <w:t>Subagentes</w:t>
      </w:r>
      <w:proofErr w:type="spellEnd"/>
      <w:r w:rsidRPr="00D77F00">
        <w:rPr>
          <w:b/>
          <w:bCs/>
        </w:rPr>
        <w:t xml:space="preserve"> </w:t>
      </w:r>
      <w:proofErr w:type="spellStart"/>
      <w:r w:rsidRPr="00D77F00">
        <w:rPr>
          <w:b/>
          <w:bCs/>
        </w:rPr>
        <w:t>Bancarios</w:t>
      </w:r>
      <w:proofErr w:type="spellEnd"/>
    </w:p>
    <w:p w14:paraId="292E4444" w14:textId="4994EF8D" w:rsidR="00D77F00" w:rsidRPr="00D77F00" w:rsidRDefault="00D77F00" w:rsidP="00D77F00">
      <w:pPr>
        <w:pStyle w:val="Prrafodelista"/>
        <w:numPr>
          <w:ilvl w:val="0"/>
          <w:numId w:val="29"/>
        </w:numPr>
        <w:spacing w:line="360" w:lineRule="auto"/>
        <w:jc w:val="both"/>
        <w:rPr>
          <w:rFonts w:ascii="Times New Roman" w:eastAsiaTheme="minorHAnsi" w:hAnsi="Times New Roman"/>
          <w:color w:val="767171"/>
          <w:spacing w:val="20"/>
          <w:sz w:val="24"/>
          <w:szCs w:val="24"/>
        </w:rPr>
      </w:pPr>
      <w:r w:rsidRPr="00D77F00">
        <w:rPr>
          <w:rFonts w:ascii="Times New Roman" w:eastAsiaTheme="minorHAnsi" w:hAnsi="Times New Roman"/>
          <w:color w:val="767171"/>
          <w:spacing w:val="20"/>
          <w:sz w:val="24"/>
          <w:szCs w:val="24"/>
        </w:rPr>
        <w:t>Honrando la misión institucional, que establece la realización de distintas acciones orientadas a eliminar las operaciones fraudulentas del sistema financiero por parte de agentes económicos que no cuenten con la autorización establecida por las normativas vigentes, la Superintendencia de Bancos desarrolló e implementó un sello de identificación de subagentes bancarios regulados, llevando seguridad y confianza a todos los usuarios al momento de realizar sus transacciones.</w:t>
      </w:r>
    </w:p>
    <w:p w14:paraId="6EFDAF7B" w14:textId="77777777" w:rsidR="00D77F00" w:rsidRPr="00A1453A" w:rsidRDefault="00D77F00" w:rsidP="00D77F00">
      <w:pPr>
        <w:spacing w:line="360" w:lineRule="auto"/>
        <w:jc w:val="both"/>
        <w:rPr>
          <w:b/>
          <w:bCs/>
          <w:lang w:val="es-DO"/>
        </w:rPr>
      </w:pPr>
      <w:r w:rsidRPr="00A1453A">
        <w:rPr>
          <w:b/>
          <w:bCs/>
          <w:lang w:val="es-DO"/>
        </w:rPr>
        <w:t>Implementación del Manual de Requerimientos de Información (MRI)</w:t>
      </w:r>
    </w:p>
    <w:p w14:paraId="1541E62A" w14:textId="1FB95664" w:rsidR="00D77F00" w:rsidRPr="00D77F00" w:rsidRDefault="00D77F00" w:rsidP="00D77F00">
      <w:pPr>
        <w:pStyle w:val="Prrafodelista"/>
        <w:numPr>
          <w:ilvl w:val="0"/>
          <w:numId w:val="29"/>
        </w:numPr>
        <w:spacing w:line="360" w:lineRule="auto"/>
        <w:jc w:val="both"/>
        <w:rPr>
          <w:rFonts w:ascii="Times New Roman" w:eastAsiaTheme="minorHAnsi" w:hAnsi="Times New Roman"/>
          <w:color w:val="767171"/>
          <w:spacing w:val="20"/>
          <w:sz w:val="24"/>
          <w:szCs w:val="24"/>
        </w:rPr>
      </w:pPr>
      <w:r w:rsidRPr="00D77F00">
        <w:rPr>
          <w:rFonts w:ascii="Times New Roman" w:eastAsiaTheme="minorHAnsi" w:hAnsi="Times New Roman"/>
          <w:color w:val="767171"/>
          <w:spacing w:val="20"/>
          <w:sz w:val="24"/>
          <w:szCs w:val="24"/>
        </w:rPr>
        <w:t xml:space="preserve">Gracias a la implementación del Manual de Requerimientos de Información (MRI), la SB desarrolló y monitoreó un conjunto de mejoras en su sistema institucional, permitiendo agregar valor a las informaciones que se manejan acorde a la complejidad y dinámica del mercado; para posteriormente ser </w:t>
      </w:r>
      <w:r w:rsidRPr="00D77F00">
        <w:rPr>
          <w:rFonts w:ascii="Times New Roman" w:eastAsiaTheme="minorHAnsi" w:hAnsi="Times New Roman"/>
          <w:color w:val="767171"/>
          <w:spacing w:val="20"/>
          <w:sz w:val="24"/>
          <w:szCs w:val="24"/>
        </w:rPr>
        <w:lastRenderedPageBreak/>
        <w:t>puestas a disposición de todas las entidades vinculadas. Además, como respuesta a la ejecución de mejores prácticas internacionales de supervisión bancaria, se facilita la planificación estratégica y la gestión del riesgo y negocios en las entidades supervisadas.</w:t>
      </w:r>
    </w:p>
    <w:p w14:paraId="1C27A311" w14:textId="77777777" w:rsidR="00D77F00" w:rsidRPr="00D77F00" w:rsidRDefault="00D77F00" w:rsidP="00D77F00">
      <w:pPr>
        <w:spacing w:line="360" w:lineRule="auto"/>
        <w:jc w:val="both"/>
        <w:rPr>
          <w:b/>
          <w:bCs/>
        </w:rPr>
      </w:pPr>
      <w:proofErr w:type="spellStart"/>
      <w:r w:rsidRPr="00D77F00">
        <w:rPr>
          <w:b/>
          <w:bCs/>
        </w:rPr>
        <w:t>Readecuación</w:t>
      </w:r>
      <w:proofErr w:type="spellEnd"/>
      <w:r w:rsidRPr="00D77F00">
        <w:rPr>
          <w:b/>
          <w:bCs/>
        </w:rPr>
        <w:t xml:space="preserve"> de </w:t>
      </w:r>
      <w:proofErr w:type="spellStart"/>
      <w:r w:rsidRPr="00D77F00">
        <w:rPr>
          <w:b/>
          <w:bCs/>
        </w:rPr>
        <w:t>los</w:t>
      </w:r>
      <w:proofErr w:type="spellEnd"/>
      <w:r w:rsidRPr="00D77F00">
        <w:rPr>
          <w:b/>
          <w:bCs/>
        </w:rPr>
        <w:t xml:space="preserve"> </w:t>
      </w:r>
      <w:proofErr w:type="spellStart"/>
      <w:r w:rsidRPr="00D77F00">
        <w:rPr>
          <w:b/>
          <w:bCs/>
        </w:rPr>
        <w:t>espacios</w:t>
      </w:r>
      <w:proofErr w:type="spellEnd"/>
      <w:r w:rsidRPr="00D77F00">
        <w:rPr>
          <w:b/>
          <w:bCs/>
        </w:rPr>
        <w:t xml:space="preserve"> </w:t>
      </w:r>
      <w:proofErr w:type="spellStart"/>
      <w:r w:rsidRPr="00D77F00">
        <w:rPr>
          <w:b/>
          <w:bCs/>
        </w:rPr>
        <w:t>institucionales</w:t>
      </w:r>
      <w:proofErr w:type="spellEnd"/>
    </w:p>
    <w:p w14:paraId="37A7736E" w14:textId="3EC30BA9" w:rsidR="00D77F00" w:rsidRPr="00D77F00" w:rsidRDefault="00D77F00" w:rsidP="00D77F00">
      <w:pPr>
        <w:pStyle w:val="Prrafodelista"/>
        <w:numPr>
          <w:ilvl w:val="0"/>
          <w:numId w:val="29"/>
        </w:numPr>
        <w:spacing w:line="360" w:lineRule="auto"/>
        <w:jc w:val="both"/>
        <w:rPr>
          <w:rFonts w:ascii="Times New Roman" w:eastAsiaTheme="minorHAnsi" w:hAnsi="Times New Roman"/>
          <w:color w:val="767171"/>
          <w:spacing w:val="20"/>
          <w:sz w:val="24"/>
          <w:szCs w:val="24"/>
        </w:rPr>
      </w:pPr>
      <w:r w:rsidRPr="00D77F00">
        <w:rPr>
          <w:rFonts w:ascii="Times New Roman" w:eastAsiaTheme="minorHAnsi" w:hAnsi="Times New Roman"/>
          <w:color w:val="767171"/>
          <w:spacing w:val="20"/>
          <w:sz w:val="24"/>
          <w:szCs w:val="24"/>
        </w:rPr>
        <w:t>Con el firme objetivo de hacer las oficinas de la SB, espacios institucionales inclusivos, eficientes y seguros; para el periodo que nos corresponde, la institución ha adquirido un sistema contra incendios para su cede, acorde a las buenas prácticas establecidas en las normas internacionales y en virtud de las especificaciones detalladas en el reglamento para la seguridad y protección contra incendios. Además, se redistribuyeron espacios, reforzaron estructuras de las edificaciones y readecuaron los sistemas eléctricos y de iluminación, para la comodidad de los servidores y usuarios de la SB. Cabe destacar la readecuación de las oficinas de Prousuario, IFIL y supervisión con miras a responder asertivamente a las necesidades actuales.</w:t>
      </w:r>
    </w:p>
    <w:p w14:paraId="2E041BE7" w14:textId="77777777" w:rsidR="00D77F00" w:rsidRPr="00A1453A" w:rsidRDefault="00D77F00" w:rsidP="00D77F00">
      <w:pPr>
        <w:spacing w:line="360" w:lineRule="auto"/>
        <w:jc w:val="both"/>
        <w:rPr>
          <w:b/>
          <w:bCs/>
          <w:lang w:val="es-DO"/>
        </w:rPr>
      </w:pPr>
      <w:r w:rsidRPr="00A1453A">
        <w:rPr>
          <w:b/>
          <w:bCs/>
          <w:lang w:val="es-DO"/>
        </w:rPr>
        <w:t>Certificación del Programa de Seguridad y Salud en el Trabajo</w:t>
      </w:r>
    </w:p>
    <w:p w14:paraId="59C4514C" w14:textId="40669CAD" w:rsidR="008279C2" w:rsidRPr="001A74DD" w:rsidRDefault="00D77F00" w:rsidP="008279C2">
      <w:pPr>
        <w:pStyle w:val="Prrafodelista"/>
        <w:numPr>
          <w:ilvl w:val="0"/>
          <w:numId w:val="29"/>
        </w:numPr>
        <w:spacing w:line="360" w:lineRule="auto"/>
        <w:jc w:val="both"/>
        <w:rPr>
          <w:rFonts w:ascii="Times New Roman" w:eastAsiaTheme="minorHAnsi" w:hAnsi="Times New Roman"/>
          <w:color w:val="767171"/>
          <w:spacing w:val="20"/>
          <w:sz w:val="24"/>
          <w:szCs w:val="24"/>
        </w:rPr>
      </w:pPr>
      <w:r w:rsidRPr="00D77F00">
        <w:rPr>
          <w:rFonts w:ascii="Times New Roman" w:eastAsiaTheme="minorHAnsi" w:hAnsi="Times New Roman"/>
          <w:color w:val="767171"/>
          <w:spacing w:val="20"/>
          <w:sz w:val="24"/>
          <w:szCs w:val="24"/>
        </w:rPr>
        <w:t>La Superintendencia de Bancos ha logrado la Certificación del Programa de Seguridad y Salud en el trabajo, el cual permite regular las condiciones en las que se desarrollan las actividades misionales y de apoyo en la institución, de cara a la prevención de accidentes y la prevención de los daños a la salud que sean consecuentes del trabajo. Este logro permite indudablemente, reducir al mínimo las causas de los riesgos inherentes al medio ambiente laboral.</w:t>
      </w:r>
    </w:p>
    <w:p w14:paraId="52F88C24" w14:textId="77777777" w:rsidR="00D77F00" w:rsidRPr="00A1453A" w:rsidRDefault="00D77F00" w:rsidP="00D77F00">
      <w:pPr>
        <w:spacing w:line="360" w:lineRule="auto"/>
        <w:jc w:val="both"/>
        <w:rPr>
          <w:b/>
          <w:bCs/>
          <w:lang w:val="es-DO"/>
        </w:rPr>
      </w:pPr>
      <w:r w:rsidRPr="00A1453A">
        <w:rPr>
          <w:b/>
          <w:bCs/>
          <w:lang w:val="es-DO"/>
        </w:rPr>
        <w:lastRenderedPageBreak/>
        <w:t>WhatsApp como herramienta de atención al cliente</w:t>
      </w:r>
    </w:p>
    <w:p w14:paraId="2425313F" w14:textId="088E4246" w:rsidR="00D77F00" w:rsidRPr="00D77F00" w:rsidRDefault="00D77F00" w:rsidP="00D77F00">
      <w:pPr>
        <w:pStyle w:val="Prrafodelista"/>
        <w:numPr>
          <w:ilvl w:val="0"/>
          <w:numId w:val="29"/>
        </w:numPr>
        <w:spacing w:line="360" w:lineRule="auto"/>
        <w:jc w:val="both"/>
        <w:rPr>
          <w:rFonts w:ascii="Times New Roman" w:eastAsiaTheme="minorHAnsi" w:hAnsi="Times New Roman"/>
          <w:color w:val="767171"/>
          <w:spacing w:val="20"/>
          <w:sz w:val="24"/>
          <w:szCs w:val="24"/>
        </w:rPr>
      </w:pPr>
      <w:r w:rsidRPr="00D77F00">
        <w:rPr>
          <w:rFonts w:ascii="Times New Roman" w:eastAsiaTheme="minorHAnsi" w:hAnsi="Times New Roman"/>
          <w:color w:val="767171"/>
          <w:spacing w:val="20"/>
          <w:sz w:val="24"/>
          <w:szCs w:val="24"/>
        </w:rPr>
        <w:t>De cara a los nuevos tiempos y asumiendo la modernidad e innovación como pilares dentro del plan de trabajo institucional, la SB implementa la aplicación tecnológica “WhatsApp” como canal de atención a los usuarios y, de documentos requeridos para la creación de solicitudes en los servicios ofrecidos en Prousuario; siendo esta herramienta una de las aplicaciones de mensajería más populares y preferidas entre los internautas de entre 16 y 64 años. Este gran paso permite a la institución aumentar y facilitar las vías disponibles para la creación de casos en las distintas oficinas de servicios y protección al usuario.</w:t>
      </w:r>
    </w:p>
    <w:p w14:paraId="41DF1481" w14:textId="77777777" w:rsidR="00D77F00" w:rsidRPr="00A1453A" w:rsidRDefault="00D77F00" w:rsidP="00D77F00">
      <w:pPr>
        <w:spacing w:line="360" w:lineRule="auto"/>
        <w:jc w:val="both"/>
        <w:rPr>
          <w:b/>
          <w:bCs/>
          <w:lang w:val="es-DO"/>
        </w:rPr>
      </w:pPr>
      <w:r w:rsidRPr="00A1453A">
        <w:rPr>
          <w:b/>
          <w:bCs/>
          <w:lang w:val="es-DO"/>
        </w:rPr>
        <w:t>Sistema de Monitoreo de Calidad de Procesos Internos</w:t>
      </w:r>
    </w:p>
    <w:p w14:paraId="262271CE" w14:textId="5ACF7808" w:rsidR="00D77F00" w:rsidRPr="00D77F00" w:rsidRDefault="00D77F00" w:rsidP="00D77F00">
      <w:pPr>
        <w:pStyle w:val="Prrafodelista"/>
        <w:numPr>
          <w:ilvl w:val="0"/>
          <w:numId w:val="29"/>
        </w:numPr>
        <w:spacing w:line="360" w:lineRule="auto"/>
        <w:jc w:val="both"/>
        <w:rPr>
          <w:rFonts w:ascii="Times New Roman" w:eastAsiaTheme="minorHAnsi" w:hAnsi="Times New Roman"/>
          <w:color w:val="767171"/>
          <w:spacing w:val="20"/>
          <w:sz w:val="24"/>
          <w:szCs w:val="24"/>
        </w:rPr>
      </w:pPr>
      <w:r w:rsidRPr="00D77F00">
        <w:rPr>
          <w:rFonts w:ascii="Times New Roman" w:eastAsiaTheme="minorHAnsi" w:hAnsi="Times New Roman"/>
          <w:color w:val="767171"/>
          <w:spacing w:val="20"/>
          <w:sz w:val="24"/>
          <w:szCs w:val="24"/>
        </w:rPr>
        <w:t>La SB diseñó, durante el año 2023, indicadores y métricas de eficiencia para las diferentes áreas de la Oficina de Protección al Usuario, así como, herramientas de visualización y autoservicio. Este sistema implementado permitirá diagnosticar y aprovechar el conocimiento generado a la hora de tomar decisiones; tales como, asignación de recursos en base a las necesidades identificadas, mejoras en los procesos institucionales, invocar sanciones a las entidades del sistema financiero, entre otras situaciones de valor.</w:t>
      </w:r>
    </w:p>
    <w:p w14:paraId="1274B69E" w14:textId="77777777" w:rsidR="00D77F00" w:rsidRPr="00A1453A" w:rsidRDefault="00D77F00" w:rsidP="00D77F00">
      <w:pPr>
        <w:spacing w:line="360" w:lineRule="auto"/>
        <w:jc w:val="both"/>
        <w:rPr>
          <w:b/>
          <w:bCs/>
          <w:lang w:val="es-DO"/>
        </w:rPr>
      </w:pPr>
      <w:r w:rsidRPr="00A1453A">
        <w:rPr>
          <w:b/>
          <w:bCs/>
          <w:lang w:val="es-DO"/>
        </w:rPr>
        <w:t>Certificado digital de las Entidades de Intermediación Financiera (EIF) y Entidades Cambiaria (EC)</w:t>
      </w:r>
    </w:p>
    <w:p w14:paraId="228E8984" w14:textId="0A5451BD" w:rsidR="00D77F00" w:rsidRPr="00D77F00" w:rsidRDefault="00D77F00" w:rsidP="00D77F00">
      <w:pPr>
        <w:pStyle w:val="Prrafodelista"/>
        <w:numPr>
          <w:ilvl w:val="0"/>
          <w:numId w:val="29"/>
        </w:numPr>
        <w:spacing w:line="360" w:lineRule="auto"/>
        <w:jc w:val="both"/>
        <w:rPr>
          <w:rFonts w:ascii="Times New Roman" w:eastAsiaTheme="minorHAnsi" w:hAnsi="Times New Roman"/>
          <w:color w:val="767171"/>
          <w:spacing w:val="20"/>
          <w:sz w:val="24"/>
          <w:szCs w:val="24"/>
        </w:rPr>
      </w:pPr>
      <w:r w:rsidRPr="00D77F00">
        <w:rPr>
          <w:rFonts w:ascii="Times New Roman" w:eastAsiaTheme="minorHAnsi" w:hAnsi="Times New Roman"/>
          <w:color w:val="767171"/>
          <w:spacing w:val="20"/>
          <w:sz w:val="24"/>
          <w:szCs w:val="24"/>
        </w:rPr>
        <w:t xml:space="preserve">Dentro del marco de soluciones que la institución abordó para solucionar la ausencia de documentación por parte de algunas entidades que evidencie el registro en la SB; en este 2023, a través de numerosas acciones, se logró desarrollar un </w:t>
      </w:r>
      <w:r w:rsidRPr="00D77F00">
        <w:rPr>
          <w:rFonts w:ascii="Times New Roman" w:eastAsiaTheme="minorHAnsi" w:hAnsi="Times New Roman"/>
          <w:color w:val="767171"/>
          <w:spacing w:val="20"/>
          <w:sz w:val="24"/>
          <w:szCs w:val="24"/>
        </w:rPr>
        <w:lastRenderedPageBreak/>
        <w:t>certificado digital como una solución para estas Entidades de Intermediación Financiera (EIF) y Entidades Cambiaria (EC).</w:t>
      </w:r>
    </w:p>
    <w:p w14:paraId="513E56AF" w14:textId="77777777" w:rsidR="00D77F00" w:rsidRPr="00D77F00" w:rsidRDefault="00D77F00" w:rsidP="00D77F00">
      <w:pPr>
        <w:spacing w:line="360" w:lineRule="auto"/>
        <w:jc w:val="both"/>
        <w:rPr>
          <w:b/>
          <w:bCs/>
        </w:rPr>
      </w:pPr>
      <w:r w:rsidRPr="00D77F00">
        <w:rPr>
          <w:b/>
          <w:bCs/>
        </w:rPr>
        <w:t>Dashboard “</w:t>
      </w:r>
      <w:proofErr w:type="spellStart"/>
      <w:r w:rsidRPr="00D77F00">
        <w:rPr>
          <w:b/>
          <w:bCs/>
        </w:rPr>
        <w:t>Sanciones</w:t>
      </w:r>
      <w:proofErr w:type="spellEnd"/>
      <w:r w:rsidRPr="00D77F00">
        <w:rPr>
          <w:b/>
          <w:bCs/>
        </w:rPr>
        <w:t>”</w:t>
      </w:r>
    </w:p>
    <w:p w14:paraId="5F904739" w14:textId="668BBF43" w:rsidR="00D77F00" w:rsidRPr="00D77F00" w:rsidRDefault="00D77F00" w:rsidP="00D77F00">
      <w:pPr>
        <w:pStyle w:val="Prrafodelista"/>
        <w:numPr>
          <w:ilvl w:val="0"/>
          <w:numId w:val="29"/>
        </w:numPr>
        <w:spacing w:line="360" w:lineRule="auto"/>
        <w:jc w:val="both"/>
        <w:rPr>
          <w:rFonts w:ascii="Times New Roman" w:eastAsiaTheme="minorHAnsi" w:hAnsi="Times New Roman"/>
          <w:color w:val="767171"/>
          <w:spacing w:val="20"/>
          <w:sz w:val="24"/>
          <w:szCs w:val="24"/>
        </w:rPr>
      </w:pPr>
      <w:r w:rsidRPr="00D77F00">
        <w:rPr>
          <w:rFonts w:ascii="Times New Roman" w:eastAsiaTheme="minorHAnsi" w:hAnsi="Times New Roman"/>
          <w:color w:val="767171"/>
          <w:spacing w:val="20"/>
          <w:sz w:val="24"/>
          <w:szCs w:val="24"/>
        </w:rPr>
        <w:t>La SB ha implementado un sistema de visualización de los datos e información histórica relativa a las sanciones impuestas y los procedimientos realizados; a fin de garantizar la accesibilidad para los supervisores en atención a la necesidad de estas antes mencionadas, al representar un criterio de valor para la determinación de riesgo a nivel de las entidades.</w:t>
      </w:r>
    </w:p>
    <w:p w14:paraId="3D0932C5" w14:textId="77777777" w:rsidR="00D77F00" w:rsidRPr="00D77F00" w:rsidRDefault="00D77F00" w:rsidP="00D77F00">
      <w:pPr>
        <w:spacing w:line="360" w:lineRule="auto"/>
        <w:jc w:val="both"/>
        <w:rPr>
          <w:b/>
          <w:bCs/>
        </w:rPr>
      </w:pPr>
      <w:r w:rsidRPr="00D77F00">
        <w:rPr>
          <w:b/>
          <w:bCs/>
        </w:rPr>
        <w:t xml:space="preserve">Unidad de </w:t>
      </w:r>
      <w:proofErr w:type="spellStart"/>
      <w:r w:rsidRPr="00D77F00">
        <w:rPr>
          <w:b/>
          <w:bCs/>
        </w:rPr>
        <w:t>Supervisión</w:t>
      </w:r>
      <w:proofErr w:type="spellEnd"/>
      <w:r w:rsidRPr="00D77F00">
        <w:rPr>
          <w:b/>
          <w:bCs/>
        </w:rPr>
        <w:t xml:space="preserve"> de </w:t>
      </w:r>
      <w:proofErr w:type="spellStart"/>
      <w:r w:rsidRPr="00D77F00">
        <w:rPr>
          <w:b/>
          <w:bCs/>
        </w:rPr>
        <w:t>Fiduciarias</w:t>
      </w:r>
      <w:proofErr w:type="spellEnd"/>
    </w:p>
    <w:p w14:paraId="512CF781" w14:textId="11B2CAEE" w:rsidR="004022BD" w:rsidRPr="00257D15" w:rsidRDefault="00D77F00" w:rsidP="008535D6">
      <w:pPr>
        <w:pStyle w:val="Prrafodelista"/>
        <w:numPr>
          <w:ilvl w:val="0"/>
          <w:numId w:val="29"/>
        </w:numPr>
        <w:spacing w:line="360" w:lineRule="auto"/>
        <w:jc w:val="both"/>
        <w:rPr>
          <w:rFonts w:eastAsiaTheme="minorHAnsi"/>
        </w:rPr>
      </w:pPr>
      <w:r w:rsidRPr="00257D15">
        <w:rPr>
          <w:rFonts w:ascii="Times New Roman" w:eastAsiaTheme="minorHAnsi" w:hAnsi="Times New Roman"/>
          <w:color w:val="767171"/>
          <w:spacing w:val="20"/>
          <w:sz w:val="24"/>
          <w:szCs w:val="24"/>
        </w:rPr>
        <w:t>Para el 2023, la Superintendencia de Bancos realizó cuantiosas acciones para desarrollar e implementar procesos de supervisión a todos los niveles; siendo válido destacar la Unidad de Supervisión de las Fiduciarias. Actualmente, la SB cuenta bajo su jurisdicción con diecinueve (19) entidades fiduciarias</w:t>
      </w:r>
      <w:r w:rsidR="00257D15">
        <w:rPr>
          <w:rFonts w:ascii="Times New Roman" w:eastAsiaTheme="minorHAnsi" w:hAnsi="Times New Roman"/>
          <w:color w:val="767171"/>
          <w:spacing w:val="20"/>
          <w:sz w:val="24"/>
          <w:szCs w:val="24"/>
        </w:rPr>
        <w:t xml:space="preserve"> y</w:t>
      </w:r>
      <w:r w:rsidRPr="00257D15">
        <w:rPr>
          <w:rFonts w:ascii="Times New Roman" w:eastAsiaTheme="minorHAnsi" w:hAnsi="Times New Roman"/>
          <w:color w:val="767171"/>
          <w:spacing w:val="20"/>
          <w:sz w:val="24"/>
          <w:szCs w:val="24"/>
        </w:rPr>
        <w:t xml:space="preserve"> tres (3) agentes de garantía</w:t>
      </w:r>
      <w:r w:rsidR="00257D15">
        <w:rPr>
          <w:rFonts w:ascii="Times New Roman" w:eastAsiaTheme="minorHAnsi" w:hAnsi="Times New Roman"/>
          <w:color w:val="767171"/>
          <w:spacing w:val="20"/>
          <w:sz w:val="24"/>
          <w:szCs w:val="24"/>
        </w:rPr>
        <w:t>.</w:t>
      </w:r>
    </w:p>
    <w:p w14:paraId="736C9A89" w14:textId="77777777" w:rsidR="004022BD" w:rsidRPr="00D77F00" w:rsidRDefault="004022BD" w:rsidP="000C7BBE">
      <w:pPr>
        <w:spacing w:line="360" w:lineRule="auto"/>
        <w:jc w:val="both"/>
        <w:rPr>
          <w:lang w:val="es-DO"/>
        </w:rPr>
      </w:pPr>
    </w:p>
    <w:p w14:paraId="484F6E5C" w14:textId="77777777" w:rsidR="00BB6026" w:rsidRDefault="00BB6026" w:rsidP="000C7BBE">
      <w:pPr>
        <w:spacing w:line="360" w:lineRule="auto"/>
        <w:jc w:val="both"/>
        <w:rPr>
          <w:rFonts w:eastAsia="Calibri"/>
          <w:lang w:val="es-DO"/>
        </w:rPr>
      </w:pPr>
    </w:p>
    <w:p w14:paraId="29485786" w14:textId="77777777" w:rsidR="00D77F00" w:rsidRDefault="00D77F00" w:rsidP="000C7BBE">
      <w:pPr>
        <w:spacing w:line="360" w:lineRule="auto"/>
        <w:jc w:val="both"/>
        <w:rPr>
          <w:rFonts w:eastAsia="Calibri"/>
          <w:lang w:val="es-DO"/>
        </w:rPr>
      </w:pPr>
    </w:p>
    <w:p w14:paraId="31264980" w14:textId="77777777" w:rsidR="008279C2" w:rsidRDefault="008279C2" w:rsidP="000C7BBE">
      <w:pPr>
        <w:spacing w:line="360" w:lineRule="auto"/>
        <w:jc w:val="both"/>
        <w:rPr>
          <w:rFonts w:eastAsia="Calibri"/>
          <w:lang w:val="es-DO"/>
        </w:rPr>
      </w:pPr>
    </w:p>
    <w:p w14:paraId="0386E270" w14:textId="77399B35" w:rsidR="000C7BBE" w:rsidRDefault="000C7BBE" w:rsidP="006B204A">
      <w:pPr>
        <w:spacing w:line="360" w:lineRule="auto"/>
        <w:jc w:val="both"/>
        <w:rPr>
          <w:rFonts w:eastAsia="Calibri"/>
          <w:lang w:val="es-DO"/>
        </w:rPr>
      </w:pPr>
      <w:r w:rsidRPr="00292E97">
        <w:rPr>
          <w:rFonts w:eastAsia="Calibri"/>
          <w:lang w:val="es-DO"/>
        </w:rPr>
        <w:t xml:space="preserve"> </w:t>
      </w:r>
    </w:p>
    <w:p w14:paraId="562F59FE" w14:textId="77777777" w:rsidR="00274E67" w:rsidRDefault="00274E67" w:rsidP="006B204A">
      <w:pPr>
        <w:spacing w:line="360" w:lineRule="auto"/>
        <w:jc w:val="both"/>
        <w:rPr>
          <w:rFonts w:eastAsia="Calibri"/>
          <w:lang w:val="es-DO"/>
        </w:rPr>
      </w:pPr>
    </w:p>
    <w:p w14:paraId="70EB8021" w14:textId="77777777" w:rsidR="00D2772F" w:rsidRDefault="00D2772F" w:rsidP="006B204A">
      <w:pPr>
        <w:spacing w:line="360" w:lineRule="auto"/>
        <w:jc w:val="both"/>
        <w:rPr>
          <w:rFonts w:eastAsia="Calibri"/>
          <w:lang w:val="es-DO"/>
        </w:rPr>
      </w:pPr>
    </w:p>
    <w:p w14:paraId="40883719" w14:textId="77777777" w:rsidR="00274E67" w:rsidRPr="00C865B6" w:rsidRDefault="00274E67" w:rsidP="006B204A">
      <w:pPr>
        <w:spacing w:line="360" w:lineRule="auto"/>
        <w:jc w:val="both"/>
        <w:rPr>
          <w:rFonts w:eastAsia="Calibri"/>
          <w:lang w:val="es-DO"/>
        </w:rPr>
      </w:pPr>
    </w:p>
    <w:p w14:paraId="585959C8" w14:textId="17D5B00D" w:rsidR="00E52ED4" w:rsidRPr="00C865B6" w:rsidRDefault="00E52ED4" w:rsidP="006B204A">
      <w:pPr>
        <w:pStyle w:val="Ttulo1"/>
        <w:rPr>
          <w:rStyle w:val="EstiloTItulosMemoriasCar"/>
          <w:rFonts w:eastAsia="Calibri" w:cs="Times New Roman"/>
        </w:rPr>
      </w:pPr>
      <w:bookmarkStart w:id="6" w:name="_Toc123046907"/>
      <w:bookmarkStart w:id="7" w:name="_Toc155354599"/>
      <w:bookmarkEnd w:id="2"/>
      <w:r w:rsidRPr="00C865B6">
        <w:rPr>
          <w:rStyle w:val="EstiloTItulosMemoriasCar"/>
          <w:rFonts w:eastAsia="Calibri" w:cs="Times New Roman"/>
        </w:rPr>
        <w:lastRenderedPageBreak/>
        <w:t>II. INFORMACIÓN</w:t>
      </w:r>
      <w:bookmarkStart w:id="8" w:name="_Toc122435002"/>
      <w:r w:rsidRPr="00C865B6">
        <w:rPr>
          <w:rStyle w:val="EstiloTItulosMemoriasCar"/>
          <w:rFonts w:eastAsia="Calibri" w:cs="Times New Roman"/>
        </w:rPr>
        <w:t xml:space="preserve"> INSTITUCIONAL</w:t>
      </w:r>
      <w:bookmarkEnd w:id="6"/>
      <w:bookmarkEnd w:id="7"/>
      <w:bookmarkEnd w:id="8"/>
    </w:p>
    <w:p w14:paraId="45555073" w14:textId="7BCF8F01" w:rsidR="00561674" w:rsidRPr="00C865B6" w:rsidRDefault="00561674" w:rsidP="006B204A">
      <w:pPr>
        <w:spacing w:line="360" w:lineRule="auto"/>
        <w:jc w:val="both"/>
        <w:rPr>
          <w:i/>
          <w:lang w:val="es-DO"/>
        </w:rPr>
      </w:pPr>
      <w:r w:rsidRPr="00C865B6">
        <w:rPr>
          <w:noProof/>
          <w:lang w:eastAsia="es-ES"/>
        </w:rPr>
        <mc:AlternateContent>
          <mc:Choice Requires="wps">
            <w:drawing>
              <wp:anchor distT="0" distB="0" distL="114300" distR="114300" simplePos="0" relativeHeight="251658251" behindDoc="0" locked="0" layoutInCell="1" allowOverlap="1" wp14:anchorId="211B999C" wp14:editId="779D5E01">
                <wp:simplePos x="0" y="0"/>
                <wp:positionH relativeFrom="margin">
                  <wp:align>center</wp:align>
                </wp:positionH>
                <wp:positionV relativeFrom="paragraph">
                  <wp:posOffset>102235</wp:posOffset>
                </wp:positionV>
                <wp:extent cx="463550" cy="0"/>
                <wp:effectExtent l="0" t="19050" r="31750" b="19050"/>
                <wp:wrapNone/>
                <wp:docPr id="19" name="Conector recto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7F67A488" id="Conector recto 19" o:spid="_x0000_s1026" style="position:absolute;z-index:25165825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05pt" to="36.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uqGbn2QAAAAUBAAAP&#10;AAAAZHJzL2Rvd25yZXYueG1sTI/NTsMwEITvSLyDtUjcqFNAKQ1xKoSExAUohUOP23jzA/E6it0k&#10;vD2LOMBxdlYz3+Sb2XVqpCG0ng0sFwko4tLblmsD728PFzegQkS22HkmA18UYFOcnuSYWT/xK427&#10;WCsJ4ZChgSbGPtM6lA05DAvfE4tX+cFhFDnU2g44Sbjr9GWSpNphy9LQYE/3DZWfu6OT3pcnv6rG&#10;x/Q6bj/2aNdT+1xtjTk/m+9uQUWa498z/OALOhTCdPBHtkF1BmRIlGu6BCXu6kr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O6oZufZAAAABQEAAA8AAAAAAAAAAAAA&#10;AAAAIAQAAGRycy9kb3ducmV2LnhtbFBLBQYAAAAABAAEAPMAAAAmBQAAAAA=&#10;" strokecolor="#ee2a24" strokeweight="2.25pt">
                <v:stroke joinstyle="miter"/>
                <w10:wrap anchorx="margin"/>
              </v:line>
            </w:pict>
          </mc:Fallback>
        </mc:AlternateContent>
      </w:r>
    </w:p>
    <w:p w14:paraId="3D27AECE" w14:textId="7C1AB915" w:rsidR="001830DA" w:rsidRPr="00986687" w:rsidRDefault="00120C58" w:rsidP="006B204A">
      <w:pPr>
        <w:pStyle w:val="Estilo3"/>
        <w:rPr>
          <w:rFonts w:eastAsia="Calibri"/>
          <w:b/>
          <w:szCs w:val="24"/>
        </w:rPr>
      </w:pPr>
      <w:bookmarkStart w:id="9" w:name="_Toc155354600"/>
      <w:r w:rsidRPr="00986687">
        <w:rPr>
          <w:rFonts w:eastAsia="Calibri"/>
          <w:b/>
          <w:szCs w:val="24"/>
        </w:rPr>
        <w:t xml:space="preserve">2.1 Marco </w:t>
      </w:r>
      <w:r w:rsidR="004A0040" w:rsidRPr="00986687">
        <w:rPr>
          <w:rFonts w:eastAsia="Calibri"/>
          <w:b/>
          <w:szCs w:val="24"/>
        </w:rPr>
        <w:t>f</w:t>
      </w:r>
      <w:r w:rsidRPr="00986687">
        <w:rPr>
          <w:rFonts w:eastAsia="Calibri"/>
          <w:b/>
          <w:szCs w:val="24"/>
        </w:rPr>
        <w:t xml:space="preserve">ilosófico </w:t>
      </w:r>
      <w:r w:rsidR="004A0040" w:rsidRPr="00986687">
        <w:rPr>
          <w:rFonts w:eastAsia="Calibri"/>
          <w:b/>
          <w:szCs w:val="24"/>
        </w:rPr>
        <w:t>i</w:t>
      </w:r>
      <w:r w:rsidRPr="00986687">
        <w:rPr>
          <w:rFonts w:eastAsia="Calibri"/>
          <w:b/>
          <w:szCs w:val="24"/>
        </w:rPr>
        <w:t>nstitucional</w:t>
      </w:r>
      <w:bookmarkEnd w:id="9"/>
    </w:p>
    <w:p w14:paraId="13736542" w14:textId="6612D731" w:rsidR="00E52ED4" w:rsidRPr="00E64291" w:rsidRDefault="00120C58" w:rsidP="006B204A">
      <w:pPr>
        <w:pStyle w:val="Estilo4"/>
        <w:spacing w:before="240" w:after="120"/>
        <w:ind w:left="737" w:hanging="737"/>
        <w:jc w:val="left"/>
        <w:rPr>
          <w:rFonts w:eastAsia="Times New Roman"/>
          <w:spacing w:val="20"/>
        </w:rPr>
      </w:pPr>
      <w:bookmarkStart w:id="10" w:name="_Toc155354601"/>
      <w:r w:rsidRPr="00E64291">
        <w:rPr>
          <w:spacing w:val="20"/>
        </w:rPr>
        <w:t xml:space="preserve">A. </w:t>
      </w:r>
      <w:r w:rsidR="00E52ED4" w:rsidRPr="00E64291">
        <w:rPr>
          <w:rFonts w:eastAsia="Times New Roman"/>
          <w:spacing w:val="20"/>
        </w:rPr>
        <w:t>Misión</w:t>
      </w:r>
      <w:bookmarkEnd w:id="10"/>
    </w:p>
    <w:p w14:paraId="2A76B085" w14:textId="77777777" w:rsidR="00001305" w:rsidRPr="00986687" w:rsidRDefault="00001305" w:rsidP="006B204A">
      <w:pPr>
        <w:spacing w:line="360" w:lineRule="auto"/>
        <w:jc w:val="both"/>
        <w:rPr>
          <w:lang w:val="es-DO"/>
        </w:rPr>
      </w:pPr>
      <w:r w:rsidRPr="00986687">
        <w:rPr>
          <w:lang w:val="es-DO"/>
        </w:rPr>
        <w:t>Aportar al bienestar del país, vigilando la solvencia, liquidez y gestión de las entidades y la estabilidad del sistema financiero; así como protegiendo los derechos de los usuarios de los servicios financieros.</w:t>
      </w:r>
    </w:p>
    <w:p w14:paraId="1DA66A4D" w14:textId="17682FD3" w:rsidR="00E52ED4" w:rsidRPr="00E64291" w:rsidRDefault="00120C58" w:rsidP="006B204A">
      <w:pPr>
        <w:pStyle w:val="Estilo4"/>
        <w:spacing w:before="240" w:after="120"/>
        <w:ind w:left="737" w:hanging="737"/>
        <w:jc w:val="left"/>
        <w:rPr>
          <w:spacing w:val="20"/>
        </w:rPr>
      </w:pPr>
      <w:bookmarkStart w:id="11" w:name="_Toc155354602"/>
      <w:r w:rsidRPr="00E64291">
        <w:rPr>
          <w:spacing w:val="20"/>
        </w:rPr>
        <w:t>B</w:t>
      </w:r>
      <w:r w:rsidR="00E52ED4" w:rsidRPr="00E64291">
        <w:rPr>
          <w:spacing w:val="20"/>
        </w:rPr>
        <w:t>. Visión</w:t>
      </w:r>
      <w:bookmarkEnd w:id="11"/>
      <w:r w:rsidR="008448A7" w:rsidRPr="00E64291">
        <w:rPr>
          <w:spacing w:val="20"/>
        </w:rPr>
        <w:t xml:space="preserve"> </w:t>
      </w:r>
    </w:p>
    <w:p w14:paraId="11A1601D" w14:textId="77777777" w:rsidR="00E8130F" w:rsidRPr="00986687" w:rsidRDefault="00E8130F" w:rsidP="006B204A">
      <w:pPr>
        <w:spacing w:line="360" w:lineRule="auto"/>
        <w:jc w:val="both"/>
        <w:rPr>
          <w:lang w:val="es-DO"/>
        </w:rPr>
      </w:pPr>
      <w:r w:rsidRPr="00986687">
        <w:rPr>
          <w:lang w:val="es-DO"/>
        </w:rPr>
        <w:t>Ser una institución referente nacional e internacionalmente, reconocida por la calidad de su supervisión y el acompañamiento que brinda a los usuarios de los servicios financieros, respaldada por un personal altamente calificado y la excelencia en su gestión.</w:t>
      </w:r>
    </w:p>
    <w:p w14:paraId="46022F28" w14:textId="3837B1C7" w:rsidR="00E52ED4" w:rsidRPr="00E64291" w:rsidRDefault="008D6A00" w:rsidP="006B204A">
      <w:pPr>
        <w:pStyle w:val="Estilo4"/>
        <w:spacing w:before="240" w:after="120"/>
        <w:ind w:left="737" w:hanging="737"/>
        <w:jc w:val="left"/>
        <w:rPr>
          <w:spacing w:val="20"/>
        </w:rPr>
      </w:pPr>
      <w:bookmarkStart w:id="12" w:name="_Toc155354603"/>
      <w:r w:rsidRPr="00E64291">
        <w:rPr>
          <w:spacing w:val="20"/>
        </w:rPr>
        <w:t>C</w:t>
      </w:r>
      <w:r w:rsidR="00E52ED4" w:rsidRPr="00E64291">
        <w:rPr>
          <w:spacing w:val="20"/>
        </w:rPr>
        <w:t>. Valores</w:t>
      </w:r>
      <w:bookmarkEnd w:id="12"/>
    </w:p>
    <w:p w14:paraId="5CD7E812" w14:textId="6D563801" w:rsidR="00E52ED4" w:rsidRPr="00986687" w:rsidRDefault="002559B6" w:rsidP="006B204A">
      <w:pPr>
        <w:spacing w:line="360" w:lineRule="auto"/>
        <w:jc w:val="both"/>
        <w:rPr>
          <w:lang w:val="es-DO"/>
        </w:rPr>
      </w:pPr>
      <w:r w:rsidRPr="00986687">
        <w:rPr>
          <w:lang w:val="es-DO"/>
        </w:rPr>
        <w:t xml:space="preserve">• </w:t>
      </w:r>
      <w:r w:rsidR="00E52ED4" w:rsidRPr="00986687">
        <w:rPr>
          <w:lang w:val="es-DO"/>
        </w:rPr>
        <w:t>Integridad: Actuamos con honestidad, actitud y justicia, mostrando congruencia en lo que decimos y lo que hacemos.</w:t>
      </w:r>
    </w:p>
    <w:p w14:paraId="61EEF2DF" w14:textId="044EF331" w:rsidR="00E52ED4" w:rsidRPr="00986687" w:rsidRDefault="002559B6" w:rsidP="006B204A">
      <w:pPr>
        <w:spacing w:line="360" w:lineRule="auto"/>
        <w:jc w:val="both"/>
        <w:rPr>
          <w:lang w:val="es-DO"/>
        </w:rPr>
      </w:pPr>
      <w:r w:rsidRPr="00986687">
        <w:rPr>
          <w:lang w:val="es-DO"/>
        </w:rPr>
        <w:t xml:space="preserve">• </w:t>
      </w:r>
      <w:r w:rsidR="00E52ED4" w:rsidRPr="00986687">
        <w:rPr>
          <w:lang w:val="es-DO"/>
        </w:rPr>
        <w:t>Eficiencia: Agregamos valor a los servicios institucionales mediante la utilización de los recursos disponibles, los cuales gestionamos como si fueran propios.</w:t>
      </w:r>
    </w:p>
    <w:p w14:paraId="26E84A47" w14:textId="6245CC65" w:rsidR="00E52ED4" w:rsidRPr="00986687" w:rsidRDefault="002559B6" w:rsidP="006B204A">
      <w:pPr>
        <w:spacing w:line="360" w:lineRule="auto"/>
        <w:jc w:val="both"/>
        <w:rPr>
          <w:lang w:val="es-DO"/>
        </w:rPr>
      </w:pPr>
      <w:r w:rsidRPr="00986687">
        <w:rPr>
          <w:lang w:val="es-DO"/>
        </w:rPr>
        <w:t xml:space="preserve">• </w:t>
      </w:r>
      <w:r w:rsidR="00E52ED4" w:rsidRPr="00986687">
        <w:rPr>
          <w:lang w:val="es-DO"/>
        </w:rPr>
        <w:t>Innovación: Generamos propuestas creativas que nos permitan perfeccionar, modernizar y optimizar los servicios que ofrecemos.</w:t>
      </w:r>
    </w:p>
    <w:p w14:paraId="38764389" w14:textId="7579D5E3" w:rsidR="00E52ED4" w:rsidRPr="00986687" w:rsidRDefault="002559B6" w:rsidP="006B204A">
      <w:pPr>
        <w:spacing w:line="360" w:lineRule="auto"/>
        <w:jc w:val="both"/>
        <w:rPr>
          <w:lang w:val="es-DO"/>
        </w:rPr>
      </w:pPr>
      <w:r w:rsidRPr="00986687">
        <w:rPr>
          <w:lang w:val="es-DO"/>
        </w:rPr>
        <w:t xml:space="preserve">• </w:t>
      </w:r>
      <w:r w:rsidR="00E52ED4" w:rsidRPr="00986687">
        <w:rPr>
          <w:lang w:val="es-DO"/>
        </w:rPr>
        <w:t>Compromiso: Asumimos como propio el desafío de cumplir los objetivos de nuestra institución.</w:t>
      </w:r>
    </w:p>
    <w:p w14:paraId="2C09AC06" w14:textId="532CEADC" w:rsidR="00E52ED4" w:rsidRPr="00986687" w:rsidRDefault="00EA2E21" w:rsidP="006B204A">
      <w:pPr>
        <w:spacing w:line="360" w:lineRule="auto"/>
        <w:jc w:val="both"/>
        <w:rPr>
          <w:lang w:val="es-DO"/>
        </w:rPr>
      </w:pPr>
      <w:r w:rsidRPr="00986687">
        <w:rPr>
          <w:lang w:val="es-DO"/>
        </w:rPr>
        <w:t xml:space="preserve">• </w:t>
      </w:r>
      <w:r w:rsidR="00E52ED4" w:rsidRPr="00986687">
        <w:rPr>
          <w:lang w:val="es-DO"/>
        </w:rPr>
        <w:t>Respeto: Somos capaces de reconocer, aceptar, apreciar y valorar las cualidades y derechos de los demás.</w:t>
      </w:r>
    </w:p>
    <w:p w14:paraId="00644634" w14:textId="1E56C75A" w:rsidR="00097028" w:rsidRPr="00986687" w:rsidRDefault="00421E8F" w:rsidP="006B204A">
      <w:pPr>
        <w:pStyle w:val="Estilo3"/>
        <w:spacing w:before="0" w:after="160" w:line="360" w:lineRule="auto"/>
        <w:rPr>
          <w:b/>
          <w:szCs w:val="24"/>
        </w:rPr>
      </w:pPr>
      <w:bookmarkStart w:id="13" w:name="_Toc155354604"/>
      <w:r w:rsidRPr="00986687">
        <w:rPr>
          <w:b/>
          <w:szCs w:val="24"/>
        </w:rPr>
        <w:lastRenderedPageBreak/>
        <w:t xml:space="preserve">2.2 </w:t>
      </w:r>
      <w:r w:rsidR="00E52ED4" w:rsidRPr="00986687">
        <w:rPr>
          <w:b/>
          <w:szCs w:val="24"/>
        </w:rPr>
        <w:t>Base legal</w:t>
      </w:r>
      <w:bookmarkEnd w:id="13"/>
    </w:p>
    <w:p w14:paraId="00F02DBB" w14:textId="77777777" w:rsidR="00E52ED4" w:rsidRPr="00E64291" w:rsidRDefault="00E52ED4" w:rsidP="006B204A">
      <w:pPr>
        <w:spacing w:line="360" w:lineRule="auto"/>
        <w:jc w:val="both"/>
        <w:rPr>
          <w:lang w:val="es-DO"/>
        </w:rPr>
      </w:pPr>
      <w:r w:rsidRPr="00E64291">
        <w:rPr>
          <w:lang w:val="es-DO"/>
        </w:rPr>
        <w:t>Los primeros indicios de regulación bancaria en República Dominicana aparecen con el surgimiento del Banco Nacional de Santo Domingo, S. A. en el año 1869. En 1909, el Estado Dominicano promulga la primera Ley General de Bancos, donde se establecen regulaciones específicas para Bancos Hipotecarios, Emisores y Refaccionarios y surgen instituciones de crédito con las características de bancos comerciales, bajo la supervisión y control de la Secretaría de Estado de Hacienda y Comercio, denominada hoy Ministerio de Hacienda, la cual disponía de interventores nombrados por el Poder Ejecutivo en cada banco para ejercer su control.</w:t>
      </w:r>
    </w:p>
    <w:p w14:paraId="19171496" w14:textId="40355C32" w:rsidR="00E52ED4" w:rsidRPr="00986687" w:rsidRDefault="00E52ED4" w:rsidP="006B204A">
      <w:pPr>
        <w:spacing w:line="360" w:lineRule="auto"/>
        <w:jc w:val="both"/>
        <w:rPr>
          <w:lang w:val="es-DO"/>
        </w:rPr>
      </w:pPr>
      <w:r w:rsidRPr="00986687">
        <w:rPr>
          <w:lang w:val="es-DO"/>
        </w:rPr>
        <w:t>El año 1947 se crean el Banco Central y la Superintendencia de Bancos (SB), esta última bajo la Ley No.1530 del 9 de octubre del 1947, ley que crea los cimientos para la supervisión y regulación del sistema financiero dominicano. La Ley No. 1530 que dio origen a la Superintendencia de Bancos fue modificada y sustituida por la Ley No. 708, Ley General de Bancos, del 14 de abril del 1965, donde se pone a cargo de esta institución la aplicación y administración del régimen legal de los bancos, bajo la dependencia de la Secretaría de Estado de Finanzas, hoy Ministerio de Hacienda.</w:t>
      </w:r>
    </w:p>
    <w:p w14:paraId="257D7412" w14:textId="5A1EBE9B" w:rsidR="00E52ED4" w:rsidRPr="00986687" w:rsidRDefault="00E52ED4" w:rsidP="006B204A">
      <w:pPr>
        <w:spacing w:line="360" w:lineRule="auto"/>
        <w:jc w:val="both"/>
        <w:rPr>
          <w:lang w:val="es-DO"/>
        </w:rPr>
      </w:pPr>
      <w:r w:rsidRPr="00986687">
        <w:rPr>
          <w:lang w:val="es-DO"/>
        </w:rPr>
        <w:t>Con la promulgación de la Ley No.183 02, Monetaria y Financiera, del 21 de noviembre de 2002, se le da a la Superintendencia de Bancos el marco jurídico de actuación que tiene en la actualidad, otorgándole la responsabilidad de supervisar, con plena autonomía, a las Entidades de Intermediación Financiera, con el propósito de proteger los fondos de los ahorrantes y los derechos de los usuarios de los servicios financieros.</w:t>
      </w:r>
    </w:p>
    <w:p w14:paraId="58DA90A5" w14:textId="442574FA" w:rsidR="00E52ED4" w:rsidRPr="002F7C2C" w:rsidRDefault="00E52ED4" w:rsidP="006B204A">
      <w:pPr>
        <w:pStyle w:val="Estilo3"/>
        <w:spacing w:before="0" w:after="160" w:line="360" w:lineRule="auto"/>
        <w:rPr>
          <w:b/>
          <w:szCs w:val="24"/>
        </w:rPr>
      </w:pPr>
      <w:r w:rsidRPr="00986687">
        <w:rPr>
          <w:szCs w:val="24"/>
        </w:rPr>
        <w:br w:type="page"/>
      </w:r>
      <w:bookmarkStart w:id="14" w:name="_Toc155354605"/>
      <w:r w:rsidR="00C808E5" w:rsidRPr="00986687">
        <w:rPr>
          <w:b/>
          <w:noProof/>
          <w:szCs w:val="24"/>
        </w:rPr>
        <w:lastRenderedPageBreak/>
        <w:drawing>
          <wp:anchor distT="0" distB="0" distL="114300" distR="114300" simplePos="0" relativeHeight="251658255" behindDoc="0" locked="0" layoutInCell="1" allowOverlap="1" wp14:anchorId="517A210A" wp14:editId="21B39DB3">
            <wp:simplePos x="0" y="0"/>
            <wp:positionH relativeFrom="margin">
              <wp:align>center</wp:align>
            </wp:positionH>
            <wp:positionV relativeFrom="paragraph">
              <wp:posOffset>543296</wp:posOffset>
            </wp:positionV>
            <wp:extent cx="6231255" cy="514985"/>
            <wp:effectExtent l="0" t="0" r="0" b="0"/>
            <wp:wrapNone/>
            <wp:docPr id="169574367" name="Imagen 169574367" descr="Diagrama,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74367" name="Imagen 1" descr="Diagrama, Escala de tiempo&#10;&#10;Descripción generada automáticamente"/>
                    <pic:cNvPicPr/>
                  </pic:nvPicPr>
                  <pic:blipFill rotWithShape="1">
                    <a:blip r:embed="rId17">
                      <a:clrChange>
                        <a:clrFrom>
                          <a:srgbClr val="F2F2F2"/>
                        </a:clrFrom>
                        <a:clrTo>
                          <a:srgbClr val="F2F2F2">
                            <a:alpha val="0"/>
                          </a:srgbClr>
                        </a:clrTo>
                      </a:clrChange>
                      <a:extLst>
                        <a:ext uri="{28A0092B-C50C-407E-A947-70E740481C1C}">
                          <a14:useLocalDpi xmlns:a14="http://schemas.microsoft.com/office/drawing/2010/main" val="0"/>
                        </a:ext>
                      </a:extLst>
                    </a:blip>
                    <a:srcRect l="10036" t="673" r="11007" b="87712"/>
                    <a:stretch/>
                  </pic:blipFill>
                  <pic:spPr bwMode="auto">
                    <a:xfrm>
                      <a:off x="0" y="0"/>
                      <a:ext cx="6231255" cy="514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0D84" w:rsidRPr="00324743">
        <w:rPr>
          <w:b/>
          <w:szCs w:val="24"/>
        </w:rPr>
        <w:t>2</w:t>
      </w:r>
      <w:r w:rsidR="0096158F" w:rsidRPr="00324743">
        <w:rPr>
          <w:b/>
          <w:szCs w:val="24"/>
        </w:rPr>
        <w:t>.3</w:t>
      </w:r>
      <w:r w:rsidR="00BA662A" w:rsidRPr="00324743">
        <w:rPr>
          <w:b/>
          <w:szCs w:val="24"/>
        </w:rPr>
        <w:t xml:space="preserve"> </w:t>
      </w:r>
      <w:r w:rsidR="00F73BDA" w:rsidRPr="00324743">
        <w:rPr>
          <w:b/>
          <w:szCs w:val="24"/>
        </w:rPr>
        <w:t>Estructura Organizativa</w:t>
      </w:r>
      <w:bookmarkEnd w:id="14"/>
    </w:p>
    <w:p w14:paraId="2357956D" w14:textId="5BFA7D43" w:rsidR="00E52ED4" w:rsidRPr="00495620" w:rsidRDefault="00E52ED4" w:rsidP="006B204A">
      <w:pPr>
        <w:spacing w:line="360" w:lineRule="auto"/>
        <w:rPr>
          <w:lang w:val="es-DO"/>
        </w:rPr>
      </w:pPr>
    </w:p>
    <w:p w14:paraId="35616A69" w14:textId="0532CB51" w:rsidR="00BA662A" w:rsidRPr="00495620" w:rsidRDefault="00BA662A" w:rsidP="006B204A">
      <w:pPr>
        <w:spacing w:line="360" w:lineRule="auto"/>
        <w:rPr>
          <w:lang w:val="es-DO"/>
        </w:rPr>
      </w:pPr>
    </w:p>
    <w:p w14:paraId="1C517D27" w14:textId="08AEA125" w:rsidR="00BA662A" w:rsidRPr="00E42C8A" w:rsidRDefault="0047413A" w:rsidP="006B204A">
      <w:pPr>
        <w:spacing w:line="360" w:lineRule="auto"/>
        <w:jc w:val="both"/>
        <w:rPr>
          <w:lang w:val="es-DO"/>
        </w:rPr>
      </w:pPr>
      <w:r>
        <w:rPr>
          <w:noProof/>
        </w:rPr>
        <w:drawing>
          <wp:anchor distT="0" distB="0" distL="114300" distR="114300" simplePos="0" relativeHeight="251658257" behindDoc="0" locked="0" layoutInCell="1" allowOverlap="1" wp14:anchorId="0B5BECB3" wp14:editId="44B7FB7A">
            <wp:simplePos x="0" y="0"/>
            <wp:positionH relativeFrom="margin">
              <wp:align>center</wp:align>
            </wp:positionH>
            <wp:positionV relativeFrom="paragraph">
              <wp:posOffset>151130</wp:posOffset>
            </wp:positionV>
            <wp:extent cx="6231255" cy="3386455"/>
            <wp:effectExtent l="0" t="0" r="0" b="4445"/>
            <wp:wrapNone/>
            <wp:docPr id="1096006938" name="Imagen 1096006938"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006938" name="Imagen 1" descr="Interfaz de usuario gráfica, Aplicación, Tabla&#10;&#10;Descripción generada automáticamente"/>
                    <pic:cNvPicPr/>
                  </pic:nvPicPr>
                  <pic:blipFill rotWithShape="1">
                    <a:blip r:embed="rId18">
                      <a:extLst>
                        <a:ext uri="{28A0092B-C50C-407E-A947-70E740481C1C}">
                          <a14:useLocalDpi xmlns:a14="http://schemas.microsoft.com/office/drawing/2010/main" val="0"/>
                        </a:ext>
                      </a:extLst>
                    </a:blip>
                    <a:srcRect l="9278" t="21216" r="12712" b="3368"/>
                    <a:stretch/>
                  </pic:blipFill>
                  <pic:spPr bwMode="auto">
                    <a:xfrm>
                      <a:off x="0" y="0"/>
                      <a:ext cx="6231255" cy="3386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3F352D" w14:textId="3CED283E" w:rsidR="00E42C8A" w:rsidRPr="00E42C8A" w:rsidRDefault="00E42C8A" w:rsidP="006B204A">
      <w:pPr>
        <w:spacing w:line="360" w:lineRule="auto"/>
        <w:jc w:val="both"/>
        <w:rPr>
          <w:lang w:val="es-DO"/>
        </w:rPr>
      </w:pPr>
    </w:p>
    <w:p w14:paraId="65E56AE1" w14:textId="77777777" w:rsidR="00E42C8A" w:rsidRPr="00E42C8A" w:rsidRDefault="00E42C8A" w:rsidP="006B204A">
      <w:pPr>
        <w:spacing w:line="360" w:lineRule="auto"/>
        <w:jc w:val="both"/>
        <w:rPr>
          <w:lang w:val="es-DO"/>
        </w:rPr>
      </w:pPr>
    </w:p>
    <w:p w14:paraId="5BC7BCFF" w14:textId="77777777" w:rsidR="00E42C8A" w:rsidRPr="00E42C8A" w:rsidRDefault="00E42C8A" w:rsidP="006B204A">
      <w:pPr>
        <w:spacing w:line="360" w:lineRule="auto"/>
        <w:jc w:val="both"/>
        <w:rPr>
          <w:lang w:val="es-DO"/>
        </w:rPr>
      </w:pPr>
    </w:p>
    <w:p w14:paraId="5B821C4B" w14:textId="77777777" w:rsidR="00E42C8A" w:rsidRPr="00E42C8A" w:rsidRDefault="00E42C8A" w:rsidP="006B204A">
      <w:pPr>
        <w:spacing w:line="360" w:lineRule="auto"/>
        <w:jc w:val="both"/>
        <w:rPr>
          <w:lang w:val="es-DO"/>
        </w:rPr>
      </w:pPr>
    </w:p>
    <w:p w14:paraId="51A9D931" w14:textId="77777777" w:rsidR="00E42C8A" w:rsidRPr="00E42C8A" w:rsidRDefault="00E42C8A" w:rsidP="006B204A">
      <w:pPr>
        <w:spacing w:line="360" w:lineRule="auto"/>
        <w:jc w:val="both"/>
        <w:rPr>
          <w:lang w:val="es-DO"/>
        </w:rPr>
      </w:pPr>
    </w:p>
    <w:p w14:paraId="59DEC3EF" w14:textId="77777777" w:rsidR="00E42C8A" w:rsidRPr="00E42C8A" w:rsidRDefault="00E42C8A" w:rsidP="006B204A">
      <w:pPr>
        <w:spacing w:line="360" w:lineRule="auto"/>
        <w:jc w:val="both"/>
        <w:rPr>
          <w:lang w:val="es-DO"/>
        </w:rPr>
      </w:pPr>
    </w:p>
    <w:p w14:paraId="370DF285" w14:textId="77777777" w:rsidR="00E42C8A" w:rsidRPr="00E42C8A" w:rsidRDefault="00E42C8A" w:rsidP="006B204A">
      <w:pPr>
        <w:spacing w:line="360" w:lineRule="auto"/>
        <w:jc w:val="both"/>
        <w:rPr>
          <w:lang w:val="es-DO"/>
        </w:rPr>
      </w:pPr>
    </w:p>
    <w:p w14:paraId="63A5241A" w14:textId="77777777" w:rsidR="00E42C8A" w:rsidRPr="00E42C8A" w:rsidRDefault="00E42C8A" w:rsidP="006B204A">
      <w:pPr>
        <w:spacing w:line="360" w:lineRule="auto"/>
        <w:jc w:val="both"/>
        <w:rPr>
          <w:lang w:val="es-DO"/>
        </w:rPr>
      </w:pPr>
    </w:p>
    <w:p w14:paraId="755374AF" w14:textId="77777777" w:rsidR="00E42C8A" w:rsidRPr="00E42C8A" w:rsidRDefault="00E42C8A" w:rsidP="006B204A">
      <w:pPr>
        <w:spacing w:line="360" w:lineRule="auto"/>
        <w:jc w:val="both"/>
        <w:rPr>
          <w:lang w:val="es-DO"/>
        </w:rPr>
      </w:pPr>
    </w:p>
    <w:p w14:paraId="56549482" w14:textId="091464EB" w:rsidR="00E42C8A" w:rsidRPr="00E42C8A" w:rsidRDefault="00E42C8A" w:rsidP="006B204A">
      <w:pPr>
        <w:spacing w:line="360" w:lineRule="auto"/>
        <w:jc w:val="center"/>
        <w:rPr>
          <w:lang w:val="es-DO"/>
        </w:rPr>
      </w:pPr>
      <w:r w:rsidRPr="007F2AE9">
        <w:rPr>
          <w:b/>
          <w:lang w:val="es-DO"/>
        </w:rPr>
        <w:t>Fuente</w:t>
      </w:r>
      <w:r>
        <w:rPr>
          <w:lang w:val="es-DO"/>
        </w:rPr>
        <w:t xml:space="preserve">: </w:t>
      </w:r>
      <w:r w:rsidR="008B25E0">
        <w:rPr>
          <w:lang w:val="es-DO"/>
        </w:rPr>
        <w:t xml:space="preserve">Portal Institucional de la </w:t>
      </w:r>
      <w:r>
        <w:rPr>
          <w:lang w:val="es-DO"/>
        </w:rPr>
        <w:t>Superintendencia de Banco</w:t>
      </w:r>
      <w:r w:rsidR="008B25E0">
        <w:rPr>
          <w:lang w:val="es-DO"/>
        </w:rPr>
        <w:t>.</w:t>
      </w:r>
    </w:p>
    <w:p w14:paraId="633BFB99" w14:textId="77777777" w:rsidR="00840882" w:rsidRPr="00E42C8A" w:rsidRDefault="00840882" w:rsidP="006B204A">
      <w:pPr>
        <w:spacing w:line="360" w:lineRule="auto"/>
        <w:jc w:val="both"/>
        <w:rPr>
          <w:lang w:val="es-DO"/>
        </w:rPr>
      </w:pPr>
    </w:p>
    <w:p w14:paraId="446DA180" w14:textId="24CBD6FD" w:rsidR="00097028" w:rsidRPr="00324743" w:rsidRDefault="004C743E" w:rsidP="006B204A">
      <w:pPr>
        <w:pStyle w:val="Estilo3"/>
        <w:spacing w:before="0" w:after="160" w:line="360" w:lineRule="auto"/>
        <w:rPr>
          <w:b/>
          <w:szCs w:val="24"/>
        </w:rPr>
      </w:pPr>
      <w:bookmarkStart w:id="15" w:name="_Toc155354606"/>
      <w:r w:rsidRPr="00326FC0">
        <w:rPr>
          <w:b/>
          <w:szCs w:val="24"/>
        </w:rPr>
        <w:t>2.</w:t>
      </w:r>
      <w:r w:rsidR="00151607" w:rsidRPr="00324743">
        <w:rPr>
          <w:b/>
          <w:szCs w:val="24"/>
        </w:rPr>
        <w:t>4</w:t>
      </w:r>
      <w:r w:rsidR="00421E8F" w:rsidRPr="00324743">
        <w:rPr>
          <w:b/>
          <w:szCs w:val="24"/>
        </w:rPr>
        <w:t xml:space="preserve"> </w:t>
      </w:r>
      <w:r w:rsidR="00E52ED4" w:rsidRPr="00324743">
        <w:rPr>
          <w:b/>
          <w:szCs w:val="24"/>
        </w:rPr>
        <w:t xml:space="preserve">Planificación </w:t>
      </w:r>
      <w:r w:rsidR="0058207D" w:rsidRPr="00324743">
        <w:rPr>
          <w:b/>
          <w:szCs w:val="24"/>
        </w:rPr>
        <w:t>E</w:t>
      </w:r>
      <w:r w:rsidR="00E52ED4" w:rsidRPr="00324743">
        <w:rPr>
          <w:b/>
          <w:szCs w:val="24"/>
        </w:rPr>
        <w:t xml:space="preserve">stratégica </w:t>
      </w:r>
      <w:r w:rsidR="0058207D" w:rsidRPr="00324743">
        <w:rPr>
          <w:b/>
          <w:szCs w:val="24"/>
        </w:rPr>
        <w:t>I</w:t>
      </w:r>
      <w:r w:rsidR="00E52ED4" w:rsidRPr="00324743">
        <w:rPr>
          <w:b/>
          <w:szCs w:val="24"/>
        </w:rPr>
        <w:t>nstitucional</w:t>
      </w:r>
      <w:bookmarkEnd w:id="15"/>
    </w:p>
    <w:p w14:paraId="5A9F6B14" w14:textId="08913760" w:rsidR="00E52ED4" w:rsidRPr="00C865B6" w:rsidRDefault="00E52ED4" w:rsidP="006B204A">
      <w:pPr>
        <w:spacing w:line="360" w:lineRule="auto"/>
        <w:jc w:val="both"/>
        <w:rPr>
          <w:lang w:val="es-DO"/>
        </w:rPr>
      </w:pPr>
      <w:r w:rsidRPr="00C865B6">
        <w:rPr>
          <w:lang w:val="es-DO"/>
        </w:rPr>
        <w:t>En febrero de 2021 la Superintendencia de Bancos lanzó su Plan Estratégico Institucional (PEI 2021-2024), enfocado en seis (6) ejes y once (11) objetivos estratégicos.</w:t>
      </w:r>
    </w:p>
    <w:p w14:paraId="30DBBE8D" w14:textId="77777777" w:rsidR="00E52ED4" w:rsidRPr="00C865B6" w:rsidRDefault="00E52ED4" w:rsidP="006B204A">
      <w:pPr>
        <w:spacing w:line="360" w:lineRule="auto"/>
        <w:jc w:val="both"/>
        <w:rPr>
          <w:lang w:val="es-DO"/>
        </w:rPr>
      </w:pPr>
      <w:r w:rsidRPr="00C865B6">
        <w:rPr>
          <w:lang w:val="es-DO"/>
        </w:rPr>
        <w:t xml:space="preserve">El PEI 2021-2024 incluye adecuaciones importantes al marco institucional que tienen como objetivo mejorar la supervisión y regulación de las entidades de intermediación financiera y los intermediarios cambiarios. Asimismo, se incluyen estrategias para </w:t>
      </w:r>
      <w:r w:rsidRPr="00C865B6">
        <w:rPr>
          <w:lang w:val="es-DO"/>
        </w:rPr>
        <w:lastRenderedPageBreak/>
        <w:t>fomentar el fortalecimiento institucional, la digitalización y la innovación.</w:t>
      </w:r>
    </w:p>
    <w:p w14:paraId="7929EA5B" w14:textId="2FAC94D2" w:rsidR="00E52ED4" w:rsidRPr="00C865B6" w:rsidRDefault="00E52ED4" w:rsidP="006B204A">
      <w:pPr>
        <w:spacing w:line="360" w:lineRule="auto"/>
        <w:jc w:val="both"/>
        <w:rPr>
          <w:lang w:val="es-DO"/>
        </w:rPr>
      </w:pPr>
      <w:r w:rsidRPr="00C865B6">
        <w:rPr>
          <w:lang w:val="es-DO"/>
        </w:rPr>
        <w:t>Además, el plan se enfoca en robustecer la integridad del sistema bancario y cambiario mediante la lucha contra el lavado de activos, el financiamiento del terrorismo y otros delitos financieros. Por último, el PEI 2021-2024 prioriza los esfuerzos de la institución por la inclusión financiera de los ciudadanos, y la implementación de políticas públicas que fortalezcan la protección a los derechos de los usuarios financieros.</w:t>
      </w:r>
    </w:p>
    <w:p w14:paraId="58109BAB" w14:textId="77777777" w:rsidR="00E52ED4" w:rsidRPr="00C865B6" w:rsidRDefault="00E52ED4" w:rsidP="006B204A">
      <w:pPr>
        <w:spacing w:line="360" w:lineRule="auto"/>
        <w:jc w:val="both"/>
        <w:rPr>
          <w:lang w:val="es-DO"/>
        </w:rPr>
      </w:pPr>
      <w:r w:rsidRPr="00C865B6">
        <w:rPr>
          <w:lang w:val="es-DO"/>
        </w:rPr>
        <w:t>Los Ejes y Objetivos del PEI 2021-2024 se detallan a continuación:</w:t>
      </w:r>
    </w:p>
    <w:p w14:paraId="1030DDA5" w14:textId="0700DC9B" w:rsidR="00E52ED4" w:rsidRPr="00C865B6" w:rsidRDefault="00B410AD" w:rsidP="006B204A">
      <w:pPr>
        <w:spacing w:line="360" w:lineRule="auto"/>
        <w:jc w:val="center"/>
        <w:rPr>
          <w:b/>
          <w:bCs/>
          <w:lang w:val="es-DO"/>
        </w:rPr>
      </w:pPr>
      <w:r>
        <w:rPr>
          <w:b/>
          <w:bCs/>
          <w:lang w:val="es-DO"/>
        </w:rPr>
        <w:t>Tabla</w:t>
      </w:r>
      <w:r w:rsidR="00C72346">
        <w:rPr>
          <w:b/>
          <w:bCs/>
          <w:lang w:val="es-DO"/>
        </w:rPr>
        <w:t xml:space="preserve"> 1. </w:t>
      </w:r>
      <w:r w:rsidR="00E52ED4" w:rsidRPr="00C865B6">
        <w:rPr>
          <w:b/>
          <w:bCs/>
          <w:lang w:val="es-DO"/>
        </w:rPr>
        <w:t>Ejes y Objetivos Estratégicos 2021-2024</w:t>
      </w:r>
    </w:p>
    <w:tbl>
      <w:tblPr>
        <w:tblStyle w:val="Tablaconcuadrcula1clara"/>
        <w:tblW w:w="5107" w:type="pct"/>
        <w:tblInd w:w="-147" w:type="dxa"/>
        <w:tblLook w:val="04A0" w:firstRow="1" w:lastRow="0" w:firstColumn="1" w:lastColumn="0" w:noHBand="0" w:noVBand="1"/>
      </w:tblPr>
      <w:tblGrid>
        <w:gridCol w:w="3259"/>
        <w:gridCol w:w="4820"/>
      </w:tblGrid>
      <w:tr w:rsidR="00E52ED4" w:rsidRPr="00C72346" w14:paraId="7D29D05D" w14:textId="77777777" w:rsidTr="00F608D8">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2017" w:type="pct"/>
            <w:shd w:val="clear" w:color="auto" w:fill="011C50"/>
            <w:noWrap/>
            <w:vAlign w:val="center"/>
            <w:hideMark/>
          </w:tcPr>
          <w:p w14:paraId="3DB3B358" w14:textId="77777777" w:rsidR="00E52ED4" w:rsidRPr="00C539DA" w:rsidRDefault="00E52ED4" w:rsidP="006B204A">
            <w:pPr>
              <w:spacing w:line="360" w:lineRule="auto"/>
              <w:jc w:val="center"/>
              <w:rPr>
                <w:rFonts w:eastAsia="Times New Roman"/>
                <w:b w:val="0"/>
                <w:color w:val="FFFFFF" w:themeColor="background1"/>
                <w:lang w:val="es-DO" w:eastAsia="es-DO"/>
              </w:rPr>
            </w:pPr>
            <w:r w:rsidRPr="00C539DA">
              <w:rPr>
                <w:rFonts w:eastAsia="Times New Roman"/>
                <w:color w:val="FFFFFF" w:themeColor="background1"/>
                <w:lang w:val="es-DO" w:eastAsia="es-DO"/>
              </w:rPr>
              <w:t>Eje</w:t>
            </w:r>
          </w:p>
        </w:tc>
        <w:tc>
          <w:tcPr>
            <w:tcW w:w="2983" w:type="pct"/>
            <w:shd w:val="clear" w:color="auto" w:fill="011C50"/>
            <w:noWrap/>
            <w:vAlign w:val="center"/>
            <w:hideMark/>
          </w:tcPr>
          <w:p w14:paraId="31F41DD9" w14:textId="77777777" w:rsidR="00E52ED4" w:rsidRPr="00C539DA" w:rsidRDefault="00E52ED4" w:rsidP="006B204A">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themeColor="background1"/>
                <w:lang w:val="es-DO" w:eastAsia="es-DO"/>
              </w:rPr>
            </w:pPr>
            <w:r w:rsidRPr="00C539DA">
              <w:rPr>
                <w:rFonts w:eastAsia="Times New Roman"/>
                <w:color w:val="FFFFFF" w:themeColor="background1"/>
                <w:lang w:val="es-DO" w:eastAsia="es-DO"/>
              </w:rPr>
              <w:t>Objetivo Estratégico</w:t>
            </w:r>
          </w:p>
        </w:tc>
      </w:tr>
      <w:tr w:rsidR="00E52ED4" w:rsidRPr="00274E67" w14:paraId="060E92C6" w14:textId="77777777" w:rsidTr="00F608D8">
        <w:trPr>
          <w:trHeight w:val="687"/>
        </w:trPr>
        <w:tc>
          <w:tcPr>
            <w:cnfStyle w:val="001000000000" w:firstRow="0" w:lastRow="0" w:firstColumn="1" w:lastColumn="0" w:oddVBand="0" w:evenVBand="0" w:oddHBand="0" w:evenHBand="0" w:firstRowFirstColumn="0" w:firstRowLastColumn="0" w:lastRowFirstColumn="0" w:lastRowLastColumn="0"/>
            <w:tcW w:w="2017" w:type="pct"/>
            <w:vMerge w:val="restart"/>
            <w:vAlign w:val="center"/>
            <w:hideMark/>
          </w:tcPr>
          <w:p w14:paraId="482B8B60" w14:textId="0AE7BC29" w:rsidR="00E52ED4" w:rsidRPr="00C539DA" w:rsidRDefault="00E52ED4" w:rsidP="006B204A">
            <w:pPr>
              <w:spacing w:line="360" w:lineRule="auto"/>
              <w:jc w:val="center"/>
              <w:rPr>
                <w:rFonts w:eastAsia="Times New Roman"/>
                <w:lang w:val="es-DO" w:eastAsia="es-DO"/>
              </w:rPr>
            </w:pPr>
            <w:r w:rsidRPr="00C539DA">
              <w:rPr>
                <w:rFonts w:eastAsia="Times New Roman"/>
                <w:lang w:val="es-DO" w:eastAsia="es-DO"/>
              </w:rPr>
              <w:t xml:space="preserve">Eje 1. Estabilidad Financiera y </w:t>
            </w:r>
            <w:bookmarkStart w:id="16" w:name="_Int_HbgpXInc"/>
            <w:proofErr w:type="spellStart"/>
            <w:r w:rsidRPr="00C539DA">
              <w:rPr>
                <w:rFonts w:eastAsia="Times New Roman"/>
                <w:lang w:val="es-DO" w:eastAsia="es-DO"/>
              </w:rPr>
              <w:t>Macro-prudencial</w:t>
            </w:r>
            <w:bookmarkEnd w:id="16"/>
            <w:proofErr w:type="spellEnd"/>
          </w:p>
        </w:tc>
        <w:tc>
          <w:tcPr>
            <w:tcW w:w="2983" w:type="pct"/>
            <w:vAlign w:val="center"/>
            <w:hideMark/>
          </w:tcPr>
          <w:p w14:paraId="498ECB00" w14:textId="31017350" w:rsidR="00E52ED4" w:rsidRPr="00C539DA" w:rsidRDefault="00E52ED4" w:rsidP="006B204A">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C539DA">
              <w:rPr>
                <w:rFonts w:eastAsia="Times New Roman"/>
                <w:lang w:val="es-DO" w:eastAsia="es-DO"/>
              </w:rPr>
              <w:t>1.1: Preservar la estabilidad, solvencia y eficiencia del sistema financiero.</w:t>
            </w:r>
          </w:p>
        </w:tc>
      </w:tr>
      <w:tr w:rsidR="00E52ED4" w:rsidRPr="00274E67" w14:paraId="5DEDCF60" w14:textId="77777777" w:rsidTr="00F608D8">
        <w:trPr>
          <w:trHeight w:val="657"/>
        </w:trPr>
        <w:tc>
          <w:tcPr>
            <w:cnfStyle w:val="001000000000" w:firstRow="0" w:lastRow="0" w:firstColumn="1" w:lastColumn="0" w:oddVBand="0" w:evenVBand="0" w:oddHBand="0" w:evenHBand="0" w:firstRowFirstColumn="0" w:firstRowLastColumn="0" w:lastRowFirstColumn="0" w:lastRowLastColumn="0"/>
            <w:tcW w:w="2017" w:type="pct"/>
            <w:vMerge/>
            <w:vAlign w:val="center"/>
            <w:hideMark/>
          </w:tcPr>
          <w:p w14:paraId="78216C40" w14:textId="77777777" w:rsidR="00E52ED4" w:rsidRPr="00C539DA" w:rsidRDefault="00E52ED4" w:rsidP="006B204A">
            <w:pPr>
              <w:spacing w:line="360" w:lineRule="auto"/>
              <w:jc w:val="center"/>
              <w:rPr>
                <w:rFonts w:eastAsia="Times New Roman"/>
                <w:lang w:val="es-DO" w:eastAsia="es-DO"/>
              </w:rPr>
            </w:pPr>
          </w:p>
        </w:tc>
        <w:tc>
          <w:tcPr>
            <w:tcW w:w="2983" w:type="pct"/>
            <w:vAlign w:val="center"/>
            <w:hideMark/>
          </w:tcPr>
          <w:p w14:paraId="3542C78A" w14:textId="77777777" w:rsidR="00E52ED4" w:rsidRPr="00C539DA" w:rsidRDefault="00E52ED4" w:rsidP="006B204A">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C539DA">
              <w:rPr>
                <w:rFonts w:eastAsia="Times New Roman"/>
                <w:lang w:val="es-DO" w:eastAsia="es-DO"/>
              </w:rPr>
              <w:t>1.2: Vigilar la solvencia, liquidez, cumplimiento y la gestión de las entidades reguladas.</w:t>
            </w:r>
          </w:p>
        </w:tc>
      </w:tr>
      <w:tr w:rsidR="00E52ED4" w:rsidRPr="00274E67" w14:paraId="6990D8BA" w14:textId="77777777" w:rsidTr="00F608D8">
        <w:trPr>
          <w:trHeight w:val="598"/>
        </w:trPr>
        <w:tc>
          <w:tcPr>
            <w:cnfStyle w:val="001000000000" w:firstRow="0" w:lastRow="0" w:firstColumn="1" w:lastColumn="0" w:oddVBand="0" w:evenVBand="0" w:oddHBand="0" w:evenHBand="0" w:firstRowFirstColumn="0" w:firstRowLastColumn="0" w:lastRowFirstColumn="0" w:lastRowLastColumn="0"/>
            <w:tcW w:w="2017" w:type="pct"/>
            <w:vMerge w:val="restart"/>
            <w:vAlign w:val="center"/>
            <w:hideMark/>
          </w:tcPr>
          <w:p w14:paraId="07397257" w14:textId="1FB1A2B3" w:rsidR="00E52ED4" w:rsidRPr="00C539DA" w:rsidRDefault="00E52ED4" w:rsidP="006B204A">
            <w:pPr>
              <w:spacing w:line="360" w:lineRule="auto"/>
              <w:jc w:val="center"/>
              <w:rPr>
                <w:rFonts w:eastAsia="Times New Roman"/>
                <w:lang w:val="es-DO" w:eastAsia="es-DO"/>
              </w:rPr>
            </w:pPr>
            <w:r w:rsidRPr="00C539DA">
              <w:rPr>
                <w:rFonts w:eastAsia="Times New Roman"/>
                <w:lang w:val="es-DO" w:eastAsia="es-DO"/>
              </w:rPr>
              <w:t>Eje 2. Digitalización, Innovación y Nuevas Tecnologías</w:t>
            </w:r>
          </w:p>
        </w:tc>
        <w:tc>
          <w:tcPr>
            <w:tcW w:w="2983" w:type="pct"/>
            <w:vAlign w:val="center"/>
            <w:hideMark/>
          </w:tcPr>
          <w:p w14:paraId="41E42CA0" w14:textId="7CBB704F" w:rsidR="00E52ED4" w:rsidRPr="00C539DA" w:rsidRDefault="00E52ED4" w:rsidP="006B204A">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C539DA">
              <w:rPr>
                <w:rFonts w:eastAsia="Times New Roman"/>
                <w:lang w:val="es-DO" w:eastAsia="es-DO"/>
              </w:rPr>
              <w:t>2.1: Aumentar la eficiencia, eficacia y alcance de los procesos internos a través del uso de nuevas tecnologías.</w:t>
            </w:r>
          </w:p>
        </w:tc>
      </w:tr>
      <w:tr w:rsidR="00E52ED4" w:rsidRPr="00274E67" w14:paraId="06EFEB4D" w14:textId="77777777" w:rsidTr="00F608D8">
        <w:trPr>
          <w:trHeight w:val="598"/>
        </w:trPr>
        <w:tc>
          <w:tcPr>
            <w:cnfStyle w:val="001000000000" w:firstRow="0" w:lastRow="0" w:firstColumn="1" w:lastColumn="0" w:oddVBand="0" w:evenVBand="0" w:oddHBand="0" w:evenHBand="0" w:firstRowFirstColumn="0" w:firstRowLastColumn="0" w:lastRowFirstColumn="0" w:lastRowLastColumn="0"/>
            <w:tcW w:w="2017" w:type="pct"/>
            <w:vMerge/>
            <w:vAlign w:val="center"/>
            <w:hideMark/>
          </w:tcPr>
          <w:p w14:paraId="74D75945" w14:textId="77777777" w:rsidR="00E52ED4" w:rsidRPr="00C539DA" w:rsidRDefault="00E52ED4" w:rsidP="006B204A">
            <w:pPr>
              <w:spacing w:line="360" w:lineRule="auto"/>
              <w:jc w:val="center"/>
              <w:rPr>
                <w:rFonts w:eastAsia="Times New Roman"/>
                <w:lang w:val="es-DO" w:eastAsia="es-DO"/>
              </w:rPr>
            </w:pPr>
          </w:p>
        </w:tc>
        <w:tc>
          <w:tcPr>
            <w:tcW w:w="2983" w:type="pct"/>
            <w:vAlign w:val="center"/>
            <w:hideMark/>
          </w:tcPr>
          <w:p w14:paraId="04889605" w14:textId="3DD08B3F" w:rsidR="00E52ED4" w:rsidRPr="00C539DA" w:rsidRDefault="00E52ED4" w:rsidP="006B204A">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C539DA">
              <w:rPr>
                <w:rFonts w:eastAsia="Times New Roman"/>
                <w:lang w:val="es-DO" w:eastAsia="es-DO"/>
              </w:rPr>
              <w:t>2.2: Ampliar la provisión de los servicios financieros a través del uso de nuevos canales y tecnologías.</w:t>
            </w:r>
          </w:p>
        </w:tc>
      </w:tr>
      <w:tr w:rsidR="00E52ED4" w:rsidRPr="00274E67" w14:paraId="4A5779D8" w14:textId="77777777" w:rsidTr="00F608D8">
        <w:trPr>
          <w:trHeight w:val="947"/>
        </w:trPr>
        <w:tc>
          <w:tcPr>
            <w:cnfStyle w:val="001000000000" w:firstRow="0" w:lastRow="0" w:firstColumn="1" w:lastColumn="0" w:oddVBand="0" w:evenVBand="0" w:oddHBand="0" w:evenHBand="0" w:firstRowFirstColumn="0" w:firstRowLastColumn="0" w:lastRowFirstColumn="0" w:lastRowLastColumn="0"/>
            <w:tcW w:w="2017" w:type="pct"/>
            <w:vMerge w:val="restart"/>
            <w:vAlign w:val="center"/>
            <w:hideMark/>
          </w:tcPr>
          <w:p w14:paraId="3D22A644" w14:textId="047AD62B" w:rsidR="00E52ED4" w:rsidRPr="00C539DA" w:rsidRDefault="00E52ED4" w:rsidP="006B204A">
            <w:pPr>
              <w:spacing w:line="360" w:lineRule="auto"/>
              <w:jc w:val="center"/>
              <w:rPr>
                <w:rFonts w:eastAsia="Times New Roman"/>
                <w:lang w:val="es-DO" w:eastAsia="es-DO"/>
              </w:rPr>
            </w:pPr>
            <w:r w:rsidRPr="00C539DA">
              <w:rPr>
                <w:rFonts w:eastAsia="Times New Roman"/>
                <w:lang w:val="es-DO" w:eastAsia="es-DO"/>
              </w:rPr>
              <w:t>Eje 3. Eficiencia y Fortalecimiento Institucional</w:t>
            </w:r>
          </w:p>
        </w:tc>
        <w:tc>
          <w:tcPr>
            <w:tcW w:w="2983" w:type="pct"/>
            <w:vAlign w:val="center"/>
            <w:hideMark/>
          </w:tcPr>
          <w:p w14:paraId="75514881" w14:textId="7776E0C5" w:rsidR="00E52ED4" w:rsidRPr="00C539DA" w:rsidRDefault="00E52ED4" w:rsidP="006B204A">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C539DA">
              <w:rPr>
                <w:rFonts w:eastAsia="Times New Roman"/>
                <w:lang w:val="es-DO" w:eastAsia="es-DO"/>
              </w:rPr>
              <w:t>3.1: Aumentar la efectividad y calidad de la gestión institucional con un enfoque orientado a resultados y de mejora continua.</w:t>
            </w:r>
          </w:p>
        </w:tc>
      </w:tr>
      <w:tr w:rsidR="00E52ED4" w:rsidRPr="00274E67" w14:paraId="76C97C36" w14:textId="77777777" w:rsidTr="00F608D8">
        <w:trPr>
          <w:trHeight w:val="986"/>
        </w:trPr>
        <w:tc>
          <w:tcPr>
            <w:cnfStyle w:val="001000000000" w:firstRow="0" w:lastRow="0" w:firstColumn="1" w:lastColumn="0" w:oddVBand="0" w:evenVBand="0" w:oddHBand="0" w:evenHBand="0" w:firstRowFirstColumn="0" w:firstRowLastColumn="0" w:lastRowFirstColumn="0" w:lastRowLastColumn="0"/>
            <w:tcW w:w="2017" w:type="pct"/>
            <w:vMerge/>
            <w:vAlign w:val="center"/>
            <w:hideMark/>
          </w:tcPr>
          <w:p w14:paraId="18EA2C69" w14:textId="77777777" w:rsidR="00E52ED4" w:rsidRPr="00C539DA" w:rsidRDefault="00E52ED4" w:rsidP="006B204A">
            <w:pPr>
              <w:spacing w:line="360" w:lineRule="auto"/>
              <w:jc w:val="center"/>
              <w:rPr>
                <w:rFonts w:eastAsia="Times New Roman"/>
                <w:lang w:val="es-DO" w:eastAsia="es-DO"/>
              </w:rPr>
            </w:pPr>
          </w:p>
        </w:tc>
        <w:tc>
          <w:tcPr>
            <w:tcW w:w="2983" w:type="pct"/>
            <w:vAlign w:val="center"/>
            <w:hideMark/>
          </w:tcPr>
          <w:p w14:paraId="6AB682EC" w14:textId="77777777" w:rsidR="00E52ED4" w:rsidRPr="00C539DA" w:rsidRDefault="00E52ED4" w:rsidP="006B204A">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C539DA">
              <w:rPr>
                <w:rFonts w:eastAsia="Times New Roman"/>
                <w:lang w:val="es-DO" w:eastAsia="es-DO"/>
              </w:rPr>
              <w:t>3.2 Aumentar las capacidades técnicas y de gestión del personal de la SB.</w:t>
            </w:r>
          </w:p>
        </w:tc>
      </w:tr>
      <w:tr w:rsidR="00E52ED4" w:rsidRPr="00274E67" w14:paraId="5D54C843" w14:textId="77777777" w:rsidTr="00F608D8">
        <w:trPr>
          <w:trHeight w:val="838"/>
        </w:trPr>
        <w:tc>
          <w:tcPr>
            <w:cnfStyle w:val="001000000000" w:firstRow="0" w:lastRow="0" w:firstColumn="1" w:lastColumn="0" w:oddVBand="0" w:evenVBand="0" w:oddHBand="0" w:evenHBand="0" w:firstRowFirstColumn="0" w:firstRowLastColumn="0" w:lastRowFirstColumn="0" w:lastRowLastColumn="0"/>
            <w:tcW w:w="2017" w:type="pct"/>
            <w:vAlign w:val="center"/>
            <w:hideMark/>
          </w:tcPr>
          <w:p w14:paraId="2AAF13B6" w14:textId="2699EBC4" w:rsidR="00E52ED4" w:rsidRPr="00C539DA" w:rsidRDefault="00E52ED4" w:rsidP="006B204A">
            <w:pPr>
              <w:spacing w:line="360" w:lineRule="auto"/>
              <w:jc w:val="center"/>
              <w:rPr>
                <w:rFonts w:eastAsia="Times New Roman"/>
                <w:b w:val="0"/>
                <w:lang w:val="es-DO" w:eastAsia="es-DO"/>
              </w:rPr>
            </w:pPr>
            <w:r w:rsidRPr="00C539DA">
              <w:rPr>
                <w:rFonts w:eastAsia="Times New Roman"/>
                <w:lang w:val="es-DO" w:eastAsia="es-DO"/>
              </w:rPr>
              <w:t>Eje 4. Inclusión Financiera y Bancarización</w:t>
            </w:r>
          </w:p>
        </w:tc>
        <w:tc>
          <w:tcPr>
            <w:tcW w:w="2983" w:type="pct"/>
            <w:vAlign w:val="center"/>
            <w:hideMark/>
          </w:tcPr>
          <w:p w14:paraId="1993FCC5" w14:textId="77777777" w:rsidR="00E52ED4" w:rsidRPr="00C539DA" w:rsidRDefault="00E52ED4" w:rsidP="006B204A">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C539DA">
              <w:rPr>
                <w:rFonts w:eastAsia="Times New Roman"/>
                <w:lang w:val="es-DO" w:eastAsia="es-DO"/>
              </w:rPr>
              <w:t>4.1: Promover la reducción de barreras que impidan el acceso de los ciudadanos al sistema financiero formal.</w:t>
            </w:r>
          </w:p>
        </w:tc>
      </w:tr>
      <w:tr w:rsidR="00E52ED4" w:rsidRPr="00274E67" w14:paraId="5CA82588" w14:textId="77777777" w:rsidTr="00F608D8">
        <w:trPr>
          <w:trHeight w:val="897"/>
        </w:trPr>
        <w:tc>
          <w:tcPr>
            <w:cnfStyle w:val="001000000000" w:firstRow="0" w:lastRow="0" w:firstColumn="1" w:lastColumn="0" w:oddVBand="0" w:evenVBand="0" w:oddHBand="0" w:evenHBand="0" w:firstRowFirstColumn="0" w:firstRowLastColumn="0" w:lastRowFirstColumn="0" w:lastRowLastColumn="0"/>
            <w:tcW w:w="2017" w:type="pct"/>
            <w:vMerge w:val="restart"/>
            <w:vAlign w:val="center"/>
            <w:hideMark/>
          </w:tcPr>
          <w:p w14:paraId="1893A31C" w14:textId="77777777" w:rsidR="00E52ED4" w:rsidRPr="00C539DA" w:rsidRDefault="00E52ED4" w:rsidP="006B204A">
            <w:pPr>
              <w:spacing w:line="360" w:lineRule="auto"/>
              <w:jc w:val="center"/>
              <w:rPr>
                <w:rFonts w:eastAsia="Times New Roman"/>
                <w:lang w:val="es-DO" w:eastAsia="es-DO"/>
              </w:rPr>
            </w:pPr>
            <w:r w:rsidRPr="00C539DA">
              <w:rPr>
                <w:rFonts w:eastAsia="Times New Roman"/>
                <w:lang w:val="es-DO" w:eastAsia="es-DO"/>
              </w:rPr>
              <w:t>Eje 5. Protección y Salud Financiera del Consumidor</w:t>
            </w:r>
          </w:p>
        </w:tc>
        <w:tc>
          <w:tcPr>
            <w:tcW w:w="2983" w:type="pct"/>
            <w:vAlign w:val="center"/>
            <w:hideMark/>
          </w:tcPr>
          <w:p w14:paraId="72E52ACE" w14:textId="79F67DF7" w:rsidR="00E52ED4" w:rsidRPr="00C539DA" w:rsidRDefault="00E52ED4" w:rsidP="006B204A">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C539DA">
              <w:rPr>
                <w:rFonts w:eastAsia="Times New Roman"/>
                <w:lang w:val="es-DO" w:eastAsia="es-DO"/>
              </w:rPr>
              <w:t>5.1: Promover mejoras en la protección, provisión de información y salud financiera de los usuarios del sistema.</w:t>
            </w:r>
          </w:p>
        </w:tc>
      </w:tr>
      <w:tr w:rsidR="00E52ED4" w:rsidRPr="00274E67" w14:paraId="66ACE6DA" w14:textId="77777777" w:rsidTr="00F608D8">
        <w:trPr>
          <w:trHeight w:val="747"/>
        </w:trPr>
        <w:tc>
          <w:tcPr>
            <w:cnfStyle w:val="001000000000" w:firstRow="0" w:lastRow="0" w:firstColumn="1" w:lastColumn="0" w:oddVBand="0" w:evenVBand="0" w:oddHBand="0" w:evenHBand="0" w:firstRowFirstColumn="0" w:firstRowLastColumn="0" w:lastRowFirstColumn="0" w:lastRowLastColumn="0"/>
            <w:tcW w:w="2017" w:type="pct"/>
            <w:vMerge/>
            <w:vAlign w:val="center"/>
            <w:hideMark/>
          </w:tcPr>
          <w:p w14:paraId="39B4C69F" w14:textId="77777777" w:rsidR="00E52ED4" w:rsidRPr="00C539DA" w:rsidRDefault="00E52ED4" w:rsidP="006B204A">
            <w:pPr>
              <w:spacing w:line="360" w:lineRule="auto"/>
              <w:jc w:val="center"/>
              <w:rPr>
                <w:rFonts w:eastAsia="Times New Roman"/>
                <w:lang w:val="es-DO" w:eastAsia="es-DO"/>
              </w:rPr>
            </w:pPr>
          </w:p>
        </w:tc>
        <w:tc>
          <w:tcPr>
            <w:tcW w:w="2983" w:type="pct"/>
            <w:vAlign w:val="center"/>
            <w:hideMark/>
          </w:tcPr>
          <w:p w14:paraId="67349109" w14:textId="77777777" w:rsidR="00E52ED4" w:rsidRPr="00C539DA" w:rsidRDefault="00E52ED4" w:rsidP="006B204A">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C539DA">
              <w:rPr>
                <w:rFonts w:eastAsia="Times New Roman"/>
                <w:lang w:val="es-DO" w:eastAsia="es-DO"/>
              </w:rPr>
              <w:t>5.2: Aumentar la visibilidad, uso y alcance de los servicios de ProUsuario.</w:t>
            </w:r>
          </w:p>
        </w:tc>
      </w:tr>
      <w:tr w:rsidR="00E52ED4" w:rsidRPr="00274E67" w14:paraId="168BAE66" w14:textId="77777777" w:rsidTr="00F608D8">
        <w:trPr>
          <w:trHeight w:val="927"/>
        </w:trPr>
        <w:tc>
          <w:tcPr>
            <w:cnfStyle w:val="001000000000" w:firstRow="0" w:lastRow="0" w:firstColumn="1" w:lastColumn="0" w:oddVBand="0" w:evenVBand="0" w:oddHBand="0" w:evenHBand="0" w:firstRowFirstColumn="0" w:firstRowLastColumn="0" w:lastRowFirstColumn="0" w:lastRowLastColumn="0"/>
            <w:tcW w:w="2017" w:type="pct"/>
            <w:vMerge w:val="restart"/>
            <w:vAlign w:val="center"/>
            <w:hideMark/>
          </w:tcPr>
          <w:p w14:paraId="12211835" w14:textId="77777777" w:rsidR="00E52ED4" w:rsidRPr="00C539DA" w:rsidRDefault="00E52ED4" w:rsidP="006B204A">
            <w:pPr>
              <w:spacing w:line="360" w:lineRule="auto"/>
              <w:jc w:val="center"/>
              <w:rPr>
                <w:rFonts w:eastAsia="Times New Roman"/>
                <w:lang w:val="es-DO" w:eastAsia="es-DO"/>
              </w:rPr>
            </w:pPr>
            <w:r w:rsidRPr="00C539DA">
              <w:rPr>
                <w:rFonts w:eastAsia="Times New Roman"/>
                <w:lang w:val="es-DO" w:eastAsia="es-DO"/>
              </w:rPr>
              <w:t>Eje 6. Integridad del Sistema Financiero</w:t>
            </w:r>
          </w:p>
        </w:tc>
        <w:tc>
          <w:tcPr>
            <w:tcW w:w="2983" w:type="pct"/>
            <w:vAlign w:val="center"/>
            <w:hideMark/>
          </w:tcPr>
          <w:p w14:paraId="1AAA6905" w14:textId="77777777" w:rsidR="00E52ED4" w:rsidRPr="00C539DA" w:rsidRDefault="00E52ED4" w:rsidP="006B204A">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C539DA">
              <w:rPr>
                <w:rFonts w:eastAsia="Times New Roman"/>
                <w:lang w:val="es-DO" w:eastAsia="es-DO"/>
              </w:rPr>
              <w:t>6.1: Mejorar la supervisión del cumplimiento de las normas de prevención de lavado de activos, financiamiento al terrorismo y criminalidad financiera.</w:t>
            </w:r>
          </w:p>
        </w:tc>
      </w:tr>
      <w:tr w:rsidR="00E52ED4" w:rsidRPr="00274E67" w14:paraId="2CA338E2" w14:textId="77777777" w:rsidTr="00F608D8">
        <w:trPr>
          <w:trHeight w:val="981"/>
        </w:trPr>
        <w:tc>
          <w:tcPr>
            <w:cnfStyle w:val="001000000000" w:firstRow="0" w:lastRow="0" w:firstColumn="1" w:lastColumn="0" w:oddVBand="0" w:evenVBand="0" w:oddHBand="0" w:evenHBand="0" w:firstRowFirstColumn="0" w:firstRowLastColumn="0" w:lastRowFirstColumn="0" w:lastRowLastColumn="0"/>
            <w:tcW w:w="2017" w:type="pct"/>
            <w:vMerge/>
            <w:vAlign w:val="center"/>
            <w:hideMark/>
          </w:tcPr>
          <w:p w14:paraId="07AE40C5" w14:textId="77777777" w:rsidR="00E52ED4" w:rsidRPr="00C539DA" w:rsidRDefault="00E52ED4" w:rsidP="006B204A">
            <w:pPr>
              <w:spacing w:line="360" w:lineRule="auto"/>
              <w:jc w:val="center"/>
              <w:rPr>
                <w:rFonts w:eastAsia="Times New Roman"/>
                <w:lang w:val="es-DO" w:eastAsia="es-DO"/>
              </w:rPr>
            </w:pPr>
          </w:p>
        </w:tc>
        <w:tc>
          <w:tcPr>
            <w:tcW w:w="2983" w:type="pct"/>
            <w:vAlign w:val="center"/>
            <w:hideMark/>
          </w:tcPr>
          <w:p w14:paraId="42F78482" w14:textId="77777777" w:rsidR="00E52ED4" w:rsidRPr="00C539DA" w:rsidRDefault="00E52ED4" w:rsidP="006B204A">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C539DA">
              <w:rPr>
                <w:rFonts w:eastAsia="Times New Roman"/>
                <w:lang w:val="es-DO" w:eastAsia="es-DO"/>
              </w:rPr>
              <w:t>6.2: Promover la disciplina del mercado a través de la divulgación de información y un régimen sancionador efectivo, conforme al debido proceso.</w:t>
            </w:r>
          </w:p>
        </w:tc>
      </w:tr>
    </w:tbl>
    <w:p w14:paraId="31006B0B" w14:textId="4033E151" w:rsidR="00174DFA" w:rsidRPr="00361A78" w:rsidRDefault="003B6208" w:rsidP="006B204A">
      <w:pPr>
        <w:spacing w:line="360" w:lineRule="auto"/>
        <w:jc w:val="center"/>
        <w:rPr>
          <w:lang w:val="es-DO"/>
        </w:rPr>
      </w:pPr>
      <w:r w:rsidRPr="00942F25">
        <w:rPr>
          <w:b/>
          <w:lang w:val="es-DO"/>
        </w:rPr>
        <w:t>Fuente</w:t>
      </w:r>
      <w:r w:rsidRPr="00942F25">
        <w:rPr>
          <w:lang w:val="es-DO"/>
        </w:rPr>
        <w:t xml:space="preserve">: Plan Estratégico Institucional </w:t>
      </w:r>
      <w:r w:rsidR="00C1500A">
        <w:rPr>
          <w:lang w:val="es-DO"/>
        </w:rPr>
        <w:t xml:space="preserve">de la </w:t>
      </w:r>
      <w:r w:rsidRPr="00942F25">
        <w:rPr>
          <w:lang w:val="es-DO"/>
        </w:rPr>
        <w:t>S</w:t>
      </w:r>
      <w:r w:rsidR="00C1500A">
        <w:rPr>
          <w:lang w:val="es-DO"/>
        </w:rPr>
        <w:t xml:space="preserve">uperintendencia de </w:t>
      </w:r>
      <w:r w:rsidRPr="00942F25">
        <w:rPr>
          <w:lang w:val="es-DO"/>
        </w:rPr>
        <w:t>B</w:t>
      </w:r>
      <w:r w:rsidR="00C1500A">
        <w:rPr>
          <w:lang w:val="es-DO"/>
        </w:rPr>
        <w:t>ancos</w:t>
      </w:r>
      <w:r w:rsidRPr="00942F25">
        <w:rPr>
          <w:lang w:val="es-DO"/>
        </w:rPr>
        <w:t xml:space="preserve"> 2021-2024</w:t>
      </w:r>
      <w:bookmarkStart w:id="17" w:name="_Toc123046909"/>
    </w:p>
    <w:p w14:paraId="2782D533" w14:textId="77777777" w:rsidR="00F608D8" w:rsidRDefault="00F608D8" w:rsidP="006B204A">
      <w:pPr>
        <w:spacing w:line="360" w:lineRule="auto"/>
        <w:jc w:val="center"/>
        <w:rPr>
          <w:lang w:val="es-DO"/>
        </w:rPr>
      </w:pPr>
    </w:p>
    <w:p w14:paraId="494386BA" w14:textId="77777777" w:rsidR="00F608D8" w:rsidRDefault="00F608D8" w:rsidP="006B204A">
      <w:pPr>
        <w:spacing w:line="360" w:lineRule="auto"/>
        <w:jc w:val="center"/>
        <w:rPr>
          <w:lang w:val="es-DO"/>
        </w:rPr>
      </w:pPr>
    </w:p>
    <w:p w14:paraId="1B4DE9F9" w14:textId="77777777" w:rsidR="00F608D8" w:rsidRPr="00361A78" w:rsidRDefault="00F608D8" w:rsidP="006B204A">
      <w:pPr>
        <w:spacing w:line="360" w:lineRule="auto"/>
        <w:jc w:val="center"/>
        <w:rPr>
          <w:lang w:val="es-DO"/>
        </w:rPr>
      </w:pPr>
    </w:p>
    <w:p w14:paraId="4B587BA1" w14:textId="3A55DED7" w:rsidR="00E52ED4" w:rsidRPr="00C865B6" w:rsidRDefault="00D00E05" w:rsidP="0042752A">
      <w:pPr>
        <w:pStyle w:val="Ttulo1"/>
        <w:spacing w:afterLines="160" w:after="384"/>
        <w:rPr>
          <w:rStyle w:val="EstiloTItulosMemoriasCar"/>
          <w:rFonts w:eastAsia="Calibri" w:cs="Times New Roman"/>
        </w:rPr>
      </w:pPr>
      <w:bookmarkStart w:id="18" w:name="_Toc155354607"/>
      <w:r>
        <w:rPr>
          <w:rStyle w:val="EstiloTItulosMemoriasCar"/>
          <w:rFonts w:eastAsia="Calibri" w:cs="Times New Roman"/>
        </w:rPr>
        <w:lastRenderedPageBreak/>
        <w:t>III</w:t>
      </w:r>
      <w:r w:rsidR="00E52ED4" w:rsidRPr="00C865B6">
        <w:rPr>
          <w:rStyle w:val="EstiloTItulosMemoriasCar"/>
          <w:rFonts w:eastAsia="Calibri" w:cs="Times New Roman"/>
        </w:rPr>
        <w:t xml:space="preserve">. </w:t>
      </w:r>
      <w:bookmarkStart w:id="19" w:name="_Toc122435004"/>
      <w:r w:rsidR="00E52ED4" w:rsidRPr="00C865B6">
        <w:rPr>
          <w:rStyle w:val="EstiloTItulosMemoriasCar"/>
          <w:rFonts w:eastAsia="Calibri" w:cs="Times New Roman"/>
        </w:rPr>
        <w:t>RESULTADOS MISIONALES</w:t>
      </w:r>
      <w:bookmarkEnd w:id="17"/>
      <w:bookmarkEnd w:id="18"/>
      <w:bookmarkEnd w:id="19"/>
    </w:p>
    <w:p w14:paraId="1C8BBA57" w14:textId="77777777" w:rsidR="00E52ED4" w:rsidRPr="00C865B6" w:rsidRDefault="00E52ED4" w:rsidP="0042752A">
      <w:pPr>
        <w:spacing w:afterLines="160" w:after="384"/>
        <w:rPr>
          <w:lang w:val="es-DO"/>
        </w:rPr>
      </w:pPr>
      <w:r w:rsidRPr="00C865B6">
        <w:rPr>
          <w:rStyle w:val="EstiloTItulosMemoriasCar"/>
          <w:rFonts w:eastAsia="Calibri" w:cs="Times New Roman"/>
          <w:noProof/>
        </w:rPr>
        <mc:AlternateContent>
          <mc:Choice Requires="wps">
            <w:drawing>
              <wp:anchor distT="0" distB="0" distL="114300" distR="114300" simplePos="0" relativeHeight="251658250" behindDoc="0" locked="0" layoutInCell="1" allowOverlap="1" wp14:anchorId="1256DDE6" wp14:editId="298B81AB">
                <wp:simplePos x="0" y="0"/>
                <wp:positionH relativeFrom="margin">
                  <wp:posOffset>2352675</wp:posOffset>
                </wp:positionH>
                <wp:positionV relativeFrom="paragraph">
                  <wp:posOffset>97155</wp:posOffset>
                </wp:positionV>
                <wp:extent cx="463550" cy="0"/>
                <wp:effectExtent l="17145" t="19050" r="14605" b="19050"/>
                <wp:wrapNone/>
                <wp:docPr id="14"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3EA7B397" id="Conector recto 14" o:spid="_x0000_s1026" style="position:absolute;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5.25pt,7.65pt" to="221.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" strokecolor="#ee2a24" strokeweight="2.25pt">
                <v:stroke joinstyle="miter"/>
                <w10:wrap anchorx="margin"/>
              </v:line>
            </w:pict>
          </mc:Fallback>
        </mc:AlternateContent>
      </w:r>
    </w:p>
    <w:p w14:paraId="3BBCAB1F" w14:textId="094C7DC6" w:rsidR="007B1CCF" w:rsidRPr="00151806" w:rsidRDefault="00151806" w:rsidP="0042752A">
      <w:pPr>
        <w:pStyle w:val="Estilo1"/>
        <w:spacing w:afterLines="160" w:after="384"/>
        <w:rPr>
          <w:i w:val="0"/>
          <w:iCs w:val="0"/>
          <w:sz w:val="24"/>
          <w:szCs w:val="24"/>
        </w:rPr>
      </w:pPr>
      <w:bookmarkStart w:id="20" w:name="_Toc122435005"/>
      <w:bookmarkStart w:id="21" w:name="_Toc123046910"/>
      <w:bookmarkStart w:id="22" w:name="_Toc155354608"/>
      <w:r w:rsidRPr="00151806">
        <w:rPr>
          <w:i w:val="0"/>
          <w:iCs w:val="0"/>
          <w:sz w:val="24"/>
          <w:szCs w:val="24"/>
        </w:rPr>
        <w:t xml:space="preserve">3.1 </w:t>
      </w:r>
      <w:r w:rsidR="00255E80" w:rsidRPr="00151806">
        <w:rPr>
          <w:i w:val="0"/>
          <w:iCs w:val="0"/>
          <w:sz w:val="24"/>
          <w:szCs w:val="24"/>
        </w:rPr>
        <w:t>Desempeño del sector financiero</w:t>
      </w:r>
      <w:bookmarkEnd w:id="22"/>
    </w:p>
    <w:p w14:paraId="339DE969" w14:textId="12EAC63E" w:rsidR="006B204A" w:rsidRPr="007B1CCF" w:rsidRDefault="007B1CCF" w:rsidP="0042752A">
      <w:pPr>
        <w:pStyle w:val="Cuerpomemorias"/>
        <w:spacing w:after="160"/>
        <w:ind w:left="0"/>
        <w:contextualSpacing w:val="0"/>
        <w:rPr>
          <w:rFonts w:ascii="Times New Roman" w:eastAsiaTheme="minorHAnsi" w:hAnsi="Times New Roman" w:cs="Times New Roman"/>
          <w:color w:val="767171"/>
          <w:spacing w:val="20"/>
          <w:sz w:val="24"/>
          <w:szCs w:val="24"/>
          <w:bdr w:val="none" w:sz="0" w:space="0" w:color="auto"/>
          <w:lang w:eastAsia="en-US"/>
        </w:rPr>
      </w:pPr>
      <w:r w:rsidRPr="007B1CCF">
        <w:rPr>
          <w:rFonts w:ascii="Times New Roman" w:eastAsiaTheme="minorHAnsi" w:hAnsi="Times New Roman" w:cs="Times New Roman"/>
          <w:color w:val="767171"/>
          <w:spacing w:val="20"/>
          <w:sz w:val="24"/>
          <w:szCs w:val="24"/>
          <w:bdr w:val="none" w:sz="0" w:space="0" w:color="auto"/>
          <w:lang w:eastAsia="en-US"/>
        </w:rPr>
        <w:t>El sector bancario de la República Dominicana mantuvo indicadores de desempeño saludables durante los últimos 12 meses y presenta niveles de rentabilidad, solvencia y liquidez adecuadas para responder oportunamente a los cambios en las condiciones de mercado y la situación económica.</w:t>
      </w:r>
    </w:p>
    <w:p w14:paraId="4634A662" w14:textId="31FE9702" w:rsidR="007B1CCF" w:rsidRPr="007B1CCF" w:rsidRDefault="007B1CCF" w:rsidP="0042752A">
      <w:pPr>
        <w:pStyle w:val="Cuerpomemorias"/>
        <w:numPr>
          <w:ilvl w:val="0"/>
          <w:numId w:val="16"/>
        </w:numPr>
        <w:spacing w:after="160"/>
        <w:ind w:left="357" w:hanging="357"/>
        <w:contextualSpacing w:val="0"/>
        <w:rPr>
          <w:rFonts w:ascii="Times New Roman" w:eastAsiaTheme="minorHAnsi" w:hAnsi="Times New Roman" w:cs="Times New Roman"/>
          <w:color w:val="767171"/>
          <w:spacing w:val="20"/>
          <w:sz w:val="24"/>
          <w:szCs w:val="24"/>
          <w:bdr w:val="none" w:sz="0" w:space="0" w:color="auto"/>
          <w:lang w:eastAsia="en-US"/>
        </w:rPr>
      </w:pPr>
      <w:r w:rsidRPr="007B1CCF">
        <w:rPr>
          <w:rFonts w:ascii="Times New Roman" w:eastAsiaTheme="minorHAnsi" w:hAnsi="Times New Roman" w:cs="Times New Roman"/>
          <w:color w:val="767171"/>
          <w:spacing w:val="20"/>
          <w:sz w:val="24"/>
          <w:szCs w:val="24"/>
          <w:bdr w:val="none" w:sz="0" w:space="0" w:color="auto"/>
          <w:lang w:eastAsia="en-US"/>
        </w:rPr>
        <w:t xml:space="preserve">Los activos totales del sistema ascendieron a </w:t>
      </w:r>
      <w:r w:rsidR="00B14BA4">
        <w:rPr>
          <w:rFonts w:ascii="Times New Roman" w:eastAsiaTheme="minorHAnsi" w:hAnsi="Times New Roman" w:cs="Times New Roman"/>
          <w:color w:val="767171"/>
          <w:spacing w:val="20"/>
          <w:sz w:val="24"/>
          <w:szCs w:val="24"/>
          <w:bdr w:val="none" w:sz="0" w:space="0" w:color="auto"/>
          <w:lang w:eastAsia="en-US"/>
        </w:rPr>
        <w:t xml:space="preserve">RD$ </w:t>
      </w:r>
      <w:r w:rsidRPr="007B1CCF">
        <w:rPr>
          <w:rFonts w:ascii="Times New Roman" w:eastAsiaTheme="minorHAnsi" w:hAnsi="Times New Roman" w:cs="Times New Roman"/>
          <w:color w:val="767171"/>
          <w:spacing w:val="20"/>
          <w:sz w:val="24"/>
          <w:szCs w:val="24"/>
          <w:bdr w:val="none" w:sz="0" w:space="0" w:color="auto"/>
          <w:lang w:eastAsia="en-US"/>
        </w:rPr>
        <w:t xml:space="preserve">3.353 billones (53.5% del PIB) para un crecimiento nominal interanual de +13.9% (el crecimiento se mantuvo constante desde junio pasado). La cartera de crédito sigue siendo el contribuidor principal en el crecimiento de los activos con un 67.6% </w:t>
      </w:r>
      <w:r w:rsidR="002C3F22">
        <w:rPr>
          <w:rFonts w:ascii="Times New Roman" w:eastAsiaTheme="minorHAnsi" w:hAnsi="Times New Roman" w:cs="Times New Roman"/>
          <w:color w:val="767171"/>
          <w:spacing w:val="20"/>
          <w:sz w:val="24"/>
          <w:szCs w:val="24"/>
          <w:bdr w:val="none" w:sz="0" w:space="0" w:color="auto"/>
          <w:lang w:eastAsia="en-US"/>
        </w:rPr>
        <w:t>presentando</w:t>
      </w:r>
      <w:r w:rsidRPr="007B1CCF">
        <w:rPr>
          <w:rFonts w:ascii="Times New Roman" w:eastAsiaTheme="minorHAnsi" w:hAnsi="Times New Roman" w:cs="Times New Roman"/>
          <w:color w:val="767171"/>
          <w:spacing w:val="20"/>
          <w:sz w:val="24"/>
          <w:szCs w:val="24"/>
          <w:bdr w:val="none" w:sz="0" w:space="0" w:color="auto"/>
          <w:lang w:eastAsia="en-US"/>
        </w:rPr>
        <w:t xml:space="preserve"> un repunte en la tasa de participación </w:t>
      </w:r>
      <w:r w:rsidR="0071701D">
        <w:rPr>
          <w:rFonts w:ascii="Times New Roman" w:eastAsiaTheme="minorHAnsi" w:hAnsi="Times New Roman" w:cs="Times New Roman"/>
          <w:color w:val="767171"/>
          <w:spacing w:val="20"/>
          <w:sz w:val="24"/>
          <w:szCs w:val="24"/>
          <w:bdr w:val="none" w:sz="0" w:space="0" w:color="auto"/>
          <w:lang w:eastAsia="en-US"/>
        </w:rPr>
        <w:t>al aumentar</w:t>
      </w:r>
      <w:r w:rsidRPr="007B1CCF">
        <w:rPr>
          <w:rFonts w:ascii="Times New Roman" w:eastAsiaTheme="minorHAnsi" w:hAnsi="Times New Roman" w:cs="Times New Roman"/>
          <w:color w:val="767171"/>
          <w:spacing w:val="20"/>
          <w:sz w:val="24"/>
          <w:szCs w:val="24"/>
          <w:bdr w:val="none" w:sz="0" w:space="0" w:color="auto"/>
          <w:lang w:eastAsia="en-US"/>
        </w:rPr>
        <w:t xml:space="preserve"> 4.6 puntos porcentuales </w:t>
      </w:r>
      <w:r w:rsidR="00175002" w:rsidRPr="007B1CCF">
        <w:rPr>
          <w:rFonts w:ascii="Times New Roman" w:eastAsiaTheme="minorHAnsi" w:hAnsi="Times New Roman" w:cs="Times New Roman"/>
          <w:color w:val="767171"/>
          <w:spacing w:val="20"/>
          <w:sz w:val="24"/>
          <w:szCs w:val="24"/>
          <w:bdr w:val="none" w:sz="0" w:space="0" w:color="auto"/>
          <w:lang w:eastAsia="en-US"/>
        </w:rPr>
        <w:t>con relación al</w:t>
      </w:r>
      <w:r w:rsidRPr="007B1CCF">
        <w:rPr>
          <w:rFonts w:ascii="Times New Roman" w:eastAsiaTheme="minorHAnsi" w:hAnsi="Times New Roman" w:cs="Times New Roman"/>
          <w:color w:val="767171"/>
          <w:spacing w:val="20"/>
          <w:sz w:val="24"/>
          <w:szCs w:val="24"/>
          <w:bdr w:val="none" w:sz="0" w:space="0" w:color="auto"/>
          <w:lang w:eastAsia="en-US"/>
        </w:rPr>
        <w:t xml:space="preserve"> último trimestre</w:t>
      </w:r>
      <w:r w:rsidR="00B11239">
        <w:rPr>
          <w:rFonts w:ascii="Times New Roman" w:eastAsiaTheme="minorHAnsi" w:hAnsi="Times New Roman" w:cs="Times New Roman"/>
          <w:color w:val="767171"/>
          <w:spacing w:val="20"/>
          <w:sz w:val="24"/>
          <w:szCs w:val="24"/>
          <w:bdr w:val="none" w:sz="0" w:space="0" w:color="auto"/>
          <w:lang w:eastAsia="en-US"/>
        </w:rPr>
        <w:t>,</w:t>
      </w:r>
      <w:r w:rsidRPr="007B1CCF">
        <w:rPr>
          <w:rFonts w:ascii="Times New Roman" w:eastAsiaTheme="minorHAnsi" w:hAnsi="Times New Roman" w:cs="Times New Roman"/>
          <w:color w:val="767171"/>
          <w:spacing w:val="20"/>
          <w:sz w:val="24"/>
          <w:szCs w:val="24"/>
          <w:bdr w:val="none" w:sz="0" w:space="0" w:color="auto"/>
          <w:lang w:eastAsia="en-US"/>
        </w:rPr>
        <w:t xml:space="preserve"> cuando marcaba 63.0%.</w:t>
      </w:r>
    </w:p>
    <w:p w14:paraId="612B094D" w14:textId="4873DECB" w:rsidR="007B1CCF" w:rsidRPr="007B1CCF" w:rsidRDefault="007B1CCF" w:rsidP="0042752A">
      <w:pPr>
        <w:pStyle w:val="Cuerpomemorias"/>
        <w:numPr>
          <w:ilvl w:val="0"/>
          <w:numId w:val="16"/>
        </w:numPr>
        <w:spacing w:after="160"/>
        <w:ind w:left="357" w:hanging="357"/>
        <w:contextualSpacing w:val="0"/>
        <w:rPr>
          <w:rFonts w:ascii="Times New Roman" w:eastAsiaTheme="minorHAnsi" w:hAnsi="Times New Roman" w:cs="Times New Roman"/>
          <w:color w:val="767171"/>
          <w:spacing w:val="20"/>
          <w:sz w:val="24"/>
          <w:szCs w:val="24"/>
          <w:bdr w:val="none" w:sz="0" w:space="0" w:color="auto"/>
          <w:lang w:eastAsia="en-US"/>
        </w:rPr>
      </w:pPr>
      <w:r w:rsidRPr="007B1CCF">
        <w:rPr>
          <w:rFonts w:ascii="Times New Roman" w:eastAsiaTheme="minorHAnsi" w:hAnsi="Times New Roman" w:cs="Times New Roman"/>
          <w:color w:val="767171"/>
          <w:spacing w:val="20"/>
          <w:sz w:val="24"/>
          <w:szCs w:val="24"/>
          <w:bdr w:val="none" w:sz="0" w:space="0" w:color="auto"/>
          <w:lang w:eastAsia="en-US"/>
        </w:rPr>
        <w:t xml:space="preserve">La cartera de créditos se mantiene registrando un crecimiento real elevado.  La cartera de créditos bruta del sistema financiero ascendió a </w:t>
      </w:r>
      <w:r w:rsidR="00B14BA4">
        <w:rPr>
          <w:rFonts w:ascii="Times New Roman" w:eastAsiaTheme="minorHAnsi" w:hAnsi="Times New Roman" w:cs="Times New Roman"/>
          <w:color w:val="767171"/>
          <w:spacing w:val="20"/>
          <w:sz w:val="24"/>
          <w:szCs w:val="24"/>
          <w:bdr w:val="none" w:sz="0" w:space="0" w:color="auto"/>
          <w:lang w:eastAsia="en-US"/>
        </w:rPr>
        <w:t xml:space="preserve">RD$ </w:t>
      </w:r>
      <w:r w:rsidRPr="007B1CCF">
        <w:rPr>
          <w:rFonts w:ascii="Times New Roman" w:eastAsiaTheme="minorHAnsi" w:hAnsi="Times New Roman" w:cs="Times New Roman"/>
          <w:color w:val="767171"/>
          <w:spacing w:val="20"/>
          <w:sz w:val="24"/>
          <w:szCs w:val="24"/>
          <w:bdr w:val="none" w:sz="0" w:space="0" w:color="auto"/>
          <w:lang w:eastAsia="en-US"/>
        </w:rPr>
        <w:t xml:space="preserve">1.84 billones (29.5% del PIB), para un aumento interanual de </w:t>
      </w:r>
      <w:r w:rsidR="005A0BA4">
        <w:rPr>
          <w:rFonts w:ascii="Times New Roman" w:eastAsiaTheme="minorHAnsi" w:hAnsi="Times New Roman" w:cs="Times New Roman"/>
          <w:color w:val="767171"/>
          <w:spacing w:val="20"/>
          <w:sz w:val="24"/>
          <w:szCs w:val="24"/>
          <w:bdr w:val="none" w:sz="0" w:space="0" w:color="auto"/>
          <w:lang w:eastAsia="en-US"/>
        </w:rPr>
        <w:t>RD$</w:t>
      </w:r>
      <w:r w:rsidRPr="007B1CCF">
        <w:rPr>
          <w:rFonts w:ascii="Times New Roman" w:eastAsiaTheme="minorHAnsi" w:hAnsi="Times New Roman" w:cs="Times New Roman"/>
          <w:color w:val="767171"/>
          <w:spacing w:val="20"/>
          <w:sz w:val="24"/>
          <w:szCs w:val="24"/>
          <w:bdr w:val="none" w:sz="0" w:space="0" w:color="auto"/>
          <w:lang w:eastAsia="en-US"/>
        </w:rPr>
        <w:t xml:space="preserve">275,410 millones. En los últimos 12 meses, el crecimiento nominal registrado de la cartera de créditos al sector privado fue +18.0%. En el mismo periodo, la cartera pública mostró un descenso de alrededor de un -2.5%. Se destaca la fortaleza en el consumo, con </w:t>
      </w:r>
      <w:r w:rsidR="00CB196C">
        <w:rPr>
          <w:rFonts w:ascii="Times New Roman" w:eastAsiaTheme="minorHAnsi" w:hAnsi="Times New Roman" w:cs="Times New Roman"/>
          <w:color w:val="767171"/>
          <w:spacing w:val="20"/>
          <w:sz w:val="24"/>
          <w:szCs w:val="24"/>
          <w:bdr w:val="none" w:sz="0" w:space="0" w:color="auto"/>
          <w:lang w:eastAsia="en-US"/>
        </w:rPr>
        <w:t>los</w:t>
      </w:r>
      <w:r w:rsidRPr="007B1CCF">
        <w:rPr>
          <w:rFonts w:ascii="Times New Roman" w:eastAsiaTheme="minorHAnsi" w:hAnsi="Times New Roman" w:cs="Times New Roman"/>
          <w:color w:val="767171"/>
          <w:spacing w:val="20"/>
          <w:sz w:val="24"/>
          <w:szCs w:val="24"/>
          <w:bdr w:val="none" w:sz="0" w:space="0" w:color="auto"/>
          <w:lang w:eastAsia="en-US"/>
        </w:rPr>
        <w:t xml:space="preserve"> segmento</w:t>
      </w:r>
      <w:r w:rsidR="00CB196C">
        <w:rPr>
          <w:rFonts w:ascii="Times New Roman" w:eastAsiaTheme="minorHAnsi" w:hAnsi="Times New Roman" w:cs="Times New Roman"/>
          <w:color w:val="767171"/>
          <w:spacing w:val="20"/>
          <w:sz w:val="24"/>
          <w:szCs w:val="24"/>
          <w:bdr w:val="none" w:sz="0" w:space="0" w:color="auto"/>
          <w:lang w:eastAsia="en-US"/>
        </w:rPr>
        <w:t>s</w:t>
      </w:r>
      <w:r w:rsidRPr="007B1CCF">
        <w:rPr>
          <w:rFonts w:ascii="Times New Roman" w:eastAsiaTheme="minorHAnsi" w:hAnsi="Times New Roman" w:cs="Times New Roman"/>
          <w:color w:val="767171"/>
          <w:spacing w:val="20"/>
          <w:sz w:val="24"/>
          <w:szCs w:val="24"/>
          <w:bdr w:val="none" w:sz="0" w:space="0" w:color="auto"/>
          <w:lang w:eastAsia="en-US"/>
        </w:rPr>
        <w:t xml:space="preserve"> de tarjetas de crédito </w:t>
      </w:r>
      <w:r w:rsidR="00F550FA">
        <w:rPr>
          <w:rFonts w:ascii="Times New Roman" w:eastAsiaTheme="minorHAnsi" w:hAnsi="Times New Roman" w:cs="Times New Roman"/>
          <w:color w:val="767171"/>
          <w:spacing w:val="20"/>
          <w:sz w:val="24"/>
          <w:szCs w:val="24"/>
          <w:bdr w:val="none" w:sz="0" w:space="0" w:color="auto"/>
          <w:lang w:eastAsia="en-US"/>
        </w:rPr>
        <w:t>y de créditos comerciales</w:t>
      </w:r>
      <w:r w:rsidR="00AD5ECC">
        <w:rPr>
          <w:rFonts w:ascii="Times New Roman" w:eastAsiaTheme="minorHAnsi" w:hAnsi="Times New Roman" w:cs="Times New Roman"/>
          <w:color w:val="767171"/>
          <w:spacing w:val="20"/>
          <w:sz w:val="24"/>
          <w:szCs w:val="24"/>
          <w:bdr w:val="none" w:sz="0" w:space="0" w:color="auto"/>
          <w:lang w:eastAsia="en-US"/>
        </w:rPr>
        <w:t xml:space="preserve"> presentando incrementos interanuales</w:t>
      </w:r>
      <w:r w:rsidR="00BB7C04">
        <w:rPr>
          <w:rFonts w:ascii="Times New Roman" w:eastAsiaTheme="minorHAnsi" w:hAnsi="Times New Roman" w:cs="Times New Roman"/>
          <w:color w:val="767171"/>
          <w:spacing w:val="20"/>
          <w:sz w:val="24"/>
          <w:szCs w:val="24"/>
          <w:bdr w:val="none" w:sz="0" w:space="0" w:color="auto"/>
          <w:lang w:eastAsia="en-US"/>
        </w:rPr>
        <w:t xml:space="preserve"> en términos reales</w:t>
      </w:r>
      <w:r w:rsidR="00AD5ECC">
        <w:rPr>
          <w:rFonts w:ascii="Times New Roman" w:eastAsiaTheme="minorHAnsi" w:hAnsi="Times New Roman" w:cs="Times New Roman"/>
          <w:color w:val="767171"/>
          <w:spacing w:val="20"/>
          <w:sz w:val="24"/>
          <w:szCs w:val="24"/>
          <w:bdr w:val="none" w:sz="0" w:space="0" w:color="auto"/>
          <w:lang w:eastAsia="en-US"/>
        </w:rPr>
        <w:t xml:space="preserve"> </w:t>
      </w:r>
      <w:r w:rsidR="009C130E">
        <w:rPr>
          <w:rFonts w:ascii="Times New Roman" w:eastAsiaTheme="minorHAnsi" w:hAnsi="Times New Roman" w:cs="Times New Roman"/>
          <w:color w:val="767171"/>
          <w:spacing w:val="20"/>
          <w:sz w:val="24"/>
          <w:szCs w:val="24"/>
          <w:bdr w:val="none" w:sz="0" w:space="0" w:color="auto"/>
          <w:lang w:eastAsia="en-US"/>
        </w:rPr>
        <w:t>de</w:t>
      </w:r>
      <w:r w:rsidRPr="007B1CCF">
        <w:rPr>
          <w:rFonts w:ascii="Times New Roman" w:eastAsiaTheme="minorHAnsi" w:hAnsi="Times New Roman" w:cs="Times New Roman"/>
          <w:color w:val="767171"/>
          <w:spacing w:val="20"/>
          <w:sz w:val="24"/>
          <w:szCs w:val="24"/>
          <w:bdr w:val="none" w:sz="0" w:space="0" w:color="auto"/>
          <w:lang w:eastAsia="en-US"/>
        </w:rPr>
        <w:t xml:space="preserve"> +20.0% </w:t>
      </w:r>
      <w:r w:rsidR="009C130E">
        <w:rPr>
          <w:rFonts w:ascii="Times New Roman" w:eastAsiaTheme="minorHAnsi" w:hAnsi="Times New Roman" w:cs="Times New Roman"/>
          <w:color w:val="767171"/>
          <w:spacing w:val="20"/>
          <w:sz w:val="24"/>
          <w:szCs w:val="24"/>
          <w:bdr w:val="none" w:sz="0" w:space="0" w:color="auto"/>
          <w:lang w:eastAsia="en-US"/>
        </w:rPr>
        <w:t xml:space="preserve">y </w:t>
      </w:r>
      <w:r w:rsidR="006E53F0" w:rsidRPr="007B1CCF">
        <w:rPr>
          <w:rFonts w:ascii="Times New Roman" w:eastAsiaTheme="minorHAnsi" w:hAnsi="Times New Roman" w:cs="Times New Roman"/>
          <w:color w:val="767171"/>
          <w:spacing w:val="20"/>
          <w:sz w:val="24"/>
          <w:szCs w:val="24"/>
          <w:bdr w:val="none" w:sz="0" w:space="0" w:color="auto"/>
          <w:lang w:eastAsia="en-US"/>
        </w:rPr>
        <w:t xml:space="preserve">+11.9% </w:t>
      </w:r>
      <w:r w:rsidR="006E53F0">
        <w:rPr>
          <w:rFonts w:ascii="Times New Roman" w:eastAsiaTheme="minorHAnsi" w:hAnsi="Times New Roman" w:cs="Times New Roman"/>
          <w:color w:val="767171"/>
          <w:spacing w:val="20"/>
          <w:sz w:val="24"/>
          <w:szCs w:val="24"/>
          <w:bdr w:val="none" w:sz="0" w:space="0" w:color="auto"/>
          <w:lang w:eastAsia="en-US"/>
        </w:rPr>
        <w:t>respectivamente</w:t>
      </w:r>
      <w:r w:rsidR="00361B74">
        <w:rPr>
          <w:rFonts w:ascii="Times New Roman" w:eastAsiaTheme="minorHAnsi" w:hAnsi="Times New Roman" w:cs="Times New Roman"/>
          <w:color w:val="767171"/>
          <w:spacing w:val="20"/>
          <w:sz w:val="24"/>
          <w:szCs w:val="24"/>
          <w:bdr w:val="none" w:sz="0" w:space="0" w:color="auto"/>
          <w:lang w:eastAsia="en-US"/>
        </w:rPr>
        <w:t>.</w:t>
      </w:r>
    </w:p>
    <w:p w14:paraId="5AB5B363" w14:textId="3851765D" w:rsidR="007B1CCF" w:rsidRPr="007B1CCF" w:rsidRDefault="007B1CCF" w:rsidP="0042752A">
      <w:pPr>
        <w:pStyle w:val="Cuerpomemorias"/>
        <w:numPr>
          <w:ilvl w:val="0"/>
          <w:numId w:val="16"/>
        </w:numPr>
        <w:spacing w:afterLines="160" w:after="384"/>
        <w:contextualSpacing w:val="0"/>
        <w:rPr>
          <w:rFonts w:ascii="Times New Roman" w:eastAsiaTheme="minorHAnsi" w:hAnsi="Times New Roman" w:cs="Times New Roman"/>
          <w:color w:val="767171"/>
          <w:spacing w:val="20"/>
          <w:sz w:val="24"/>
          <w:szCs w:val="24"/>
          <w:bdr w:val="none" w:sz="0" w:space="0" w:color="auto"/>
          <w:lang w:eastAsia="en-US"/>
        </w:rPr>
      </w:pPr>
      <w:r w:rsidRPr="007B1CCF">
        <w:rPr>
          <w:rFonts w:ascii="Times New Roman" w:eastAsiaTheme="minorHAnsi" w:hAnsi="Times New Roman" w:cs="Times New Roman"/>
          <w:color w:val="767171"/>
          <w:spacing w:val="20"/>
          <w:sz w:val="24"/>
          <w:szCs w:val="24"/>
          <w:bdr w:val="none" w:sz="0" w:space="0" w:color="auto"/>
          <w:lang w:eastAsia="en-US"/>
        </w:rPr>
        <w:lastRenderedPageBreak/>
        <w:t>Las tasas de interés se encuentran en proceso de ajuste, principalmente las tasas activas, registrando una recuperación en el margen de intermediación. Las tasas de interés promedio ponderada (TIPP) activa y pasiva de la banca múltiple cerraron en septiembre 2023 en 13.9% y 8.4%</w:t>
      </w:r>
      <w:r w:rsidR="00BA2FBF">
        <w:rPr>
          <w:rFonts w:ascii="Times New Roman" w:eastAsiaTheme="minorHAnsi" w:hAnsi="Times New Roman" w:cs="Times New Roman"/>
          <w:color w:val="767171"/>
          <w:spacing w:val="20"/>
          <w:sz w:val="24"/>
          <w:szCs w:val="24"/>
          <w:bdr w:val="none" w:sz="0" w:space="0" w:color="auto"/>
          <w:lang w:eastAsia="en-US"/>
        </w:rPr>
        <w:t xml:space="preserve"> </w:t>
      </w:r>
      <w:r w:rsidR="00BA2FBF" w:rsidRPr="007B1CCF">
        <w:rPr>
          <w:rFonts w:ascii="Times New Roman" w:eastAsiaTheme="minorHAnsi" w:hAnsi="Times New Roman" w:cs="Times New Roman"/>
          <w:color w:val="767171"/>
          <w:spacing w:val="20"/>
          <w:sz w:val="24"/>
          <w:szCs w:val="24"/>
          <w:bdr w:val="none" w:sz="0" w:space="0" w:color="auto"/>
          <w:lang w:eastAsia="en-US"/>
        </w:rPr>
        <w:t>respectivamente</w:t>
      </w:r>
      <w:r w:rsidRPr="007B1CCF">
        <w:rPr>
          <w:rFonts w:ascii="Times New Roman" w:eastAsiaTheme="minorHAnsi" w:hAnsi="Times New Roman" w:cs="Times New Roman"/>
          <w:color w:val="767171"/>
          <w:spacing w:val="20"/>
          <w:sz w:val="24"/>
          <w:szCs w:val="24"/>
          <w:bdr w:val="none" w:sz="0" w:space="0" w:color="auto"/>
          <w:lang w:eastAsia="en-US"/>
        </w:rPr>
        <w:t xml:space="preserve"> (+1.5 y -1.1 puntos porcentuales desde junio 2023</w:t>
      </w:r>
      <w:r w:rsidR="00482BC0" w:rsidRPr="007B1CCF">
        <w:rPr>
          <w:rFonts w:ascii="Times New Roman" w:eastAsiaTheme="minorHAnsi" w:hAnsi="Times New Roman" w:cs="Times New Roman"/>
          <w:color w:val="767171"/>
          <w:spacing w:val="20"/>
          <w:sz w:val="24"/>
          <w:szCs w:val="24"/>
          <w:bdr w:val="none" w:sz="0" w:space="0" w:color="auto"/>
          <w:lang w:eastAsia="en-US"/>
        </w:rPr>
        <w:t>)</w:t>
      </w:r>
      <w:r w:rsidR="00482BC0">
        <w:rPr>
          <w:rFonts w:ascii="Times New Roman" w:eastAsiaTheme="minorHAnsi" w:hAnsi="Times New Roman" w:cs="Times New Roman"/>
          <w:color w:val="767171"/>
          <w:spacing w:val="20"/>
          <w:sz w:val="24"/>
          <w:szCs w:val="24"/>
          <w:bdr w:val="none" w:sz="0" w:space="0" w:color="auto"/>
          <w:lang w:eastAsia="en-US"/>
        </w:rPr>
        <w:t>,</w:t>
      </w:r>
      <w:r w:rsidRPr="007B1CCF">
        <w:rPr>
          <w:rFonts w:ascii="Times New Roman" w:eastAsiaTheme="minorHAnsi" w:hAnsi="Times New Roman" w:cs="Times New Roman"/>
          <w:color w:val="767171"/>
          <w:spacing w:val="20"/>
          <w:sz w:val="24"/>
          <w:szCs w:val="24"/>
          <w:bdr w:val="none" w:sz="0" w:space="0" w:color="auto"/>
          <w:lang w:eastAsia="en-US"/>
        </w:rPr>
        <w:t xml:space="preserve"> aumentando el margen de intermediación a 5.5% (+2.6 puntos porcentuales). Asimismo, la tasa interbancaria </w:t>
      </w:r>
      <w:r w:rsidR="00C52265">
        <w:rPr>
          <w:rFonts w:ascii="Times New Roman" w:eastAsiaTheme="minorHAnsi" w:hAnsi="Times New Roman" w:cs="Times New Roman"/>
          <w:color w:val="767171"/>
          <w:spacing w:val="20"/>
          <w:sz w:val="24"/>
          <w:szCs w:val="24"/>
          <w:bdr w:val="none" w:sz="0" w:space="0" w:color="auto"/>
          <w:lang w:eastAsia="en-US"/>
        </w:rPr>
        <w:t xml:space="preserve">fijada </w:t>
      </w:r>
      <w:r w:rsidR="00445EAF">
        <w:rPr>
          <w:rFonts w:ascii="Times New Roman" w:eastAsiaTheme="minorHAnsi" w:hAnsi="Times New Roman" w:cs="Times New Roman"/>
          <w:color w:val="767171"/>
          <w:spacing w:val="20"/>
          <w:sz w:val="24"/>
          <w:szCs w:val="24"/>
          <w:bdr w:val="none" w:sz="0" w:space="0" w:color="auto"/>
          <w:lang w:eastAsia="en-US"/>
        </w:rPr>
        <w:t>en</w:t>
      </w:r>
      <w:r w:rsidR="00C52265">
        <w:rPr>
          <w:rFonts w:ascii="Times New Roman" w:eastAsiaTheme="minorHAnsi" w:hAnsi="Times New Roman" w:cs="Times New Roman"/>
          <w:color w:val="767171"/>
          <w:spacing w:val="20"/>
          <w:sz w:val="24"/>
          <w:szCs w:val="24"/>
          <w:bdr w:val="none" w:sz="0" w:space="0" w:color="auto"/>
          <w:lang w:eastAsia="en-US"/>
        </w:rPr>
        <w:t xml:space="preserve"> el tercer trimestre del año</w:t>
      </w:r>
      <w:r w:rsidR="00AE2947">
        <w:rPr>
          <w:rFonts w:ascii="Times New Roman" w:eastAsiaTheme="minorHAnsi" w:hAnsi="Times New Roman" w:cs="Times New Roman"/>
          <w:color w:val="767171"/>
          <w:spacing w:val="20"/>
          <w:sz w:val="24"/>
          <w:szCs w:val="24"/>
          <w:bdr w:val="none" w:sz="0" w:space="0" w:color="auto"/>
          <w:lang w:eastAsia="en-US"/>
        </w:rPr>
        <w:t xml:space="preserve"> fue de</w:t>
      </w:r>
      <w:r w:rsidRPr="007B1CCF">
        <w:rPr>
          <w:rFonts w:ascii="Times New Roman" w:eastAsiaTheme="minorHAnsi" w:hAnsi="Times New Roman" w:cs="Times New Roman"/>
          <w:color w:val="767171"/>
          <w:spacing w:val="20"/>
          <w:sz w:val="24"/>
          <w:szCs w:val="24"/>
          <w:bdr w:val="none" w:sz="0" w:space="0" w:color="auto"/>
          <w:lang w:eastAsia="en-US"/>
        </w:rPr>
        <w:t xml:space="preserve"> 9.5% (-0.7 puntos porcentuales versus junio 2023).</w:t>
      </w:r>
    </w:p>
    <w:p w14:paraId="7BF643A4" w14:textId="35C5C959" w:rsidR="007B1CCF" w:rsidRPr="007B1CCF" w:rsidRDefault="007B1CCF" w:rsidP="0042752A">
      <w:pPr>
        <w:pStyle w:val="Cuerpomemorias"/>
        <w:numPr>
          <w:ilvl w:val="0"/>
          <w:numId w:val="16"/>
        </w:numPr>
        <w:spacing w:after="160"/>
        <w:ind w:left="357" w:hanging="357"/>
        <w:contextualSpacing w:val="0"/>
        <w:rPr>
          <w:rFonts w:ascii="Times New Roman" w:eastAsiaTheme="minorHAnsi" w:hAnsi="Times New Roman" w:cs="Times New Roman"/>
          <w:color w:val="767171"/>
          <w:spacing w:val="20"/>
          <w:sz w:val="24"/>
          <w:szCs w:val="24"/>
          <w:bdr w:val="none" w:sz="0" w:space="0" w:color="auto"/>
          <w:lang w:eastAsia="en-US"/>
        </w:rPr>
      </w:pPr>
      <w:r w:rsidRPr="007B1CCF">
        <w:rPr>
          <w:rFonts w:ascii="Times New Roman" w:eastAsiaTheme="minorHAnsi" w:hAnsi="Times New Roman" w:cs="Times New Roman"/>
          <w:color w:val="767171"/>
          <w:spacing w:val="20"/>
          <w:sz w:val="24"/>
          <w:szCs w:val="24"/>
          <w:bdr w:val="none" w:sz="0" w:space="0" w:color="auto"/>
          <w:lang w:eastAsia="en-US"/>
        </w:rPr>
        <w:t>La exposición del crédito en moneda extranjera se mantiene estable. La cartera de créditos del sector privado denominada en moneda extranjera presentó un crecimiento interanual de +21.2%, para un balance de</w:t>
      </w:r>
      <w:r w:rsidR="0038006D">
        <w:rPr>
          <w:rFonts w:ascii="Times New Roman" w:eastAsiaTheme="minorHAnsi" w:hAnsi="Times New Roman" w:cs="Times New Roman"/>
          <w:color w:val="767171"/>
          <w:spacing w:val="20"/>
          <w:sz w:val="24"/>
          <w:szCs w:val="24"/>
          <w:bdr w:val="none" w:sz="0" w:space="0" w:color="auto"/>
          <w:lang w:eastAsia="en-US"/>
        </w:rPr>
        <w:t xml:space="preserve"> RD$</w:t>
      </w:r>
      <w:r w:rsidRPr="007B1CCF">
        <w:rPr>
          <w:rFonts w:ascii="Times New Roman" w:eastAsiaTheme="minorHAnsi" w:hAnsi="Times New Roman" w:cs="Times New Roman"/>
          <w:color w:val="767171"/>
          <w:spacing w:val="20"/>
          <w:sz w:val="24"/>
          <w:szCs w:val="24"/>
          <w:bdr w:val="none" w:sz="0" w:space="0" w:color="auto"/>
          <w:lang w:eastAsia="en-US"/>
        </w:rPr>
        <w:t xml:space="preserve">393.7 mil millones (21.3% de la cartera del sistema) versus </w:t>
      </w:r>
      <w:r w:rsidR="0038006D">
        <w:rPr>
          <w:rFonts w:ascii="Times New Roman" w:eastAsiaTheme="minorHAnsi" w:hAnsi="Times New Roman" w:cs="Times New Roman"/>
          <w:color w:val="767171"/>
          <w:spacing w:val="20"/>
          <w:sz w:val="24"/>
          <w:szCs w:val="24"/>
          <w:bdr w:val="none" w:sz="0" w:space="0" w:color="auto"/>
          <w:lang w:eastAsia="en-US"/>
        </w:rPr>
        <w:t>RD$</w:t>
      </w:r>
      <w:r w:rsidRPr="007B1CCF">
        <w:rPr>
          <w:rFonts w:ascii="Times New Roman" w:eastAsiaTheme="minorHAnsi" w:hAnsi="Times New Roman" w:cs="Times New Roman"/>
          <w:color w:val="767171"/>
          <w:spacing w:val="20"/>
          <w:sz w:val="24"/>
          <w:szCs w:val="24"/>
          <w:bdr w:val="none" w:sz="0" w:space="0" w:color="auto"/>
          <w:lang w:eastAsia="en-US"/>
        </w:rPr>
        <w:t>324.9 mil</w:t>
      </w:r>
      <w:r w:rsidR="00B92542">
        <w:rPr>
          <w:rFonts w:ascii="Times New Roman" w:eastAsiaTheme="minorHAnsi" w:hAnsi="Times New Roman" w:cs="Times New Roman"/>
          <w:color w:val="767171"/>
          <w:spacing w:val="20"/>
          <w:sz w:val="24"/>
          <w:szCs w:val="24"/>
          <w:bdr w:val="none" w:sz="0" w:space="0" w:color="auto"/>
          <w:lang w:eastAsia="en-US"/>
        </w:rPr>
        <w:t xml:space="preserve"> </w:t>
      </w:r>
      <w:r w:rsidRPr="007B1CCF">
        <w:rPr>
          <w:rFonts w:ascii="Times New Roman" w:eastAsiaTheme="minorHAnsi" w:hAnsi="Times New Roman" w:cs="Times New Roman"/>
          <w:color w:val="767171"/>
          <w:spacing w:val="20"/>
          <w:sz w:val="24"/>
          <w:szCs w:val="24"/>
          <w:bdr w:val="none" w:sz="0" w:space="0" w:color="auto"/>
          <w:lang w:eastAsia="en-US"/>
        </w:rPr>
        <w:t xml:space="preserve">millones (20.7%) en septiembre de 2022. </w:t>
      </w:r>
    </w:p>
    <w:p w14:paraId="2C410EBB" w14:textId="26136EA8" w:rsidR="007B1CCF" w:rsidRPr="007B1CCF" w:rsidRDefault="007B1CCF" w:rsidP="0042752A">
      <w:pPr>
        <w:pStyle w:val="Cuerpomemorias"/>
        <w:numPr>
          <w:ilvl w:val="0"/>
          <w:numId w:val="16"/>
        </w:numPr>
        <w:spacing w:after="160"/>
        <w:ind w:left="357" w:hanging="357"/>
        <w:contextualSpacing w:val="0"/>
        <w:rPr>
          <w:rFonts w:ascii="Times New Roman" w:eastAsiaTheme="minorHAnsi" w:hAnsi="Times New Roman" w:cs="Times New Roman"/>
          <w:color w:val="767171"/>
          <w:spacing w:val="20"/>
          <w:sz w:val="24"/>
          <w:szCs w:val="24"/>
          <w:bdr w:val="none" w:sz="0" w:space="0" w:color="auto"/>
          <w:lang w:eastAsia="en-US"/>
        </w:rPr>
      </w:pPr>
      <w:r w:rsidRPr="007B1CCF">
        <w:rPr>
          <w:rFonts w:ascii="Times New Roman" w:eastAsiaTheme="minorHAnsi" w:hAnsi="Times New Roman" w:cs="Times New Roman"/>
          <w:color w:val="767171"/>
          <w:spacing w:val="20"/>
          <w:sz w:val="24"/>
          <w:szCs w:val="24"/>
          <w:bdr w:val="none" w:sz="0" w:space="0" w:color="auto"/>
          <w:lang w:eastAsia="en-US"/>
        </w:rPr>
        <w:t>La solvencia del sistema se mantiene estable. Al mes de septiembre</w:t>
      </w:r>
      <w:r w:rsidRPr="001A0DEC">
        <w:rPr>
          <w:rFonts w:ascii="Times New Roman" w:eastAsiaTheme="minorHAnsi" w:hAnsi="Times New Roman" w:cs="Times New Roman"/>
          <w:color w:val="767171"/>
          <w:spacing w:val="20"/>
          <w:sz w:val="24"/>
          <w:szCs w:val="24"/>
          <w:bdr w:val="none" w:sz="0" w:space="0" w:color="auto"/>
          <w:vertAlign w:val="superscript"/>
          <w:lang w:eastAsia="en-US"/>
        </w:rPr>
        <w:footnoteReference w:id="2"/>
      </w:r>
      <w:r w:rsidRPr="007B1CCF">
        <w:rPr>
          <w:rFonts w:ascii="Times New Roman" w:eastAsiaTheme="minorHAnsi" w:hAnsi="Times New Roman" w:cs="Times New Roman"/>
          <w:color w:val="767171"/>
          <w:spacing w:val="20"/>
          <w:sz w:val="24"/>
          <w:szCs w:val="24"/>
          <w:bdr w:val="none" w:sz="0" w:space="0" w:color="auto"/>
          <w:lang w:eastAsia="en-US"/>
        </w:rPr>
        <w:t xml:space="preserve">, el índice de solvencia del sistema financiero presenta una ligera reducción </w:t>
      </w:r>
      <w:r w:rsidR="003D1BD4">
        <w:rPr>
          <w:rFonts w:ascii="Times New Roman" w:eastAsiaTheme="minorHAnsi" w:hAnsi="Times New Roman" w:cs="Times New Roman"/>
          <w:color w:val="767171"/>
          <w:spacing w:val="20"/>
          <w:sz w:val="24"/>
          <w:szCs w:val="24"/>
          <w:bdr w:val="none" w:sz="0" w:space="0" w:color="auto"/>
          <w:lang w:eastAsia="en-US"/>
        </w:rPr>
        <w:t>intera</w:t>
      </w:r>
      <w:r w:rsidR="003C4496">
        <w:rPr>
          <w:rFonts w:ascii="Times New Roman" w:eastAsiaTheme="minorHAnsi" w:hAnsi="Times New Roman" w:cs="Times New Roman"/>
          <w:color w:val="767171"/>
          <w:spacing w:val="20"/>
          <w:sz w:val="24"/>
          <w:szCs w:val="24"/>
          <w:bdr w:val="none" w:sz="0" w:space="0" w:color="auto"/>
          <w:lang w:eastAsia="en-US"/>
        </w:rPr>
        <w:t>nual</w:t>
      </w:r>
      <w:r w:rsidR="004B51F2">
        <w:rPr>
          <w:rFonts w:ascii="Times New Roman" w:eastAsiaTheme="minorHAnsi" w:hAnsi="Times New Roman" w:cs="Times New Roman"/>
          <w:color w:val="767171"/>
          <w:spacing w:val="20"/>
          <w:sz w:val="24"/>
          <w:szCs w:val="24"/>
          <w:bdr w:val="none" w:sz="0" w:space="0" w:color="auto"/>
          <w:lang w:eastAsia="en-US"/>
        </w:rPr>
        <w:t xml:space="preserve">, </w:t>
      </w:r>
      <w:r w:rsidR="004B51F2" w:rsidRPr="007B1CCF">
        <w:rPr>
          <w:rFonts w:ascii="Times New Roman" w:eastAsiaTheme="minorHAnsi" w:hAnsi="Times New Roman" w:cs="Times New Roman"/>
          <w:color w:val="767171"/>
          <w:spacing w:val="20"/>
          <w:sz w:val="24"/>
          <w:szCs w:val="24"/>
          <w:bdr w:val="none" w:sz="0" w:space="0" w:color="auto"/>
          <w:lang w:eastAsia="en-US"/>
        </w:rPr>
        <w:t xml:space="preserve">ubicándose en 15.94% </w:t>
      </w:r>
      <w:r w:rsidRPr="007B1CCF">
        <w:rPr>
          <w:rFonts w:ascii="Times New Roman" w:eastAsiaTheme="minorHAnsi" w:hAnsi="Times New Roman" w:cs="Times New Roman"/>
          <w:color w:val="767171"/>
          <w:spacing w:val="20"/>
          <w:sz w:val="24"/>
          <w:szCs w:val="24"/>
          <w:bdr w:val="none" w:sz="0" w:space="0" w:color="auto"/>
          <w:lang w:eastAsia="en-US"/>
        </w:rPr>
        <w:t>(-1.41 puntos porcentual</w:t>
      </w:r>
      <w:r w:rsidR="004B51F2">
        <w:rPr>
          <w:rFonts w:ascii="Times New Roman" w:eastAsiaTheme="minorHAnsi" w:hAnsi="Times New Roman" w:cs="Times New Roman"/>
          <w:color w:val="767171"/>
          <w:spacing w:val="20"/>
          <w:sz w:val="24"/>
          <w:szCs w:val="24"/>
          <w:bdr w:val="none" w:sz="0" w:space="0" w:color="auto"/>
          <w:lang w:eastAsia="en-US"/>
        </w:rPr>
        <w:t>es</w:t>
      </w:r>
      <w:r w:rsidRPr="007B1CCF">
        <w:rPr>
          <w:rFonts w:ascii="Times New Roman" w:eastAsiaTheme="minorHAnsi" w:hAnsi="Times New Roman" w:cs="Times New Roman"/>
          <w:color w:val="767171"/>
          <w:spacing w:val="20"/>
          <w:sz w:val="24"/>
          <w:szCs w:val="24"/>
          <w:bdr w:val="none" w:sz="0" w:space="0" w:color="auto"/>
          <w:lang w:eastAsia="en-US"/>
        </w:rPr>
        <w:t>)</w:t>
      </w:r>
      <w:r w:rsidR="000E3D23">
        <w:rPr>
          <w:rFonts w:ascii="Times New Roman" w:eastAsiaTheme="minorHAnsi" w:hAnsi="Times New Roman" w:cs="Times New Roman"/>
          <w:color w:val="767171"/>
          <w:spacing w:val="20"/>
          <w:sz w:val="24"/>
          <w:szCs w:val="24"/>
          <w:bdr w:val="none" w:sz="0" w:space="0" w:color="auto"/>
          <w:lang w:eastAsia="en-US"/>
        </w:rPr>
        <w:t>.</w:t>
      </w:r>
      <w:r w:rsidRPr="007B1CCF">
        <w:rPr>
          <w:rFonts w:ascii="Times New Roman" w:eastAsiaTheme="minorHAnsi" w:hAnsi="Times New Roman" w:cs="Times New Roman"/>
          <w:color w:val="767171"/>
          <w:spacing w:val="20"/>
          <w:sz w:val="24"/>
          <w:szCs w:val="24"/>
          <w:bdr w:val="none" w:sz="0" w:space="0" w:color="auto"/>
          <w:lang w:eastAsia="en-US"/>
        </w:rPr>
        <w:t xml:space="preserve"> </w:t>
      </w:r>
    </w:p>
    <w:p w14:paraId="37A49F8A" w14:textId="59EACA0B" w:rsidR="007B1CCF" w:rsidRPr="007B1CCF" w:rsidRDefault="007B1CCF" w:rsidP="0042752A">
      <w:pPr>
        <w:pStyle w:val="Cuerpomemorias"/>
        <w:numPr>
          <w:ilvl w:val="0"/>
          <w:numId w:val="16"/>
        </w:numPr>
        <w:spacing w:after="160"/>
        <w:ind w:left="357" w:hanging="357"/>
        <w:contextualSpacing w:val="0"/>
        <w:rPr>
          <w:rFonts w:ascii="Times New Roman" w:eastAsiaTheme="minorHAnsi" w:hAnsi="Times New Roman" w:cs="Times New Roman"/>
          <w:color w:val="767171"/>
          <w:spacing w:val="20"/>
          <w:sz w:val="24"/>
          <w:szCs w:val="24"/>
          <w:bdr w:val="none" w:sz="0" w:space="0" w:color="auto"/>
          <w:lang w:eastAsia="en-US"/>
        </w:rPr>
      </w:pPr>
      <w:r w:rsidRPr="007B1CCF">
        <w:rPr>
          <w:rFonts w:ascii="Times New Roman" w:eastAsiaTheme="minorHAnsi" w:hAnsi="Times New Roman" w:cs="Times New Roman"/>
          <w:color w:val="767171"/>
          <w:spacing w:val="20"/>
          <w:sz w:val="24"/>
          <w:szCs w:val="24"/>
          <w:bdr w:val="none" w:sz="0" w:space="0" w:color="auto"/>
          <w:lang w:eastAsia="en-US"/>
        </w:rPr>
        <w:t>El patrimonio técnico mantiene la trayectoria de crecimiento saludable. El sistema presenta</w:t>
      </w:r>
      <w:r w:rsidR="00EA6A8E">
        <w:rPr>
          <w:rFonts w:ascii="Times New Roman" w:eastAsiaTheme="minorHAnsi" w:hAnsi="Times New Roman" w:cs="Times New Roman"/>
          <w:color w:val="767171"/>
          <w:spacing w:val="20"/>
          <w:sz w:val="24"/>
          <w:szCs w:val="24"/>
          <w:bdr w:val="none" w:sz="0" w:space="0" w:color="auto"/>
          <w:lang w:eastAsia="en-US"/>
        </w:rPr>
        <w:t xml:space="preserve"> RD$</w:t>
      </w:r>
      <w:r w:rsidRPr="007B1CCF">
        <w:rPr>
          <w:rFonts w:ascii="Times New Roman" w:eastAsiaTheme="minorHAnsi" w:hAnsi="Times New Roman" w:cs="Times New Roman"/>
          <w:color w:val="767171"/>
          <w:spacing w:val="20"/>
          <w:sz w:val="24"/>
          <w:szCs w:val="24"/>
          <w:bdr w:val="none" w:sz="0" w:space="0" w:color="auto"/>
          <w:lang w:eastAsia="en-US"/>
        </w:rPr>
        <w:t>365,</w:t>
      </w:r>
      <w:r w:rsidR="00E55345">
        <w:rPr>
          <w:rFonts w:ascii="Times New Roman" w:eastAsiaTheme="minorHAnsi" w:hAnsi="Times New Roman" w:cs="Times New Roman"/>
          <w:color w:val="767171"/>
          <w:spacing w:val="20"/>
          <w:sz w:val="24"/>
          <w:szCs w:val="24"/>
          <w:bdr w:val="none" w:sz="0" w:space="0" w:color="auto"/>
          <w:lang w:eastAsia="en-US"/>
        </w:rPr>
        <w:t>9</w:t>
      </w:r>
      <w:r w:rsidRPr="007B1CCF">
        <w:rPr>
          <w:rFonts w:ascii="Times New Roman" w:eastAsiaTheme="minorHAnsi" w:hAnsi="Times New Roman" w:cs="Times New Roman"/>
          <w:color w:val="767171"/>
          <w:spacing w:val="20"/>
          <w:sz w:val="24"/>
          <w:szCs w:val="24"/>
          <w:bdr w:val="none" w:sz="0" w:space="0" w:color="auto"/>
          <w:lang w:eastAsia="en-US"/>
        </w:rPr>
        <w:t xml:space="preserve"> mil millones en patrimonio técnico para un incremento interanual de +9.9% con relación a septiembre de 2022. </w:t>
      </w:r>
      <w:bookmarkStart w:id="23" w:name="_Hlk81317776"/>
      <w:r w:rsidRPr="007B1CCF">
        <w:rPr>
          <w:rFonts w:ascii="Times New Roman" w:eastAsiaTheme="minorHAnsi" w:hAnsi="Times New Roman" w:cs="Times New Roman"/>
          <w:color w:val="767171"/>
          <w:spacing w:val="20"/>
          <w:sz w:val="24"/>
          <w:szCs w:val="24"/>
          <w:bdr w:val="none" w:sz="0" w:space="0" w:color="auto"/>
          <w:lang w:eastAsia="en-US"/>
        </w:rPr>
        <w:t>Destacamos que, el 84.5% del capital regulatorio del sistema es capital primario, el de mayor capacidad de absorción de pérdidas.</w:t>
      </w:r>
      <w:bookmarkEnd w:id="23"/>
    </w:p>
    <w:p w14:paraId="41895337" w14:textId="3AE4C6CB" w:rsidR="007B1CCF" w:rsidRPr="007B1CCF" w:rsidRDefault="007B1CCF" w:rsidP="0042752A">
      <w:pPr>
        <w:pStyle w:val="Cuerpomemorias"/>
        <w:numPr>
          <w:ilvl w:val="0"/>
          <w:numId w:val="16"/>
        </w:numPr>
        <w:spacing w:after="160"/>
        <w:ind w:left="357" w:hanging="357"/>
        <w:contextualSpacing w:val="0"/>
        <w:rPr>
          <w:rFonts w:ascii="Times New Roman" w:eastAsiaTheme="minorHAnsi" w:hAnsi="Times New Roman" w:cs="Times New Roman"/>
          <w:color w:val="767171"/>
          <w:spacing w:val="20"/>
          <w:sz w:val="24"/>
          <w:szCs w:val="24"/>
          <w:bdr w:val="none" w:sz="0" w:space="0" w:color="auto"/>
          <w:lang w:eastAsia="en-US"/>
        </w:rPr>
      </w:pPr>
      <w:r w:rsidRPr="007B1CCF">
        <w:rPr>
          <w:rFonts w:ascii="Times New Roman" w:eastAsiaTheme="minorHAnsi" w:hAnsi="Times New Roman" w:cs="Times New Roman"/>
          <w:color w:val="767171"/>
          <w:spacing w:val="20"/>
          <w:sz w:val="24"/>
          <w:szCs w:val="24"/>
          <w:bdr w:val="none" w:sz="0" w:space="0" w:color="auto"/>
          <w:lang w:eastAsia="en-US"/>
        </w:rPr>
        <w:lastRenderedPageBreak/>
        <w:t xml:space="preserve">El nivel de liquidez en el sistema se mantiene elevado. El balance de las disponibilidades del sistema ascendió a </w:t>
      </w:r>
      <w:r w:rsidR="005A0BA4">
        <w:rPr>
          <w:rFonts w:ascii="Times New Roman" w:eastAsiaTheme="minorHAnsi" w:hAnsi="Times New Roman" w:cs="Times New Roman"/>
          <w:color w:val="767171"/>
          <w:spacing w:val="20"/>
          <w:sz w:val="24"/>
          <w:szCs w:val="24"/>
          <w:bdr w:val="none" w:sz="0" w:space="0" w:color="auto"/>
          <w:lang w:eastAsia="en-US"/>
        </w:rPr>
        <w:t>RD$</w:t>
      </w:r>
      <w:r w:rsidRPr="007B1CCF">
        <w:rPr>
          <w:rFonts w:ascii="Times New Roman" w:eastAsiaTheme="minorHAnsi" w:hAnsi="Times New Roman" w:cs="Times New Roman"/>
          <w:color w:val="767171"/>
          <w:spacing w:val="20"/>
          <w:sz w:val="24"/>
          <w:szCs w:val="24"/>
          <w:bdr w:val="none" w:sz="0" w:space="0" w:color="auto"/>
          <w:lang w:eastAsia="en-US"/>
        </w:rPr>
        <w:t>564,</w:t>
      </w:r>
      <w:r w:rsidR="00E55345">
        <w:rPr>
          <w:rFonts w:ascii="Times New Roman" w:eastAsiaTheme="minorHAnsi" w:hAnsi="Times New Roman" w:cs="Times New Roman"/>
          <w:color w:val="767171"/>
          <w:spacing w:val="20"/>
          <w:sz w:val="24"/>
          <w:szCs w:val="24"/>
          <w:bdr w:val="none" w:sz="0" w:space="0" w:color="auto"/>
          <w:lang w:eastAsia="en-US"/>
        </w:rPr>
        <w:t>9</w:t>
      </w:r>
      <w:r w:rsidRPr="007B1CCF">
        <w:rPr>
          <w:rFonts w:ascii="Times New Roman" w:eastAsiaTheme="minorHAnsi" w:hAnsi="Times New Roman" w:cs="Times New Roman"/>
          <w:color w:val="767171"/>
          <w:spacing w:val="20"/>
          <w:sz w:val="24"/>
          <w:szCs w:val="24"/>
          <w:bdr w:val="none" w:sz="0" w:space="0" w:color="auto"/>
          <w:lang w:eastAsia="en-US"/>
        </w:rPr>
        <w:t xml:space="preserve"> mil millones, presentando una expansión de </w:t>
      </w:r>
      <w:r w:rsidR="005A0BA4">
        <w:rPr>
          <w:rFonts w:ascii="Times New Roman" w:eastAsiaTheme="minorHAnsi" w:hAnsi="Times New Roman" w:cs="Times New Roman"/>
          <w:color w:val="767171"/>
          <w:spacing w:val="20"/>
          <w:sz w:val="24"/>
          <w:szCs w:val="24"/>
          <w:bdr w:val="none" w:sz="0" w:space="0" w:color="auto"/>
          <w:lang w:eastAsia="en-US"/>
        </w:rPr>
        <w:t>RD$</w:t>
      </w:r>
      <w:r w:rsidRPr="007B1CCF">
        <w:rPr>
          <w:rFonts w:ascii="Times New Roman" w:eastAsiaTheme="minorHAnsi" w:hAnsi="Times New Roman" w:cs="Times New Roman"/>
          <w:color w:val="767171"/>
          <w:spacing w:val="20"/>
          <w:sz w:val="24"/>
          <w:szCs w:val="24"/>
          <w:bdr w:val="none" w:sz="0" w:space="0" w:color="auto"/>
          <w:lang w:eastAsia="en-US"/>
        </w:rPr>
        <w:t>36,</w:t>
      </w:r>
      <w:r w:rsidR="00E55345">
        <w:rPr>
          <w:rFonts w:ascii="Times New Roman" w:eastAsiaTheme="minorHAnsi" w:hAnsi="Times New Roman" w:cs="Times New Roman"/>
          <w:color w:val="767171"/>
          <w:spacing w:val="20"/>
          <w:sz w:val="24"/>
          <w:szCs w:val="24"/>
          <w:bdr w:val="none" w:sz="0" w:space="0" w:color="auto"/>
          <w:lang w:eastAsia="en-US"/>
        </w:rPr>
        <w:t>4</w:t>
      </w:r>
      <w:r w:rsidRPr="007B1CCF">
        <w:rPr>
          <w:rFonts w:ascii="Times New Roman" w:eastAsiaTheme="minorHAnsi" w:hAnsi="Times New Roman" w:cs="Times New Roman"/>
          <w:color w:val="767171"/>
          <w:spacing w:val="20"/>
          <w:sz w:val="24"/>
          <w:szCs w:val="24"/>
          <w:bdr w:val="none" w:sz="0" w:space="0" w:color="auto"/>
          <w:lang w:eastAsia="en-US"/>
        </w:rPr>
        <w:t xml:space="preserve"> mil millones (+6.9%) con respecto a septiembre de 2022.</w:t>
      </w:r>
    </w:p>
    <w:p w14:paraId="5602BF5A" w14:textId="0E668F0B" w:rsidR="007B1CCF" w:rsidRPr="007B1CCF" w:rsidRDefault="007B1CCF" w:rsidP="0042752A">
      <w:pPr>
        <w:pStyle w:val="Cuerpomemorias"/>
        <w:numPr>
          <w:ilvl w:val="0"/>
          <w:numId w:val="16"/>
        </w:numPr>
        <w:spacing w:after="160"/>
        <w:ind w:left="357" w:hanging="357"/>
        <w:contextualSpacing w:val="0"/>
        <w:rPr>
          <w:rFonts w:ascii="Times New Roman" w:eastAsiaTheme="minorHAnsi" w:hAnsi="Times New Roman" w:cs="Times New Roman"/>
          <w:color w:val="767171"/>
          <w:spacing w:val="20"/>
          <w:sz w:val="24"/>
          <w:szCs w:val="24"/>
          <w:bdr w:val="none" w:sz="0" w:space="0" w:color="auto"/>
          <w:lang w:eastAsia="en-US"/>
        </w:rPr>
      </w:pPr>
      <w:r w:rsidRPr="007B1CCF">
        <w:rPr>
          <w:rFonts w:ascii="Times New Roman" w:eastAsiaTheme="minorHAnsi" w:hAnsi="Times New Roman" w:cs="Times New Roman"/>
          <w:color w:val="767171"/>
          <w:spacing w:val="20"/>
          <w:sz w:val="24"/>
          <w:szCs w:val="24"/>
          <w:bdr w:val="none" w:sz="0" w:space="0" w:color="auto"/>
          <w:lang w:eastAsia="en-US"/>
        </w:rPr>
        <w:t xml:space="preserve">Las provisiones continúan el proceso de normalización. Las provisiones constituidas se encuentran en </w:t>
      </w:r>
      <w:r w:rsidR="005A0BA4">
        <w:rPr>
          <w:rFonts w:ascii="Times New Roman" w:eastAsiaTheme="minorHAnsi" w:hAnsi="Times New Roman" w:cs="Times New Roman"/>
          <w:color w:val="767171"/>
          <w:spacing w:val="20"/>
          <w:sz w:val="24"/>
          <w:szCs w:val="24"/>
          <w:bdr w:val="none" w:sz="0" w:space="0" w:color="auto"/>
          <w:lang w:eastAsia="en-US"/>
        </w:rPr>
        <w:t>RD$</w:t>
      </w:r>
      <w:r w:rsidRPr="007B1CCF">
        <w:rPr>
          <w:rFonts w:ascii="Times New Roman" w:eastAsiaTheme="minorHAnsi" w:hAnsi="Times New Roman" w:cs="Times New Roman"/>
          <w:color w:val="767171"/>
          <w:spacing w:val="20"/>
          <w:sz w:val="24"/>
          <w:szCs w:val="24"/>
          <w:bdr w:val="none" w:sz="0" w:space="0" w:color="auto"/>
          <w:lang w:eastAsia="en-US"/>
        </w:rPr>
        <w:t>59</w:t>
      </w:r>
      <w:r w:rsidR="00E55345">
        <w:rPr>
          <w:rFonts w:ascii="Times New Roman" w:eastAsiaTheme="minorHAnsi" w:hAnsi="Times New Roman" w:cs="Times New Roman"/>
          <w:color w:val="767171"/>
          <w:spacing w:val="20"/>
          <w:sz w:val="24"/>
          <w:szCs w:val="24"/>
          <w:bdr w:val="none" w:sz="0" w:space="0" w:color="auto"/>
          <w:lang w:eastAsia="en-US"/>
        </w:rPr>
        <w:t>,</w:t>
      </w:r>
      <w:r w:rsidRPr="007B1CCF">
        <w:rPr>
          <w:rFonts w:ascii="Times New Roman" w:eastAsiaTheme="minorHAnsi" w:hAnsi="Times New Roman" w:cs="Times New Roman"/>
          <w:color w:val="767171"/>
          <w:spacing w:val="20"/>
          <w:sz w:val="24"/>
          <w:szCs w:val="24"/>
          <w:bdr w:val="none" w:sz="0" w:space="0" w:color="auto"/>
          <w:lang w:eastAsia="en-US"/>
        </w:rPr>
        <w:t xml:space="preserve">0 mil millones disminuyendo -6.8% puntos porcentuales respecto al año anterior, equivalente al 3.7% de cobertura de la cartera de créditos total. El gasto cumulativo (últimos 12 meses) al cierre del tercer trimestre de 2023 se coloca en </w:t>
      </w:r>
      <w:r w:rsidR="00B14BA4">
        <w:rPr>
          <w:rFonts w:ascii="Times New Roman" w:eastAsiaTheme="minorHAnsi" w:hAnsi="Times New Roman" w:cs="Times New Roman"/>
          <w:color w:val="767171"/>
          <w:spacing w:val="20"/>
          <w:sz w:val="24"/>
          <w:szCs w:val="24"/>
          <w:bdr w:val="none" w:sz="0" w:space="0" w:color="auto"/>
          <w:lang w:eastAsia="en-US"/>
        </w:rPr>
        <w:t>RD$</w:t>
      </w:r>
      <w:r w:rsidRPr="007B1CCF">
        <w:rPr>
          <w:rFonts w:ascii="Times New Roman" w:eastAsiaTheme="minorHAnsi" w:hAnsi="Times New Roman" w:cs="Times New Roman"/>
          <w:color w:val="767171"/>
          <w:spacing w:val="20"/>
          <w:sz w:val="24"/>
          <w:szCs w:val="24"/>
          <w:bdr w:val="none" w:sz="0" w:space="0" w:color="auto"/>
          <w:lang w:eastAsia="en-US"/>
        </w:rPr>
        <w:t>15</w:t>
      </w:r>
      <w:r w:rsidR="00E55345">
        <w:rPr>
          <w:rFonts w:ascii="Times New Roman" w:eastAsiaTheme="minorHAnsi" w:hAnsi="Times New Roman" w:cs="Times New Roman"/>
          <w:color w:val="767171"/>
          <w:spacing w:val="20"/>
          <w:sz w:val="24"/>
          <w:szCs w:val="24"/>
          <w:bdr w:val="none" w:sz="0" w:space="0" w:color="auto"/>
          <w:lang w:eastAsia="en-US"/>
        </w:rPr>
        <w:t>,</w:t>
      </w:r>
      <w:r w:rsidRPr="007B1CCF">
        <w:rPr>
          <w:rFonts w:ascii="Times New Roman" w:eastAsiaTheme="minorHAnsi" w:hAnsi="Times New Roman" w:cs="Times New Roman"/>
          <w:color w:val="767171"/>
          <w:spacing w:val="20"/>
          <w:sz w:val="24"/>
          <w:szCs w:val="24"/>
          <w:bdr w:val="none" w:sz="0" w:space="0" w:color="auto"/>
          <w:lang w:eastAsia="en-US"/>
        </w:rPr>
        <w:t>6 mil millones para una variación interanual de -11.8%, evidenciando la continuación en la tendencia de reducción en el gasto de provisiones.</w:t>
      </w:r>
    </w:p>
    <w:p w14:paraId="6B513D92" w14:textId="04F0E55C" w:rsidR="007B1CCF" w:rsidRPr="007B1CCF" w:rsidRDefault="007B1CCF" w:rsidP="0042752A">
      <w:pPr>
        <w:pStyle w:val="Cuerpomemorias"/>
        <w:numPr>
          <w:ilvl w:val="0"/>
          <w:numId w:val="16"/>
        </w:numPr>
        <w:spacing w:after="160"/>
        <w:ind w:left="357" w:hanging="357"/>
        <w:contextualSpacing w:val="0"/>
        <w:rPr>
          <w:rFonts w:ascii="Times New Roman" w:eastAsiaTheme="minorHAnsi" w:hAnsi="Times New Roman" w:cs="Times New Roman"/>
          <w:color w:val="767171"/>
          <w:spacing w:val="20"/>
          <w:sz w:val="24"/>
          <w:szCs w:val="24"/>
          <w:bdr w:val="none" w:sz="0" w:space="0" w:color="auto"/>
          <w:lang w:eastAsia="en-US"/>
        </w:rPr>
      </w:pPr>
      <w:r w:rsidRPr="007B1CCF">
        <w:rPr>
          <w:rFonts w:ascii="Times New Roman" w:eastAsiaTheme="minorHAnsi" w:hAnsi="Times New Roman" w:cs="Times New Roman"/>
          <w:color w:val="767171"/>
          <w:spacing w:val="20"/>
          <w:sz w:val="24"/>
          <w:szCs w:val="24"/>
          <w:bdr w:val="none" w:sz="0" w:space="0" w:color="auto"/>
          <w:lang w:eastAsia="en-US"/>
        </w:rPr>
        <w:t xml:space="preserve">Los castigos </w:t>
      </w:r>
      <w:r w:rsidR="00F20683">
        <w:rPr>
          <w:rFonts w:ascii="Times New Roman" w:eastAsiaTheme="minorHAnsi" w:hAnsi="Times New Roman" w:cs="Times New Roman"/>
          <w:color w:val="767171"/>
          <w:spacing w:val="20"/>
          <w:sz w:val="24"/>
          <w:szCs w:val="24"/>
          <w:bdr w:val="none" w:sz="0" w:space="0" w:color="auto"/>
          <w:lang w:eastAsia="en-US"/>
        </w:rPr>
        <w:t>mantienen una tendencia de</w:t>
      </w:r>
      <w:r w:rsidRPr="007B1CCF">
        <w:rPr>
          <w:rFonts w:ascii="Times New Roman" w:eastAsiaTheme="minorHAnsi" w:hAnsi="Times New Roman" w:cs="Times New Roman"/>
          <w:color w:val="767171"/>
          <w:spacing w:val="20"/>
          <w:sz w:val="24"/>
          <w:szCs w:val="24"/>
          <w:bdr w:val="none" w:sz="0" w:space="0" w:color="auto"/>
          <w:lang w:eastAsia="en-US"/>
        </w:rPr>
        <w:t xml:space="preserve"> crecimiento. En el acumulado de 12 meses al corte del tercer trimestre del año, se registraron castigos por </w:t>
      </w:r>
      <w:r w:rsidR="005A0BA4">
        <w:rPr>
          <w:rFonts w:ascii="Times New Roman" w:eastAsiaTheme="minorHAnsi" w:hAnsi="Times New Roman" w:cs="Times New Roman"/>
          <w:color w:val="767171"/>
          <w:spacing w:val="20"/>
          <w:sz w:val="24"/>
          <w:szCs w:val="24"/>
          <w:bdr w:val="none" w:sz="0" w:space="0" w:color="auto"/>
          <w:lang w:eastAsia="en-US"/>
        </w:rPr>
        <w:t>RD$</w:t>
      </w:r>
      <w:r w:rsidRPr="007B1CCF">
        <w:rPr>
          <w:rFonts w:ascii="Times New Roman" w:eastAsiaTheme="minorHAnsi" w:hAnsi="Times New Roman" w:cs="Times New Roman"/>
          <w:color w:val="767171"/>
          <w:spacing w:val="20"/>
          <w:sz w:val="24"/>
          <w:szCs w:val="24"/>
          <w:bdr w:val="none" w:sz="0" w:space="0" w:color="auto"/>
          <w:lang w:eastAsia="en-US"/>
        </w:rPr>
        <w:t>18,</w:t>
      </w:r>
      <w:r w:rsidR="00E55345">
        <w:rPr>
          <w:rFonts w:ascii="Times New Roman" w:eastAsiaTheme="minorHAnsi" w:hAnsi="Times New Roman" w:cs="Times New Roman"/>
          <w:color w:val="767171"/>
          <w:spacing w:val="20"/>
          <w:sz w:val="24"/>
          <w:szCs w:val="24"/>
          <w:bdr w:val="none" w:sz="0" w:space="0" w:color="auto"/>
          <w:lang w:eastAsia="en-US"/>
        </w:rPr>
        <w:t>2</w:t>
      </w:r>
      <w:r w:rsidRPr="007B1CCF">
        <w:rPr>
          <w:rFonts w:ascii="Times New Roman" w:eastAsiaTheme="minorHAnsi" w:hAnsi="Times New Roman" w:cs="Times New Roman"/>
          <w:color w:val="767171"/>
          <w:spacing w:val="20"/>
          <w:sz w:val="24"/>
          <w:szCs w:val="24"/>
          <w:bdr w:val="none" w:sz="0" w:space="0" w:color="auto"/>
          <w:lang w:eastAsia="en-US"/>
        </w:rPr>
        <w:t xml:space="preserve"> mil millones (0.1% de la cartera total) versus </w:t>
      </w:r>
      <w:r w:rsidR="00B14BA4">
        <w:rPr>
          <w:rFonts w:ascii="Times New Roman" w:eastAsiaTheme="minorHAnsi" w:hAnsi="Times New Roman" w:cs="Times New Roman"/>
          <w:color w:val="767171"/>
          <w:spacing w:val="20"/>
          <w:sz w:val="24"/>
          <w:szCs w:val="24"/>
          <w:bdr w:val="none" w:sz="0" w:space="0" w:color="auto"/>
          <w:lang w:eastAsia="en-US"/>
        </w:rPr>
        <w:t>RD$</w:t>
      </w:r>
      <w:r w:rsidRPr="007B1CCF">
        <w:rPr>
          <w:rFonts w:ascii="Times New Roman" w:eastAsiaTheme="minorHAnsi" w:hAnsi="Times New Roman" w:cs="Times New Roman"/>
          <w:color w:val="767171"/>
          <w:spacing w:val="20"/>
          <w:sz w:val="24"/>
          <w:szCs w:val="24"/>
          <w:bdr w:val="none" w:sz="0" w:space="0" w:color="auto"/>
          <w:lang w:eastAsia="en-US"/>
        </w:rPr>
        <w:t>16,1 mil millones en el mismo periodo del año 2022 (+13.1% interanual).</w:t>
      </w:r>
    </w:p>
    <w:p w14:paraId="616D3B8D" w14:textId="02766EFA" w:rsidR="007B1CCF" w:rsidRPr="007B1CCF" w:rsidRDefault="007B1CCF" w:rsidP="0042752A">
      <w:pPr>
        <w:pStyle w:val="Cuerpomemorias"/>
        <w:numPr>
          <w:ilvl w:val="0"/>
          <w:numId w:val="16"/>
        </w:numPr>
        <w:spacing w:after="160"/>
        <w:ind w:left="357" w:hanging="357"/>
        <w:contextualSpacing w:val="0"/>
        <w:rPr>
          <w:rFonts w:ascii="Times New Roman" w:eastAsiaTheme="minorHAnsi" w:hAnsi="Times New Roman" w:cs="Times New Roman"/>
          <w:color w:val="767171"/>
          <w:spacing w:val="20"/>
          <w:sz w:val="24"/>
          <w:szCs w:val="24"/>
          <w:bdr w:val="none" w:sz="0" w:space="0" w:color="auto"/>
          <w:lang w:eastAsia="en-US"/>
        </w:rPr>
      </w:pPr>
      <w:r w:rsidRPr="007B1CCF">
        <w:rPr>
          <w:rFonts w:ascii="Times New Roman" w:eastAsiaTheme="minorHAnsi" w:hAnsi="Times New Roman" w:cs="Times New Roman"/>
          <w:color w:val="767171"/>
          <w:spacing w:val="20"/>
          <w:sz w:val="24"/>
          <w:szCs w:val="24"/>
          <w:bdr w:val="none" w:sz="0" w:space="0" w:color="auto"/>
          <w:lang w:eastAsia="en-US"/>
        </w:rPr>
        <w:t xml:space="preserve">El índice de morosidad estresada </w:t>
      </w:r>
      <w:r w:rsidR="007C35BF" w:rsidRPr="007C35BF">
        <w:rPr>
          <w:rFonts w:ascii="Times New Roman" w:eastAsiaTheme="minorHAnsi" w:hAnsi="Times New Roman" w:cs="Times New Roman"/>
          <w:color w:val="767171"/>
          <w:spacing w:val="20"/>
          <w:sz w:val="24"/>
          <w:szCs w:val="24"/>
          <w:bdr w:val="none" w:sz="0" w:space="0" w:color="auto"/>
          <w:lang w:eastAsia="en-US"/>
        </w:rPr>
        <w:t>del sistema se sitúa en 6.84</w:t>
      </w:r>
      <w:r w:rsidR="000270EF" w:rsidRPr="007C35BF">
        <w:rPr>
          <w:rFonts w:ascii="Times New Roman" w:eastAsiaTheme="minorHAnsi" w:hAnsi="Times New Roman" w:cs="Times New Roman"/>
          <w:color w:val="767171"/>
          <w:spacing w:val="20"/>
          <w:sz w:val="24"/>
          <w:szCs w:val="24"/>
          <w:bdr w:val="none" w:sz="0" w:space="0" w:color="auto"/>
          <w:lang w:eastAsia="en-US"/>
        </w:rPr>
        <w:t>%,</w:t>
      </w:r>
      <w:r w:rsidR="000270EF">
        <w:rPr>
          <w:rFonts w:ascii="Times New Roman" w:eastAsiaTheme="minorHAnsi" w:hAnsi="Times New Roman" w:cs="Times New Roman"/>
          <w:color w:val="767171"/>
          <w:spacing w:val="20"/>
          <w:sz w:val="24"/>
          <w:szCs w:val="24"/>
          <w:bdr w:val="none" w:sz="0" w:space="0" w:color="auto"/>
          <w:lang w:eastAsia="en-US"/>
        </w:rPr>
        <w:t xml:space="preserve"> </w:t>
      </w:r>
      <w:r w:rsidR="000270EF" w:rsidRPr="007C35BF">
        <w:rPr>
          <w:rFonts w:ascii="Times New Roman" w:eastAsiaTheme="minorHAnsi" w:hAnsi="Times New Roman" w:cs="Times New Roman"/>
          <w:color w:val="767171"/>
          <w:spacing w:val="20"/>
          <w:sz w:val="24"/>
          <w:szCs w:val="24"/>
          <w:bdr w:val="none" w:sz="0" w:space="0" w:color="auto"/>
          <w:lang w:eastAsia="en-US"/>
        </w:rPr>
        <w:t>continuando</w:t>
      </w:r>
      <w:r w:rsidR="007C35BF" w:rsidRPr="007C35BF">
        <w:rPr>
          <w:rFonts w:ascii="Times New Roman" w:eastAsiaTheme="minorHAnsi" w:hAnsi="Times New Roman" w:cs="Times New Roman"/>
          <w:color w:val="767171"/>
          <w:spacing w:val="20"/>
          <w:sz w:val="24"/>
          <w:szCs w:val="24"/>
          <w:bdr w:val="none" w:sz="0" w:space="0" w:color="auto"/>
          <w:lang w:eastAsia="en-US"/>
        </w:rPr>
        <w:t xml:space="preserve"> con el </w:t>
      </w:r>
      <w:r w:rsidRPr="007B1CCF">
        <w:rPr>
          <w:rFonts w:ascii="Times New Roman" w:eastAsiaTheme="minorHAnsi" w:hAnsi="Times New Roman" w:cs="Times New Roman"/>
          <w:color w:val="767171"/>
          <w:spacing w:val="20"/>
          <w:sz w:val="24"/>
          <w:szCs w:val="24"/>
          <w:bdr w:val="none" w:sz="0" w:space="0" w:color="auto"/>
          <w:lang w:eastAsia="en-US"/>
        </w:rPr>
        <w:t>decrecimiento gradual</w:t>
      </w:r>
      <w:r w:rsidR="007C35BF" w:rsidRPr="007C35BF">
        <w:rPr>
          <w:rFonts w:ascii="Times New Roman" w:eastAsiaTheme="minorHAnsi" w:hAnsi="Times New Roman" w:cs="Times New Roman"/>
          <w:color w:val="767171"/>
          <w:spacing w:val="20"/>
          <w:sz w:val="24"/>
          <w:szCs w:val="24"/>
          <w:bdr w:val="none" w:sz="0" w:space="0" w:color="auto"/>
          <w:lang w:eastAsia="en-US"/>
        </w:rPr>
        <w:t xml:space="preserve">. El índice de morosidad permanece en </w:t>
      </w:r>
      <w:r w:rsidRPr="007B1CCF">
        <w:rPr>
          <w:rFonts w:ascii="Times New Roman" w:eastAsiaTheme="minorHAnsi" w:hAnsi="Times New Roman" w:cs="Times New Roman"/>
          <w:color w:val="767171"/>
          <w:spacing w:val="20"/>
          <w:sz w:val="24"/>
          <w:szCs w:val="24"/>
          <w:bdr w:val="none" w:sz="0" w:space="0" w:color="auto"/>
          <w:lang w:eastAsia="en-US"/>
        </w:rPr>
        <w:t xml:space="preserve">niveles históricamente bajos </w:t>
      </w:r>
      <w:r w:rsidR="007C35BF" w:rsidRPr="007C35BF">
        <w:rPr>
          <w:rFonts w:ascii="Times New Roman" w:eastAsiaTheme="minorHAnsi" w:hAnsi="Times New Roman" w:cs="Times New Roman"/>
          <w:color w:val="767171"/>
          <w:spacing w:val="20"/>
          <w:sz w:val="24"/>
          <w:szCs w:val="24"/>
          <w:bdr w:val="none" w:sz="0" w:space="0" w:color="auto"/>
          <w:lang w:eastAsia="en-US"/>
        </w:rPr>
        <w:t>en</w:t>
      </w:r>
      <w:r w:rsidR="00CE7705">
        <w:rPr>
          <w:rFonts w:ascii="Times New Roman" w:eastAsiaTheme="minorHAnsi" w:hAnsi="Times New Roman" w:cs="Times New Roman"/>
          <w:color w:val="767171"/>
          <w:spacing w:val="20"/>
          <w:sz w:val="24"/>
          <w:szCs w:val="24"/>
          <w:bdr w:val="none" w:sz="0" w:space="0" w:color="auto"/>
          <w:lang w:eastAsia="en-US"/>
        </w:rPr>
        <w:t xml:space="preserve"> </w:t>
      </w:r>
      <w:r w:rsidRPr="007B1CCF">
        <w:rPr>
          <w:rFonts w:ascii="Times New Roman" w:eastAsiaTheme="minorHAnsi" w:hAnsi="Times New Roman" w:cs="Times New Roman"/>
          <w:color w:val="767171"/>
          <w:spacing w:val="20"/>
          <w:sz w:val="24"/>
          <w:szCs w:val="24"/>
          <w:bdr w:val="none" w:sz="0" w:space="0" w:color="auto"/>
          <w:lang w:eastAsia="en-US"/>
        </w:rPr>
        <w:t>1.2%</w:t>
      </w:r>
      <w:r w:rsidR="007C35BF" w:rsidRPr="007C35BF">
        <w:rPr>
          <w:rFonts w:ascii="Times New Roman" w:eastAsiaTheme="minorHAnsi" w:hAnsi="Times New Roman" w:cs="Times New Roman"/>
          <w:color w:val="767171"/>
          <w:spacing w:val="20"/>
          <w:sz w:val="24"/>
          <w:szCs w:val="24"/>
          <w:bdr w:val="none" w:sz="0" w:space="0" w:color="auto"/>
          <w:lang w:eastAsia="en-US"/>
        </w:rPr>
        <w:t xml:space="preserve"> al mes de septiembre 2023, aunque</w:t>
      </w:r>
      <w:r w:rsidRPr="007B1CCF">
        <w:rPr>
          <w:rFonts w:ascii="Times New Roman" w:eastAsiaTheme="minorHAnsi" w:hAnsi="Times New Roman" w:cs="Times New Roman"/>
          <w:color w:val="767171"/>
          <w:spacing w:val="20"/>
          <w:sz w:val="24"/>
          <w:szCs w:val="24"/>
          <w:bdr w:val="none" w:sz="0" w:space="0" w:color="auto"/>
          <w:lang w:eastAsia="en-US"/>
        </w:rPr>
        <w:t xml:space="preserve"> muestra señales de normalización con un ligero incremento</w:t>
      </w:r>
      <w:r w:rsidR="00F05EE2">
        <w:rPr>
          <w:rFonts w:ascii="Times New Roman" w:eastAsiaTheme="minorHAnsi" w:hAnsi="Times New Roman" w:cs="Times New Roman"/>
          <w:color w:val="767171"/>
          <w:spacing w:val="20"/>
          <w:sz w:val="24"/>
          <w:szCs w:val="24"/>
          <w:bdr w:val="none" w:sz="0" w:space="0" w:color="auto"/>
          <w:lang w:eastAsia="en-US"/>
        </w:rPr>
        <w:t xml:space="preserve"> </w:t>
      </w:r>
      <w:r w:rsidR="007C35BF" w:rsidRPr="007C35BF">
        <w:rPr>
          <w:rFonts w:ascii="Times New Roman" w:eastAsiaTheme="minorHAnsi" w:hAnsi="Times New Roman" w:cs="Times New Roman"/>
          <w:color w:val="767171"/>
          <w:spacing w:val="20"/>
          <w:sz w:val="24"/>
          <w:szCs w:val="24"/>
          <w:bdr w:val="none" w:sz="0" w:space="0" w:color="auto"/>
          <w:lang w:eastAsia="en-US"/>
        </w:rPr>
        <w:t>de 0.1 puntos desde el nivel mínimo alcanzado de 1.1%.</w:t>
      </w:r>
      <w:r w:rsidR="00E9294C">
        <w:rPr>
          <w:rFonts w:ascii="Times New Roman" w:eastAsiaTheme="minorHAnsi" w:hAnsi="Times New Roman" w:cs="Times New Roman"/>
          <w:color w:val="767171"/>
          <w:spacing w:val="20"/>
          <w:sz w:val="24"/>
          <w:szCs w:val="24"/>
          <w:bdr w:val="none" w:sz="0" w:space="0" w:color="auto"/>
          <w:lang w:eastAsia="en-US"/>
        </w:rPr>
        <w:t xml:space="preserve"> </w:t>
      </w:r>
      <w:r w:rsidR="00542395">
        <w:rPr>
          <w:rFonts w:ascii="Times New Roman" w:eastAsiaTheme="minorHAnsi" w:hAnsi="Times New Roman" w:cs="Times New Roman"/>
          <w:color w:val="767171"/>
          <w:spacing w:val="20"/>
          <w:sz w:val="24"/>
          <w:szCs w:val="24"/>
          <w:bdr w:val="none" w:sz="0" w:space="0" w:color="auto"/>
          <w:lang w:eastAsia="en-US"/>
        </w:rPr>
        <w:t>Esta normalización</w:t>
      </w:r>
      <w:r w:rsidR="00D81706">
        <w:rPr>
          <w:rFonts w:ascii="Times New Roman" w:eastAsiaTheme="minorHAnsi" w:hAnsi="Times New Roman" w:cs="Times New Roman"/>
          <w:color w:val="767171"/>
          <w:spacing w:val="20"/>
          <w:sz w:val="24"/>
          <w:szCs w:val="24"/>
          <w:bdr w:val="none" w:sz="0" w:space="0" w:color="auto"/>
          <w:lang w:eastAsia="en-US"/>
        </w:rPr>
        <w:t xml:space="preserve"> fue</w:t>
      </w:r>
      <w:r w:rsidR="00542395">
        <w:rPr>
          <w:rFonts w:ascii="Times New Roman" w:eastAsiaTheme="minorHAnsi" w:hAnsi="Times New Roman" w:cs="Times New Roman"/>
          <w:color w:val="767171"/>
          <w:spacing w:val="20"/>
          <w:sz w:val="24"/>
          <w:szCs w:val="24"/>
          <w:bdr w:val="none" w:sz="0" w:space="0" w:color="auto"/>
          <w:lang w:eastAsia="en-US"/>
        </w:rPr>
        <w:t xml:space="preserve"> </w:t>
      </w:r>
      <w:r w:rsidRPr="007B1CCF">
        <w:rPr>
          <w:rFonts w:ascii="Times New Roman" w:eastAsiaTheme="minorHAnsi" w:hAnsi="Times New Roman" w:cs="Times New Roman"/>
          <w:color w:val="767171"/>
          <w:spacing w:val="20"/>
          <w:sz w:val="24"/>
          <w:szCs w:val="24"/>
          <w:bdr w:val="none" w:sz="0" w:space="0" w:color="auto"/>
          <w:lang w:eastAsia="en-US"/>
        </w:rPr>
        <w:t xml:space="preserve">incidida por </w:t>
      </w:r>
      <w:r w:rsidR="00CA753F" w:rsidRPr="007B1CCF">
        <w:rPr>
          <w:rFonts w:ascii="Times New Roman" w:eastAsiaTheme="minorHAnsi" w:hAnsi="Times New Roman" w:cs="Times New Roman"/>
          <w:color w:val="767171"/>
          <w:spacing w:val="20"/>
          <w:sz w:val="24"/>
          <w:szCs w:val="24"/>
          <w:bdr w:val="none" w:sz="0" w:space="0" w:color="auto"/>
          <w:lang w:eastAsia="en-US"/>
        </w:rPr>
        <w:t>la reestructuración</w:t>
      </w:r>
      <w:r w:rsidR="00CA753F">
        <w:rPr>
          <w:rFonts w:ascii="Times New Roman" w:eastAsiaTheme="minorHAnsi" w:hAnsi="Times New Roman" w:cs="Times New Roman"/>
          <w:color w:val="767171"/>
          <w:spacing w:val="20"/>
          <w:sz w:val="24"/>
          <w:szCs w:val="24"/>
          <w:bdr w:val="none" w:sz="0" w:space="0" w:color="auto"/>
          <w:lang w:eastAsia="en-US"/>
        </w:rPr>
        <w:t xml:space="preserve"> d</w:t>
      </w:r>
      <w:r w:rsidRPr="007B1CCF">
        <w:rPr>
          <w:rFonts w:ascii="Times New Roman" w:eastAsiaTheme="minorHAnsi" w:hAnsi="Times New Roman" w:cs="Times New Roman"/>
          <w:color w:val="767171"/>
          <w:spacing w:val="20"/>
          <w:sz w:val="24"/>
          <w:szCs w:val="24"/>
          <w:bdr w:val="none" w:sz="0" w:space="0" w:color="auto"/>
          <w:lang w:eastAsia="en-US"/>
        </w:rPr>
        <w:t xml:space="preserve">el REA y </w:t>
      </w:r>
      <w:r w:rsidR="00CA753F">
        <w:rPr>
          <w:rFonts w:ascii="Times New Roman" w:eastAsiaTheme="minorHAnsi" w:hAnsi="Times New Roman" w:cs="Times New Roman"/>
          <w:color w:val="767171"/>
          <w:spacing w:val="20"/>
          <w:sz w:val="24"/>
          <w:szCs w:val="24"/>
          <w:bdr w:val="none" w:sz="0" w:space="0" w:color="auto"/>
          <w:lang w:eastAsia="en-US"/>
        </w:rPr>
        <w:t xml:space="preserve">una reestructuración </w:t>
      </w:r>
      <w:r w:rsidRPr="007B1CCF">
        <w:rPr>
          <w:rFonts w:ascii="Times New Roman" w:eastAsiaTheme="minorHAnsi" w:hAnsi="Times New Roman" w:cs="Times New Roman"/>
          <w:color w:val="767171"/>
          <w:spacing w:val="20"/>
          <w:sz w:val="24"/>
          <w:szCs w:val="24"/>
          <w:bdr w:val="none" w:sz="0" w:space="0" w:color="auto"/>
          <w:lang w:eastAsia="en-US"/>
        </w:rPr>
        <w:t xml:space="preserve">temporal </w:t>
      </w:r>
      <w:r w:rsidR="00CA753F">
        <w:rPr>
          <w:rFonts w:ascii="Times New Roman" w:eastAsiaTheme="minorHAnsi" w:hAnsi="Times New Roman" w:cs="Times New Roman"/>
          <w:color w:val="767171"/>
          <w:spacing w:val="20"/>
          <w:sz w:val="24"/>
          <w:szCs w:val="24"/>
          <w:bdr w:val="none" w:sz="0" w:space="0" w:color="auto"/>
          <w:lang w:eastAsia="en-US"/>
        </w:rPr>
        <w:t xml:space="preserve">que </w:t>
      </w:r>
      <w:r w:rsidRPr="007B1CCF">
        <w:rPr>
          <w:rFonts w:ascii="Times New Roman" w:eastAsiaTheme="minorHAnsi" w:hAnsi="Times New Roman" w:cs="Times New Roman"/>
          <w:color w:val="767171"/>
          <w:spacing w:val="20"/>
          <w:sz w:val="24"/>
          <w:szCs w:val="24"/>
          <w:bdr w:val="none" w:sz="0" w:space="0" w:color="auto"/>
          <w:lang w:eastAsia="en-US"/>
        </w:rPr>
        <w:t>acumularon 4.75 puntos porcentuales</w:t>
      </w:r>
      <w:r w:rsidR="00980BA5">
        <w:rPr>
          <w:rFonts w:ascii="Times New Roman" w:eastAsiaTheme="minorHAnsi" w:hAnsi="Times New Roman" w:cs="Times New Roman"/>
          <w:color w:val="767171"/>
          <w:spacing w:val="20"/>
          <w:sz w:val="24"/>
          <w:szCs w:val="24"/>
          <w:bdr w:val="none" w:sz="0" w:space="0" w:color="auto"/>
          <w:lang w:eastAsia="en-US"/>
        </w:rPr>
        <w:t xml:space="preserve"> y</w:t>
      </w:r>
      <w:r w:rsidRPr="007B1CCF">
        <w:rPr>
          <w:rFonts w:ascii="Times New Roman" w:eastAsiaTheme="minorHAnsi" w:hAnsi="Times New Roman" w:cs="Times New Roman"/>
          <w:color w:val="767171"/>
          <w:spacing w:val="20"/>
          <w:sz w:val="24"/>
          <w:szCs w:val="24"/>
          <w:bdr w:val="none" w:sz="0" w:space="0" w:color="auto"/>
          <w:lang w:eastAsia="en-US"/>
        </w:rPr>
        <w:t xml:space="preserve"> los castigos de los últimos 12 meses</w:t>
      </w:r>
      <w:r w:rsidR="00730428">
        <w:rPr>
          <w:rFonts w:ascii="Times New Roman" w:eastAsiaTheme="minorHAnsi" w:hAnsi="Times New Roman" w:cs="Times New Roman"/>
          <w:color w:val="767171"/>
          <w:spacing w:val="20"/>
          <w:sz w:val="24"/>
          <w:szCs w:val="24"/>
          <w:bdr w:val="none" w:sz="0" w:space="0" w:color="auto"/>
          <w:lang w:eastAsia="en-US"/>
        </w:rPr>
        <w:t>, que aportaron</w:t>
      </w:r>
      <w:r w:rsidRPr="007B1CCF">
        <w:rPr>
          <w:rFonts w:ascii="Times New Roman" w:eastAsiaTheme="minorHAnsi" w:hAnsi="Times New Roman" w:cs="Times New Roman"/>
          <w:color w:val="767171"/>
          <w:spacing w:val="20"/>
          <w:sz w:val="24"/>
          <w:szCs w:val="24"/>
          <w:bdr w:val="none" w:sz="0" w:space="0" w:color="auto"/>
          <w:lang w:eastAsia="en-US"/>
        </w:rPr>
        <w:t xml:space="preserve"> 0.92 puntos porcentuales. Al evaluar las carteras, </w:t>
      </w:r>
      <w:r w:rsidR="00385F28">
        <w:rPr>
          <w:rFonts w:ascii="Times New Roman" w:eastAsiaTheme="minorHAnsi" w:hAnsi="Times New Roman" w:cs="Times New Roman"/>
          <w:color w:val="767171"/>
          <w:spacing w:val="20"/>
          <w:sz w:val="24"/>
          <w:szCs w:val="24"/>
          <w:bdr w:val="none" w:sz="0" w:space="0" w:color="auto"/>
          <w:lang w:eastAsia="en-US"/>
        </w:rPr>
        <w:t>se destacan</w:t>
      </w:r>
      <w:r w:rsidRPr="007B1CCF">
        <w:rPr>
          <w:rFonts w:ascii="Times New Roman" w:eastAsiaTheme="minorHAnsi" w:hAnsi="Times New Roman" w:cs="Times New Roman"/>
          <w:color w:val="767171"/>
          <w:spacing w:val="20"/>
          <w:sz w:val="24"/>
          <w:szCs w:val="24"/>
          <w:bdr w:val="none" w:sz="0" w:space="0" w:color="auto"/>
          <w:lang w:eastAsia="en-US"/>
        </w:rPr>
        <w:t xml:space="preserve"> la cartera de tarjetas de crédito</w:t>
      </w:r>
      <w:r w:rsidR="008B4192">
        <w:rPr>
          <w:rFonts w:ascii="Times New Roman" w:eastAsiaTheme="minorHAnsi" w:hAnsi="Times New Roman" w:cs="Times New Roman"/>
          <w:color w:val="767171"/>
          <w:spacing w:val="20"/>
          <w:sz w:val="24"/>
          <w:szCs w:val="24"/>
          <w:bdr w:val="none" w:sz="0" w:space="0" w:color="auto"/>
          <w:lang w:eastAsia="en-US"/>
        </w:rPr>
        <w:t>,</w:t>
      </w:r>
      <w:r w:rsidRPr="007B1CCF">
        <w:rPr>
          <w:rFonts w:ascii="Times New Roman" w:eastAsiaTheme="minorHAnsi" w:hAnsi="Times New Roman" w:cs="Times New Roman"/>
          <w:color w:val="767171"/>
          <w:spacing w:val="20"/>
          <w:sz w:val="24"/>
          <w:szCs w:val="24"/>
          <w:bdr w:val="none" w:sz="0" w:space="0" w:color="auto"/>
          <w:lang w:eastAsia="en-US"/>
        </w:rPr>
        <w:t xml:space="preserve"> donde se observa continuación en su convergencia hacía la media histórica </w:t>
      </w:r>
      <w:r w:rsidR="00FD2E16">
        <w:rPr>
          <w:rFonts w:ascii="Times New Roman" w:eastAsiaTheme="minorHAnsi" w:hAnsi="Times New Roman" w:cs="Times New Roman"/>
          <w:color w:val="767171"/>
          <w:spacing w:val="20"/>
          <w:sz w:val="24"/>
          <w:szCs w:val="24"/>
          <w:bdr w:val="none" w:sz="0" w:space="0" w:color="auto"/>
          <w:lang w:eastAsia="en-US"/>
        </w:rPr>
        <w:t xml:space="preserve">de </w:t>
      </w:r>
      <w:r w:rsidRPr="007B1CCF">
        <w:rPr>
          <w:rFonts w:ascii="Times New Roman" w:eastAsiaTheme="minorHAnsi" w:hAnsi="Times New Roman" w:cs="Times New Roman"/>
          <w:color w:val="767171"/>
          <w:spacing w:val="20"/>
          <w:sz w:val="24"/>
          <w:szCs w:val="24"/>
          <w:bdr w:val="none" w:sz="0" w:space="0" w:color="auto"/>
          <w:lang w:eastAsia="en-US"/>
        </w:rPr>
        <w:t>morosidad</w:t>
      </w:r>
      <w:r w:rsidR="005A6C1D">
        <w:rPr>
          <w:rFonts w:ascii="Times New Roman" w:eastAsiaTheme="minorHAnsi" w:hAnsi="Times New Roman" w:cs="Times New Roman"/>
          <w:color w:val="767171"/>
          <w:spacing w:val="20"/>
          <w:sz w:val="24"/>
          <w:szCs w:val="24"/>
          <w:bdr w:val="none" w:sz="0" w:space="0" w:color="auto"/>
          <w:lang w:eastAsia="en-US"/>
        </w:rPr>
        <w:t xml:space="preserve"> </w:t>
      </w:r>
      <w:r w:rsidR="005C5D4D">
        <w:rPr>
          <w:rFonts w:ascii="Times New Roman" w:eastAsiaTheme="minorHAnsi" w:hAnsi="Times New Roman" w:cs="Times New Roman"/>
          <w:color w:val="767171"/>
          <w:spacing w:val="20"/>
          <w:sz w:val="24"/>
          <w:szCs w:val="24"/>
          <w:bdr w:val="none" w:sz="0" w:space="0" w:color="auto"/>
          <w:lang w:eastAsia="en-US"/>
        </w:rPr>
        <w:t>con</w:t>
      </w:r>
      <w:r w:rsidRPr="007B1CCF">
        <w:rPr>
          <w:rFonts w:ascii="Times New Roman" w:eastAsiaTheme="minorHAnsi" w:hAnsi="Times New Roman" w:cs="Times New Roman"/>
          <w:color w:val="767171"/>
          <w:spacing w:val="20"/>
          <w:sz w:val="24"/>
          <w:szCs w:val="24"/>
          <w:bdr w:val="none" w:sz="0" w:space="0" w:color="auto"/>
          <w:lang w:eastAsia="en-US"/>
        </w:rPr>
        <w:t xml:space="preserve"> 4.5 puntos porcentuales, para un incremento </w:t>
      </w:r>
      <w:r w:rsidRPr="007B1CCF">
        <w:rPr>
          <w:rFonts w:ascii="Times New Roman" w:eastAsiaTheme="minorHAnsi" w:hAnsi="Times New Roman" w:cs="Times New Roman"/>
          <w:color w:val="767171"/>
          <w:spacing w:val="20"/>
          <w:sz w:val="24"/>
          <w:szCs w:val="24"/>
          <w:bdr w:val="none" w:sz="0" w:space="0" w:color="auto"/>
          <w:lang w:eastAsia="en-US"/>
        </w:rPr>
        <w:lastRenderedPageBreak/>
        <w:t>absoluto de +1.3 punto</w:t>
      </w:r>
      <w:r w:rsidR="00DC66FD">
        <w:rPr>
          <w:rFonts w:ascii="Times New Roman" w:eastAsiaTheme="minorHAnsi" w:hAnsi="Times New Roman" w:cs="Times New Roman"/>
          <w:color w:val="767171"/>
          <w:spacing w:val="20"/>
          <w:sz w:val="24"/>
          <w:szCs w:val="24"/>
          <w:bdr w:val="none" w:sz="0" w:space="0" w:color="auto"/>
          <w:lang w:eastAsia="en-US"/>
        </w:rPr>
        <w:t>s</w:t>
      </w:r>
      <w:r w:rsidRPr="007B1CCF">
        <w:rPr>
          <w:rFonts w:ascii="Times New Roman" w:eastAsiaTheme="minorHAnsi" w:hAnsi="Times New Roman" w:cs="Times New Roman"/>
          <w:color w:val="767171"/>
          <w:spacing w:val="20"/>
          <w:sz w:val="24"/>
          <w:szCs w:val="24"/>
          <w:bdr w:val="none" w:sz="0" w:space="0" w:color="auto"/>
          <w:lang w:eastAsia="en-US"/>
        </w:rPr>
        <w:t xml:space="preserve"> porcentual</w:t>
      </w:r>
      <w:r w:rsidR="00DC66FD">
        <w:rPr>
          <w:rFonts w:ascii="Times New Roman" w:eastAsiaTheme="minorHAnsi" w:hAnsi="Times New Roman" w:cs="Times New Roman"/>
          <w:color w:val="767171"/>
          <w:spacing w:val="20"/>
          <w:sz w:val="24"/>
          <w:szCs w:val="24"/>
          <w:bdr w:val="none" w:sz="0" w:space="0" w:color="auto"/>
          <w:lang w:eastAsia="en-US"/>
        </w:rPr>
        <w:t>es</w:t>
      </w:r>
      <w:r w:rsidRPr="007B1CCF">
        <w:rPr>
          <w:rFonts w:ascii="Times New Roman" w:eastAsiaTheme="minorHAnsi" w:hAnsi="Times New Roman" w:cs="Times New Roman"/>
          <w:color w:val="767171"/>
          <w:spacing w:val="20"/>
          <w:sz w:val="24"/>
          <w:szCs w:val="24"/>
          <w:bdr w:val="none" w:sz="0" w:space="0" w:color="auto"/>
          <w:lang w:eastAsia="en-US"/>
        </w:rPr>
        <w:t xml:space="preserve"> desde el nivel mínimo histórico alcanzado en mayo </w:t>
      </w:r>
      <w:r w:rsidRPr="00D80D0E">
        <w:rPr>
          <w:rFonts w:ascii="Times New Roman" w:eastAsiaTheme="minorHAnsi" w:hAnsi="Times New Roman" w:cs="Times New Roman"/>
          <w:color w:val="767171"/>
          <w:spacing w:val="20"/>
          <w:sz w:val="24"/>
          <w:szCs w:val="24"/>
          <w:bdr w:val="none" w:sz="0" w:space="0" w:color="auto"/>
          <w:lang w:eastAsia="en-US"/>
        </w:rPr>
        <w:t>2022</w:t>
      </w:r>
      <w:r w:rsidR="00D80D0E" w:rsidRPr="00D80D0E">
        <w:rPr>
          <w:rFonts w:ascii="Times New Roman" w:eastAsiaTheme="minorHAnsi" w:hAnsi="Times New Roman" w:cs="Times New Roman"/>
          <w:color w:val="767171"/>
          <w:spacing w:val="20"/>
          <w:sz w:val="24"/>
          <w:szCs w:val="24"/>
          <w:bdr w:val="none" w:sz="0" w:space="0" w:color="auto"/>
          <w:lang w:eastAsia="en-US"/>
        </w:rPr>
        <w:t>.</w:t>
      </w:r>
    </w:p>
    <w:p w14:paraId="2C20C0C9" w14:textId="40072E23" w:rsidR="007B1CCF" w:rsidRPr="007B1CCF" w:rsidRDefault="007B1CCF" w:rsidP="0042752A">
      <w:pPr>
        <w:pStyle w:val="Cuerpomemorias"/>
        <w:numPr>
          <w:ilvl w:val="0"/>
          <w:numId w:val="16"/>
        </w:numPr>
        <w:spacing w:after="160"/>
        <w:ind w:left="357" w:hanging="357"/>
        <w:contextualSpacing w:val="0"/>
        <w:rPr>
          <w:rFonts w:ascii="Times New Roman" w:eastAsiaTheme="minorHAnsi" w:hAnsi="Times New Roman" w:cs="Times New Roman"/>
          <w:color w:val="767171"/>
          <w:spacing w:val="20"/>
          <w:sz w:val="24"/>
          <w:szCs w:val="24"/>
          <w:bdr w:val="none" w:sz="0" w:space="0" w:color="auto"/>
          <w:lang w:eastAsia="en-US"/>
        </w:rPr>
      </w:pPr>
      <w:bookmarkStart w:id="24" w:name="_Hlk74839316"/>
      <w:r w:rsidRPr="007B1CCF">
        <w:rPr>
          <w:rFonts w:ascii="Times New Roman" w:eastAsiaTheme="minorHAnsi" w:hAnsi="Times New Roman" w:cs="Times New Roman"/>
          <w:color w:val="767171"/>
          <w:spacing w:val="20"/>
          <w:sz w:val="24"/>
          <w:szCs w:val="24"/>
          <w:bdr w:val="none" w:sz="0" w:space="0" w:color="auto"/>
          <w:lang w:eastAsia="en-US"/>
        </w:rPr>
        <w:t xml:space="preserve">El sistema financiero se encuentra en el proceso de gradualidad regulatoria. </w:t>
      </w:r>
      <w:bookmarkEnd w:id="24"/>
      <w:r w:rsidRPr="007B1CCF">
        <w:rPr>
          <w:rFonts w:ascii="Times New Roman" w:eastAsiaTheme="minorHAnsi" w:hAnsi="Times New Roman" w:cs="Times New Roman"/>
          <w:color w:val="767171"/>
          <w:spacing w:val="20"/>
          <w:sz w:val="24"/>
          <w:szCs w:val="24"/>
          <w:bdr w:val="none" w:sz="0" w:space="0" w:color="auto"/>
          <w:lang w:eastAsia="en-US"/>
        </w:rPr>
        <w:t xml:space="preserve">Acorde con lo </w:t>
      </w:r>
      <w:r w:rsidR="00585E45">
        <w:rPr>
          <w:rFonts w:ascii="Times New Roman" w:eastAsiaTheme="minorHAnsi" w:hAnsi="Times New Roman" w:cs="Times New Roman"/>
          <w:color w:val="767171"/>
          <w:spacing w:val="20"/>
          <w:sz w:val="24"/>
          <w:szCs w:val="24"/>
          <w:bdr w:val="none" w:sz="0" w:space="0" w:color="auto"/>
          <w:lang w:eastAsia="en-US"/>
        </w:rPr>
        <w:t>establecido</w:t>
      </w:r>
      <w:r w:rsidRPr="007B1CCF">
        <w:rPr>
          <w:rFonts w:ascii="Times New Roman" w:eastAsiaTheme="minorHAnsi" w:hAnsi="Times New Roman" w:cs="Times New Roman"/>
          <w:color w:val="767171"/>
          <w:spacing w:val="20"/>
          <w:sz w:val="24"/>
          <w:szCs w:val="24"/>
          <w:bdr w:val="none" w:sz="0" w:space="0" w:color="auto"/>
          <w:lang w:eastAsia="en-US"/>
        </w:rPr>
        <w:t xml:space="preserve"> por la Junta Monetaria</w:t>
      </w:r>
      <w:r w:rsidR="00375027">
        <w:rPr>
          <w:rFonts w:ascii="Times New Roman" w:eastAsiaTheme="minorHAnsi" w:hAnsi="Times New Roman" w:cs="Times New Roman"/>
          <w:color w:val="767171"/>
          <w:spacing w:val="20"/>
          <w:sz w:val="24"/>
          <w:szCs w:val="24"/>
          <w:bdr w:val="none" w:sz="0" w:space="0" w:color="auto"/>
          <w:lang w:eastAsia="en-US"/>
        </w:rPr>
        <w:t xml:space="preserve"> en </w:t>
      </w:r>
      <w:r w:rsidR="00B430EC">
        <w:rPr>
          <w:rFonts w:ascii="Times New Roman" w:eastAsiaTheme="minorHAnsi" w:hAnsi="Times New Roman" w:cs="Times New Roman"/>
          <w:color w:val="767171"/>
          <w:spacing w:val="20"/>
          <w:sz w:val="24"/>
          <w:szCs w:val="24"/>
          <w:bdr w:val="none" w:sz="0" w:space="0" w:color="auto"/>
          <w:lang w:eastAsia="en-US"/>
        </w:rPr>
        <w:t>la circular 007/22</w:t>
      </w:r>
      <w:r w:rsidRPr="007B1CCF">
        <w:rPr>
          <w:rFonts w:ascii="Times New Roman" w:eastAsiaTheme="minorHAnsi" w:hAnsi="Times New Roman" w:cs="Times New Roman"/>
          <w:color w:val="767171"/>
          <w:spacing w:val="20"/>
          <w:sz w:val="24"/>
          <w:szCs w:val="24"/>
          <w:bdr w:val="none" w:sz="0" w:space="0" w:color="auto"/>
          <w:lang w:eastAsia="en-US"/>
        </w:rPr>
        <w:t xml:space="preserve">, la gradualidad regulatoria concluirá el 31 de diciembre 2023. La Superintendencia mantiene el seguimiento de la evolución y el nivel de cumplimiento de las entidades. El total de brecha de provisiones a septiembre de 2023 es de </w:t>
      </w:r>
      <w:r w:rsidR="00F627B2">
        <w:rPr>
          <w:rFonts w:ascii="Times New Roman" w:eastAsiaTheme="minorHAnsi" w:hAnsi="Times New Roman" w:cs="Times New Roman"/>
          <w:color w:val="767171"/>
          <w:spacing w:val="20"/>
          <w:sz w:val="24"/>
          <w:szCs w:val="24"/>
          <w:bdr w:val="none" w:sz="0" w:space="0" w:color="auto"/>
          <w:lang w:eastAsia="en-US"/>
        </w:rPr>
        <w:t>RD$</w:t>
      </w:r>
      <w:r w:rsidRPr="007B1CCF">
        <w:rPr>
          <w:rFonts w:ascii="Times New Roman" w:eastAsiaTheme="minorHAnsi" w:hAnsi="Times New Roman" w:cs="Times New Roman"/>
          <w:color w:val="767171"/>
          <w:spacing w:val="20"/>
          <w:sz w:val="24"/>
          <w:szCs w:val="24"/>
          <w:bdr w:val="none" w:sz="0" w:space="0" w:color="auto"/>
          <w:lang w:eastAsia="en-US"/>
        </w:rPr>
        <w:t>235 millones, equivalente a una reducción de -55.5% respecto a septiembre 2022.</w:t>
      </w:r>
    </w:p>
    <w:p w14:paraId="6B05A4A4" w14:textId="0A1DFE49" w:rsidR="007B1CCF" w:rsidRPr="007B1CCF" w:rsidRDefault="007B1CCF" w:rsidP="0042752A">
      <w:pPr>
        <w:pStyle w:val="Cuerpomemorias"/>
        <w:numPr>
          <w:ilvl w:val="0"/>
          <w:numId w:val="16"/>
        </w:numPr>
        <w:spacing w:after="160"/>
        <w:ind w:left="357" w:hanging="357"/>
        <w:contextualSpacing w:val="0"/>
        <w:rPr>
          <w:rFonts w:ascii="Times New Roman" w:eastAsiaTheme="minorHAnsi" w:hAnsi="Times New Roman" w:cs="Times New Roman"/>
          <w:color w:val="767171"/>
          <w:spacing w:val="20"/>
          <w:sz w:val="24"/>
          <w:szCs w:val="24"/>
          <w:bdr w:val="none" w:sz="0" w:space="0" w:color="auto"/>
          <w:lang w:eastAsia="en-US"/>
        </w:rPr>
      </w:pPr>
      <w:r w:rsidRPr="007B1CCF">
        <w:rPr>
          <w:rFonts w:ascii="Times New Roman" w:eastAsiaTheme="minorHAnsi" w:hAnsi="Times New Roman" w:cs="Times New Roman"/>
          <w:color w:val="767171"/>
          <w:spacing w:val="20"/>
          <w:sz w:val="24"/>
          <w:szCs w:val="24"/>
          <w:bdr w:val="none" w:sz="0" w:space="0" w:color="auto"/>
          <w:lang w:eastAsia="en-US"/>
        </w:rPr>
        <w:t>El sistema financiero permanece rentable</w:t>
      </w:r>
      <w:r w:rsidR="00D80D0E">
        <w:rPr>
          <w:rFonts w:ascii="Times New Roman" w:eastAsiaTheme="minorHAnsi" w:hAnsi="Times New Roman" w:cs="Times New Roman"/>
          <w:color w:val="767171"/>
          <w:spacing w:val="20"/>
          <w:sz w:val="24"/>
          <w:szCs w:val="24"/>
          <w:bdr w:val="none" w:sz="0" w:space="0" w:color="auto"/>
          <w:lang w:eastAsia="en-US"/>
        </w:rPr>
        <w:t>,</w:t>
      </w:r>
      <w:r w:rsidRPr="007B1CCF">
        <w:rPr>
          <w:rFonts w:ascii="Times New Roman" w:eastAsiaTheme="minorHAnsi" w:hAnsi="Times New Roman" w:cs="Times New Roman"/>
          <w:color w:val="767171"/>
          <w:spacing w:val="20"/>
          <w:sz w:val="24"/>
          <w:szCs w:val="24"/>
          <w:bdr w:val="none" w:sz="0" w:space="0" w:color="auto"/>
          <w:lang w:eastAsia="en-US"/>
        </w:rPr>
        <w:t xml:space="preserve"> registrando utilidades antes de impuestos sobre la renta por </w:t>
      </w:r>
      <w:r w:rsidR="00B14BA4">
        <w:rPr>
          <w:rFonts w:ascii="Times New Roman" w:eastAsiaTheme="minorHAnsi" w:hAnsi="Times New Roman" w:cs="Times New Roman"/>
          <w:color w:val="767171"/>
          <w:spacing w:val="20"/>
          <w:sz w:val="24"/>
          <w:szCs w:val="24"/>
          <w:bdr w:val="none" w:sz="0" w:space="0" w:color="auto"/>
          <w:lang w:eastAsia="en-US"/>
        </w:rPr>
        <w:t>RD$</w:t>
      </w:r>
      <w:r w:rsidRPr="007B1CCF">
        <w:rPr>
          <w:rFonts w:ascii="Times New Roman" w:eastAsiaTheme="minorHAnsi" w:hAnsi="Times New Roman" w:cs="Times New Roman"/>
          <w:color w:val="767171"/>
          <w:spacing w:val="20"/>
          <w:sz w:val="24"/>
          <w:szCs w:val="24"/>
          <w:bdr w:val="none" w:sz="0" w:space="0" w:color="auto"/>
          <w:lang w:eastAsia="en-US"/>
        </w:rPr>
        <w:t>73,</w:t>
      </w:r>
      <w:r w:rsidR="000F759D">
        <w:rPr>
          <w:rFonts w:ascii="Times New Roman" w:eastAsiaTheme="minorHAnsi" w:hAnsi="Times New Roman" w:cs="Times New Roman"/>
          <w:color w:val="767171"/>
          <w:spacing w:val="20"/>
          <w:sz w:val="24"/>
          <w:szCs w:val="24"/>
          <w:bdr w:val="none" w:sz="0" w:space="0" w:color="auto"/>
          <w:lang w:eastAsia="en-US"/>
        </w:rPr>
        <w:t>1</w:t>
      </w:r>
      <w:r w:rsidRPr="007B1CCF">
        <w:rPr>
          <w:rFonts w:ascii="Times New Roman" w:eastAsiaTheme="minorHAnsi" w:hAnsi="Times New Roman" w:cs="Times New Roman"/>
          <w:color w:val="767171"/>
          <w:spacing w:val="20"/>
          <w:sz w:val="24"/>
          <w:szCs w:val="24"/>
          <w:bdr w:val="none" w:sz="0" w:space="0" w:color="auto"/>
          <w:lang w:eastAsia="en-US"/>
        </w:rPr>
        <w:t xml:space="preserve"> millones, y presentando un indicador de rentabilidad del patrimonio (ROE) de 26.4%. Asimismo, la rentabilidad promedio de los activos (ROA) se mantuvo en un 3.0%. El comportamiento del sistema financiero muestra que la eficiencia operativa se encuentra en 61.6% observándose una mejora respecto al año anterior, lo cual indica que al mes de septiembre por cada </w:t>
      </w:r>
      <w:r w:rsidR="00B14BA4">
        <w:rPr>
          <w:rFonts w:ascii="Times New Roman" w:eastAsiaTheme="minorHAnsi" w:hAnsi="Times New Roman" w:cs="Times New Roman"/>
          <w:color w:val="767171"/>
          <w:spacing w:val="20"/>
          <w:sz w:val="24"/>
          <w:szCs w:val="24"/>
          <w:bdr w:val="none" w:sz="0" w:space="0" w:color="auto"/>
          <w:lang w:eastAsia="en-US"/>
        </w:rPr>
        <w:t>RD$</w:t>
      </w:r>
      <w:r w:rsidRPr="007B1CCF">
        <w:rPr>
          <w:rFonts w:ascii="Times New Roman" w:eastAsiaTheme="minorHAnsi" w:hAnsi="Times New Roman" w:cs="Times New Roman"/>
          <w:color w:val="767171"/>
          <w:spacing w:val="20"/>
          <w:sz w:val="24"/>
          <w:szCs w:val="24"/>
          <w:bdr w:val="none" w:sz="0" w:space="0" w:color="auto"/>
          <w:lang w:eastAsia="en-US"/>
        </w:rPr>
        <w:t xml:space="preserve">100 de ingresos el sistema financiero </w:t>
      </w:r>
      <w:r w:rsidR="005F2185">
        <w:rPr>
          <w:rFonts w:ascii="Times New Roman" w:eastAsiaTheme="minorHAnsi" w:hAnsi="Times New Roman" w:cs="Times New Roman"/>
          <w:color w:val="767171"/>
          <w:spacing w:val="20"/>
          <w:sz w:val="24"/>
          <w:szCs w:val="24"/>
          <w:bdr w:val="none" w:sz="0" w:space="0" w:color="auto"/>
          <w:lang w:eastAsia="en-US"/>
        </w:rPr>
        <w:t xml:space="preserve">incurre en </w:t>
      </w:r>
      <w:r w:rsidR="00FE57FE">
        <w:rPr>
          <w:rFonts w:ascii="Times New Roman" w:eastAsiaTheme="minorHAnsi" w:hAnsi="Times New Roman" w:cs="Times New Roman"/>
          <w:color w:val="767171"/>
          <w:spacing w:val="20"/>
          <w:sz w:val="24"/>
          <w:szCs w:val="24"/>
          <w:bdr w:val="none" w:sz="0" w:space="0" w:color="auto"/>
          <w:lang w:eastAsia="en-US"/>
        </w:rPr>
        <w:t>el gasto de</w:t>
      </w:r>
      <w:r w:rsidRPr="007B1CCF">
        <w:rPr>
          <w:rFonts w:ascii="Times New Roman" w:eastAsiaTheme="minorHAnsi" w:hAnsi="Times New Roman" w:cs="Times New Roman"/>
          <w:color w:val="767171"/>
          <w:spacing w:val="20"/>
          <w:sz w:val="24"/>
          <w:szCs w:val="24"/>
          <w:bdr w:val="none" w:sz="0" w:space="0" w:color="auto"/>
          <w:lang w:eastAsia="en-US"/>
        </w:rPr>
        <w:t xml:space="preserve"> </w:t>
      </w:r>
      <w:r w:rsidR="00B14BA4">
        <w:rPr>
          <w:rFonts w:ascii="Times New Roman" w:eastAsiaTheme="minorHAnsi" w:hAnsi="Times New Roman" w:cs="Times New Roman"/>
          <w:color w:val="767171"/>
          <w:spacing w:val="20"/>
          <w:sz w:val="24"/>
          <w:szCs w:val="24"/>
          <w:bdr w:val="none" w:sz="0" w:space="0" w:color="auto"/>
          <w:lang w:eastAsia="en-US"/>
        </w:rPr>
        <w:t>RD$</w:t>
      </w:r>
      <w:r w:rsidRPr="007B1CCF">
        <w:rPr>
          <w:rFonts w:ascii="Times New Roman" w:eastAsiaTheme="minorHAnsi" w:hAnsi="Times New Roman" w:cs="Times New Roman"/>
          <w:color w:val="767171"/>
          <w:spacing w:val="20"/>
          <w:sz w:val="24"/>
          <w:szCs w:val="24"/>
          <w:bdr w:val="none" w:sz="0" w:space="0" w:color="auto"/>
          <w:lang w:eastAsia="en-US"/>
        </w:rPr>
        <w:t>61.6 pesos</w:t>
      </w:r>
      <w:r w:rsidR="00A919DB">
        <w:rPr>
          <w:rFonts w:ascii="Times New Roman" w:eastAsiaTheme="minorHAnsi" w:hAnsi="Times New Roman" w:cs="Times New Roman"/>
          <w:color w:val="767171"/>
          <w:spacing w:val="20"/>
          <w:sz w:val="24"/>
          <w:szCs w:val="24"/>
          <w:bdr w:val="none" w:sz="0" w:space="0" w:color="auto"/>
          <w:lang w:eastAsia="en-US"/>
        </w:rPr>
        <w:t xml:space="preserve"> para llevar a cabo</w:t>
      </w:r>
      <w:r w:rsidRPr="007B1CCF">
        <w:rPr>
          <w:rFonts w:ascii="Times New Roman" w:eastAsiaTheme="minorHAnsi" w:hAnsi="Times New Roman" w:cs="Times New Roman"/>
          <w:color w:val="767171"/>
          <w:spacing w:val="20"/>
          <w:sz w:val="24"/>
          <w:szCs w:val="24"/>
          <w:bdr w:val="none" w:sz="0" w:space="0" w:color="auto"/>
          <w:lang w:eastAsia="en-US"/>
        </w:rPr>
        <w:t xml:space="preserve"> sus operaciones.</w:t>
      </w:r>
    </w:p>
    <w:p w14:paraId="13FAB0E5" w14:textId="35FDC3A6" w:rsidR="007B1CCF" w:rsidRPr="000E23D9" w:rsidRDefault="007B1CCF" w:rsidP="0042752A">
      <w:pPr>
        <w:pStyle w:val="Cuerpomemorias"/>
        <w:numPr>
          <w:ilvl w:val="0"/>
          <w:numId w:val="16"/>
        </w:numPr>
        <w:spacing w:after="160"/>
        <w:ind w:left="357" w:hanging="357"/>
        <w:contextualSpacing w:val="0"/>
        <w:rPr>
          <w:rFonts w:ascii="Times New Roman" w:eastAsiaTheme="minorHAnsi" w:hAnsi="Times New Roman" w:cs="Times New Roman"/>
          <w:color w:val="767171"/>
          <w:spacing w:val="20"/>
          <w:sz w:val="24"/>
          <w:szCs w:val="24"/>
          <w:bdr w:val="none" w:sz="0" w:space="0" w:color="auto"/>
          <w:lang w:eastAsia="en-US"/>
        </w:rPr>
      </w:pPr>
      <w:r w:rsidRPr="007B1CCF">
        <w:rPr>
          <w:rFonts w:ascii="Times New Roman" w:eastAsiaTheme="minorHAnsi" w:hAnsi="Times New Roman" w:cs="Times New Roman"/>
          <w:color w:val="767171"/>
          <w:spacing w:val="20"/>
          <w:sz w:val="24"/>
          <w:szCs w:val="24"/>
          <w:bdr w:val="none" w:sz="0" w:space="0" w:color="auto"/>
          <w:lang w:eastAsia="en-US"/>
        </w:rPr>
        <w:t>En términos de inclusión financiera, la</w:t>
      </w:r>
      <w:r w:rsidR="00134001">
        <w:rPr>
          <w:rFonts w:ascii="Times New Roman" w:eastAsiaTheme="minorHAnsi" w:hAnsi="Times New Roman" w:cs="Times New Roman"/>
          <w:color w:val="767171"/>
          <w:spacing w:val="20"/>
          <w:sz w:val="24"/>
          <w:szCs w:val="24"/>
          <w:bdr w:val="none" w:sz="0" w:space="0" w:color="auto"/>
          <w:lang w:eastAsia="en-US"/>
        </w:rPr>
        <w:t xml:space="preserve"> cantidad de</w:t>
      </w:r>
      <w:r w:rsidRPr="007B1CCF">
        <w:rPr>
          <w:rFonts w:ascii="Times New Roman" w:eastAsiaTheme="minorHAnsi" w:hAnsi="Times New Roman" w:cs="Times New Roman"/>
          <w:color w:val="767171"/>
          <w:spacing w:val="20"/>
          <w:sz w:val="24"/>
          <w:szCs w:val="24"/>
          <w:bdr w:val="none" w:sz="0" w:space="0" w:color="auto"/>
          <w:lang w:eastAsia="en-US"/>
        </w:rPr>
        <w:t xml:space="preserve"> personas físicas con créditos en el sistema financiero ascendieron a </w:t>
      </w:r>
      <w:r w:rsidRPr="000E23D9">
        <w:rPr>
          <w:rFonts w:ascii="Times New Roman" w:eastAsiaTheme="minorHAnsi" w:hAnsi="Times New Roman" w:cs="Times New Roman"/>
          <w:color w:val="767171"/>
          <w:spacing w:val="20"/>
          <w:sz w:val="24"/>
          <w:szCs w:val="24"/>
          <w:bdr w:val="none" w:sz="0" w:space="0" w:color="auto"/>
          <w:lang w:eastAsia="en-US"/>
        </w:rPr>
        <w:t>2,301,676 (32.9% de la población mayor de 18 años), para un incremento con relación a septiembre de 2022 de 230,135 (11.1%).</w:t>
      </w:r>
    </w:p>
    <w:p w14:paraId="289499F9" w14:textId="77777777" w:rsidR="006B204A" w:rsidRDefault="006B204A" w:rsidP="0042752A">
      <w:pPr>
        <w:spacing w:afterLines="160" w:after="384" w:line="360" w:lineRule="auto"/>
        <w:jc w:val="center"/>
        <w:rPr>
          <w:b/>
          <w:lang w:val="es-DO"/>
        </w:rPr>
      </w:pPr>
    </w:p>
    <w:p w14:paraId="3772AC16" w14:textId="77777777" w:rsidR="0042752A" w:rsidRDefault="0042752A" w:rsidP="0042752A">
      <w:pPr>
        <w:spacing w:afterLines="160" w:after="384" w:line="360" w:lineRule="auto"/>
        <w:jc w:val="center"/>
        <w:rPr>
          <w:b/>
          <w:lang w:val="es-DO"/>
        </w:rPr>
      </w:pPr>
    </w:p>
    <w:p w14:paraId="41541CD9" w14:textId="78820B79" w:rsidR="00754C7E" w:rsidRPr="000E23D9" w:rsidRDefault="00D00E05" w:rsidP="000E6F34">
      <w:pPr>
        <w:pStyle w:val="Estilo3"/>
        <w:spacing w:after="160" w:line="360" w:lineRule="auto"/>
        <w:rPr>
          <w:b/>
        </w:rPr>
      </w:pPr>
      <w:bookmarkStart w:id="25" w:name="_Toc155354609"/>
      <w:r w:rsidRPr="000E6F34">
        <w:rPr>
          <w:b/>
          <w:szCs w:val="24"/>
        </w:rPr>
        <w:lastRenderedPageBreak/>
        <w:t>3</w:t>
      </w:r>
      <w:r w:rsidR="00E52ED4" w:rsidRPr="000E6F34">
        <w:rPr>
          <w:b/>
          <w:szCs w:val="24"/>
        </w:rPr>
        <w:t>.</w:t>
      </w:r>
      <w:r w:rsidR="000E6F34" w:rsidRPr="000E6F34">
        <w:rPr>
          <w:b/>
          <w:szCs w:val="24"/>
        </w:rPr>
        <w:t>2</w:t>
      </w:r>
      <w:r w:rsidR="00E52ED4" w:rsidRPr="000E6F34">
        <w:rPr>
          <w:b/>
          <w:szCs w:val="24"/>
        </w:rPr>
        <w:t xml:space="preserve"> Supervisión de entidades </w:t>
      </w:r>
      <w:bookmarkEnd w:id="20"/>
      <w:bookmarkEnd w:id="21"/>
      <w:r w:rsidR="0087042B" w:rsidRPr="000E23D9">
        <w:rPr>
          <w:b/>
        </w:rPr>
        <w:t xml:space="preserve">de intermediación financiera y </w:t>
      </w:r>
      <w:r w:rsidR="00754C7E" w:rsidRPr="000E23D9">
        <w:rPr>
          <w:b/>
        </w:rPr>
        <w:t>cambiarias</w:t>
      </w:r>
      <w:bookmarkEnd w:id="25"/>
    </w:p>
    <w:p w14:paraId="1FB0C383" w14:textId="4F25BF43" w:rsidR="00754C7E" w:rsidRPr="00754C7E" w:rsidRDefault="00754C7E" w:rsidP="006B204A">
      <w:pPr>
        <w:spacing w:line="360" w:lineRule="auto"/>
        <w:jc w:val="both"/>
        <w:rPr>
          <w:rFonts w:eastAsia="Calibri"/>
          <w:lang w:val="es-DO"/>
        </w:rPr>
      </w:pPr>
      <w:r w:rsidRPr="000E23D9">
        <w:rPr>
          <w:rFonts w:eastAsia="Calibri"/>
          <w:lang w:val="es-DO"/>
        </w:rPr>
        <w:t>Con el objetivo de preservar el adecuado funcionamiento de las entidades de intermediación financieras y cambiarias</w:t>
      </w:r>
      <w:r w:rsidR="004222FF" w:rsidRPr="000E23D9">
        <w:rPr>
          <w:rFonts w:eastAsia="Calibri"/>
          <w:lang w:val="es-DO"/>
        </w:rPr>
        <w:t>, en el período comprendido entre enero y diciembre de 2023</w:t>
      </w:r>
      <w:r w:rsidR="008C5D48" w:rsidRPr="000E23D9">
        <w:rPr>
          <w:rFonts w:eastAsia="Calibri"/>
          <w:lang w:val="es-DO"/>
        </w:rPr>
        <w:t>,</w:t>
      </w:r>
      <w:r w:rsidRPr="000E23D9">
        <w:rPr>
          <w:rFonts w:eastAsia="Calibri"/>
          <w:lang w:val="es-DO"/>
        </w:rPr>
        <w:t xml:space="preserve"> la Superintendencia de Bancos de la República Dominicana realizó sesenta y ocho (68) inspecciones </w:t>
      </w:r>
      <w:bookmarkStart w:id="26" w:name="_Int_OmbYVclI"/>
      <w:r w:rsidRPr="000E23D9">
        <w:rPr>
          <w:rFonts w:eastAsia="Calibri"/>
          <w:lang w:val="es-DO"/>
        </w:rPr>
        <w:t>in-situ</w:t>
      </w:r>
      <w:bookmarkEnd w:id="26"/>
      <w:r w:rsidRPr="000E23D9">
        <w:rPr>
          <w:rFonts w:eastAsia="Calibri"/>
          <w:lang w:val="es-DO"/>
        </w:rPr>
        <w:t xml:space="preserve"> y </w:t>
      </w:r>
      <w:bookmarkStart w:id="27" w:name="_Int_ToDQR1Fz"/>
      <w:r w:rsidRPr="000E23D9">
        <w:rPr>
          <w:rFonts w:eastAsia="Calibri"/>
          <w:lang w:val="es-DO"/>
        </w:rPr>
        <w:t>extra-situ</w:t>
      </w:r>
      <w:bookmarkEnd w:id="27"/>
      <w:r w:rsidRPr="000E23D9">
        <w:rPr>
          <w:rFonts w:eastAsia="Calibri"/>
          <w:lang w:val="es-DO"/>
        </w:rPr>
        <w:t>. De esas</w:t>
      </w:r>
      <w:r w:rsidRPr="00754C7E">
        <w:rPr>
          <w:rFonts w:eastAsia="Calibri"/>
          <w:lang w:val="es-DO"/>
        </w:rPr>
        <w:t xml:space="preserve"> inspecciones, veintiuno (21) fueron realizadas en Bancos de Servicios Múltiples, nueve (9) en Asociaciones de Ahorros y Préstamos, catorce (14) en Bancos de Ahorro y Crédito, cuatro (4) </w:t>
      </w:r>
      <w:r w:rsidR="007F3000">
        <w:rPr>
          <w:rFonts w:eastAsia="Calibri"/>
          <w:lang w:val="es-DO"/>
        </w:rPr>
        <w:t>en</w:t>
      </w:r>
      <w:r w:rsidRPr="00754C7E">
        <w:rPr>
          <w:rFonts w:eastAsia="Calibri"/>
          <w:lang w:val="es-DO"/>
        </w:rPr>
        <w:t xml:space="preserve"> Corporaciones de Crédito, dos (2) </w:t>
      </w:r>
      <w:r w:rsidR="007F3000">
        <w:rPr>
          <w:rFonts w:eastAsia="Calibri"/>
          <w:lang w:val="es-DO"/>
        </w:rPr>
        <w:t>en</w:t>
      </w:r>
      <w:r w:rsidRPr="00754C7E">
        <w:rPr>
          <w:rFonts w:eastAsia="Calibri"/>
          <w:lang w:val="es-DO"/>
        </w:rPr>
        <w:t xml:space="preserve"> Entidades Estatales y dieciocho (18) en Entidades Cambiarias y </w:t>
      </w:r>
      <w:bookmarkStart w:id="28" w:name="_Int_jU0xaVuk"/>
      <w:r w:rsidRPr="00754C7E">
        <w:rPr>
          <w:rFonts w:eastAsia="Calibri"/>
          <w:lang w:val="es-DO"/>
        </w:rPr>
        <w:t>Remesadoras</w:t>
      </w:r>
      <w:bookmarkEnd w:id="28"/>
      <w:r w:rsidRPr="00754C7E">
        <w:rPr>
          <w:rFonts w:eastAsia="Calibri"/>
          <w:lang w:val="es-DO"/>
        </w:rPr>
        <w:t>.</w:t>
      </w:r>
    </w:p>
    <w:p w14:paraId="5B494670" w14:textId="77777777" w:rsidR="00754C7E" w:rsidRPr="00754C7E" w:rsidRDefault="00754C7E" w:rsidP="006B204A">
      <w:pPr>
        <w:spacing w:line="360" w:lineRule="auto"/>
        <w:rPr>
          <w:rFonts w:eastAsia="Calibri"/>
          <w:lang w:val="es-DO"/>
        </w:rPr>
      </w:pPr>
      <w:r w:rsidRPr="00754C7E">
        <w:rPr>
          <w:rFonts w:eastAsia="Calibri"/>
          <w:lang w:val="es-DO"/>
        </w:rPr>
        <w:t>Las inspecciones de campo realizadas se enfocaron en los siguientes aspectos:</w:t>
      </w:r>
    </w:p>
    <w:p w14:paraId="25202C54" w14:textId="77777777" w:rsidR="00754C7E" w:rsidRPr="001A0DEC" w:rsidRDefault="00754C7E" w:rsidP="00CB4994">
      <w:pPr>
        <w:pStyle w:val="Prrafodelista"/>
        <w:numPr>
          <w:ilvl w:val="0"/>
          <w:numId w:val="17"/>
        </w:numPr>
        <w:spacing w:line="360" w:lineRule="auto"/>
        <w:contextualSpacing w:val="0"/>
        <w:jc w:val="both"/>
        <w:rPr>
          <w:rFonts w:ascii="Times New Roman" w:hAnsi="Times New Roman"/>
          <w:color w:val="767171"/>
          <w:spacing w:val="20"/>
          <w:sz w:val="24"/>
          <w:szCs w:val="24"/>
        </w:rPr>
      </w:pPr>
      <w:r w:rsidRPr="001A0DEC">
        <w:rPr>
          <w:rFonts w:ascii="Times New Roman" w:hAnsi="Times New Roman"/>
          <w:color w:val="767171"/>
          <w:spacing w:val="20"/>
          <w:sz w:val="24"/>
          <w:szCs w:val="24"/>
        </w:rPr>
        <w:t>Calidad de la cartera de créditos.</w:t>
      </w:r>
    </w:p>
    <w:p w14:paraId="5E514CBC" w14:textId="77777777" w:rsidR="00754C7E" w:rsidRPr="001A0DEC" w:rsidRDefault="00754C7E" w:rsidP="00CB4994">
      <w:pPr>
        <w:pStyle w:val="Prrafodelista"/>
        <w:numPr>
          <w:ilvl w:val="0"/>
          <w:numId w:val="17"/>
        </w:numPr>
        <w:spacing w:line="360" w:lineRule="auto"/>
        <w:contextualSpacing w:val="0"/>
        <w:jc w:val="both"/>
        <w:rPr>
          <w:rFonts w:ascii="Times New Roman" w:hAnsi="Times New Roman"/>
          <w:color w:val="767171"/>
          <w:spacing w:val="20"/>
          <w:sz w:val="24"/>
          <w:szCs w:val="24"/>
        </w:rPr>
      </w:pPr>
      <w:r w:rsidRPr="001A0DEC">
        <w:rPr>
          <w:rFonts w:ascii="Times New Roman" w:hAnsi="Times New Roman"/>
          <w:color w:val="767171"/>
          <w:spacing w:val="20"/>
          <w:sz w:val="24"/>
          <w:szCs w:val="24"/>
        </w:rPr>
        <w:t>Evaluación de las operaciones de tesorería y captaciones.</w:t>
      </w:r>
    </w:p>
    <w:p w14:paraId="6FF9A74E" w14:textId="77777777" w:rsidR="00754C7E" w:rsidRPr="001A0DEC" w:rsidRDefault="00754C7E" w:rsidP="00CB4994">
      <w:pPr>
        <w:pStyle w:val="Prrafodelista"/>
        <w:numPr>
          <w:ilvl w:val="0"/>
          <w:numId w:val="17"/>
        </w:numPr>
        <w:spacing w:line="360" w:lineRule="auto"/>
        <w:contextualSpacing w:val="0"/>
        <w:jc w:val="both"/>
        <w:rPr>
          <w:rFonts w:ascii="Times New Roman" w:hAnsi="Times New Roman"/>
          <w:color w:val="767171"/>
          <w:spacing w:val="20"/>
          <w:sz w:val="24"/>
          <w:szCs w:val="24"/>
        </w:rPr>
      </w:pPr>
      <w:r w:rsidRPr="001A0DEC">
        <w:rPr>
          <w:rFonts w:ascii="Times New Roman" w:hAnsi="Times New Roman"/>
          <w:color w:val="767171"/>
          <w:spacing w:val="20"/>
          <w:sz w:val="24"/>
          <w:szCs w:val="24"/>
        </w:rPr>
        <w:t>Gobierno corporativo.</w:t>
      </w:r>
    </w:p>
    <w:p w14:paraId="57944176" w14:textId="77777777" w:rsidR="00754C7E" w:rsidRPr="001A0DEC" w:rsidRDefault="00754C7E" w:rsidP="00CB4994">
      <w:pPr>
        <w:pStyle w:val="Prrafodelista"/>
        <w:numPr>
          <w:ilvl w:val="0"/>
          <w:numId w:val="17"/>
        </w:numPr>
        <w:spacing w:line="360" w:lineRule="auto"/>
        <w:contextualSpacing w:val="0"/>
        <w:jc w:val="both"/>
        <w:rPr>
          <w:rFonts w:ascii="Times New Roman" w:hAnsi="Times New Roman"/>
          <w:color w:val="767171"/>
          <w:spacing w:val="20"/>
          <w:sz w:val="24"/>
          <w:szCs w:val="24"/>
        </w:rPr>
      </w:pPr>
      <w:r w:rsidRPr="001A0DEC">
        <w:rPr>
          <w:rFonts w:ascii="Times New Roman" w:hAnsi="Times New Roman"/>
          <w:color w:val="767171"/>
          <w:spacing w:val="20"/>
          <w:sz w:val="24"/>
          <w:szCs w:val="24"/>
        </w:rPr>
        <w:t>Calidad de los activos.</w:t>
      </w:r>
    </w:p>
    <w:p w14:paraId="6DA03BE2" w14:textId="6BE0ABD4" w:rsidR="00754C7E" w:rsidRPr="001A0DEC" w:rsidRDefault="00754C7E" w:rsidP="00CB4994">
      <w:pPr>
        <w:pStyle w:val="Prrafodelista"/>
        <w:numPr>
          <w:ilvl w:val="0"/>
          <w:numId w:val="17"/>
        </w:numPr>
        <w:spacing w:line="360" w:lineRule="auto"/>
        <w:contextualSpacing w:val="0"/>
        <w:jc w:val="both"/>
        <w:rPr>
          <w:rFonts w:ascii="Times New Roman" w:hAnsi="Times New Roman"/>
          <w:color w:val="767171"/>
          <w:spacing w:val="20"/>
          <w:sz w:val="24"/>
          <w:szCs w:val="24"/>
        </w:rPr>
      </w:pPr>
      <w:r w:rsidRPr="001A0DEC">
        <w:rPr>
          <w:rFonts w:ascii="Times New Roman" w:hAnsi="Times New Roman"/>
          <w:color w:val="767171"/>
          <w:spacing w:val="20"/>
          <w:sz w:val="24"/>
          <w:szCs w:val="24"/>
        </w:rPr>
        <w:t>Tarjeta de crédito</w:t>
      </w:r>
      <w:r w:rsidR="002E4487">
        <w:rPr>
          <w:rFonts w:ascii="Times New Roman" w:hAnsi="Times New Roman"/>
          <w:color w:val="767171"/>
          <w:spacing w:val="20"/>
          <w:sz w:val="24"/>
          <w:szCs w:val="24"/>
        </w:rPr>
        <w:t>.</w:t>
      </w:r>
    </w:p>
    <w:p w14:paraId="37263C25" w14:textId="252CDA1B" w:rsidR="00754C7E" w:rsidRPr="001A0DEC" w:rsidRDefault="00754C7E" w:rsidP="00CB4994">
      <w:pPr>
        <w:pStyle w:val="Prrafodelista"/>
        <w:numPr>
          <w:ilvl w:val="0"/>
          <w:numId w:val="17"/>
        </w:numPr>
        <w:spacing w:line="360" w:lineRule="auto"/>
        <w:contextualSpacing w:val="0"/>
        <w:jc w:val="both"/>
        <w:rPr>
          <w:rFonts w:ascii="Times New Roman" w:hAnsi="Times New Roman"/>
          <w:color w:val="767171"/>
          <w:spacing w:val="20"/>
          <w:sz w:val="24"/>
          <w:szCs w:val="24"/>
        </w:rPr>
      </w:pPr>
      <w:r w:rsidRPr="001A0DEC">
        <w:rPr>
          <w:rFonts w:ascii="Times New Roman" w:hAnsi="Times New Roman"/>
          <w:color w:val="767171"/>
          <w:spacing w:val="20"/>
          <w:sz w:val="24"/>
          <w:szCs w:val="24"/>
        </w:rPr>
        <w:t>Auditoría interna</w:t>
      </w:r>
      <w:r w:rsidR="002E4487">
        <w:rPr>
          <w:rFonts w:ascii="Times New Roman" w:hAnsi="Times New Roman"/>
          <w:color w:val="767171"/>
          <w:spacing w:val="20"/>
          <w:sz w:val="24"/>
          <w:szCs w:val="24"/>
        </w:rPr>
        <w:t>.</w:t>
      </w:r>
    </w:p>
    <w:p w14:paraId="50DE38C6" w14:textId="5C8D7CD4" w:rsidR="00754C7E" w:rsidRPr="001A0DEC" w:rsidRDefault="00754C7E" w:rsidP="00CB4994">
      <w:pPr>
        <w:pStyle w:val="Prrafodelista"/>
        <w:numPr>
          <w:ilvl w:val="0"/>
          <w:numId w:val="17"/>
        </w:numPr>
        <w:spacing w:line="360" w:lineRule="auto"/>
        <w:contextualSpacing w:val="0"/>
        <w:jc w:val="both"/>
        <w:rPr>
          <w:rFonts w:ascii="Times New Roman" w:hAnsi="Times New Roman"/>
          <w:color w:val="767171"/>
          <w:spacing w:val="20"/>
          <w:sz w:val="24"/>
          <w:szCs w:val="24"/>
        </w:rPr>
      </w:pPr>
      <w:r w:rsidRPr="001A0DEC">
        <w:rPr>
          <w:rFonts w:ascii="Times New Roman" w:hAnsi="Times New Roman"/>
          <w:color w:val="767171"/>
          <w:spacing w:val="20"/>
          <w:sz w:val="24"/>
          <w:szCs w:val="24"/>
        </w:rPr>
        <w:t>Gestión de riesgos</w:t>
      </w:r>
      <w:r w:rsidR="00654FEC">
        <w:rPr>
          <w:rFonts w:ascii="Times New Roman" w:hAnsi="Times New Roman"/>
          <w:color w:val="767171"/>
          <w:spacing w:val="20"/>
          <w:sz w:val="24"/>
          <w:szCs w:val="24"/>
        </w:rPr>
        <w:t>.</w:t>
      </w:r>
    </w:p>
    <w:p w14:paraId="7834DBE4" w14:textId="3AFAB220" w:rsidR="00754C7E" w:rsidRPr="001A0DEC" w:rsidRDefault="00754C7E" w:rsidP="00CB4994">
      <w:pPr>
        <w:pStyle w:val="Prrafodelista"/>
        <w:numPr>
          <w:ilvl w:val="0"/>
          <w:numId w:val="17"/>
        </w:numPr>
        <w:spacing w:line="360" w:lineRule="auto"/>
        <w:contextualSpacing w:val="0"/>
        <w:jc w:val="both"/>
        <w:rPr>
          <w:rFonts w:ascii="Times New Roman" w:hAnsi="Times New Roman"/>
          <w:color w:val="767171"/>
          <w:spacing w:val="20"/>
          <w:sz w:val="24"/>
          <w:szCs w:val="24"/>
        </w:rPr>
      </w:pPr>
      <w:r w:rsidRPr="001A0DEC">
        <w:rPr>
          <w:rFonts w:ascii="Times New Roman" w:hAnsi="Times New Roman"/>
          <w:color w:val="767171"/>
          <w:spacing w:val="20"/>
          <w:sz w:val="24"/>
          <w:szCs w:val="24"/>
        </w:rPr>
        <w:t>Análisis financiero</w:t>
      </w:r>
      <w:r w:rsidR="00654FEC">
        <w:rPr>
          <w:rFonts w:ascii="Times New Roman" w:hAnsi="Times New Roman"/>
          <w:color w:val="767171"/>
          <w:spacing w:val="20"/>
          <w:sz w:val="24"/>
          <w:szCs w:val="24"/>
        </w:rPr>
        <w:t>.</w:t>
      </w:r>
    </w:p>
    <w:p w14:paraId="1EE4C379" w14:textId="3E9038B0" w:rsidR="00754C7E" w:rsidRPr="001A0DEC" w:rsidRDefault="00754C7E" w:rsidP="00CB4994">
      <w:pPr>
        <w:pStyle w:val="Prrafodelista"/>
        <w:numPr>
          <w:ilvl w:val="0"/>
          <w:numId w:val="17"/>
        </w:numPr>
        <w:spacing w:line="360" w:lineRule="auto"/>
        <w:contextualSpacing w:val="0"/>
        <w:jc w:val="both"/>
        <w:rPr>
          <w:rFonts w:ascii="Times New Roman" w:hAnsi="Times New Roman"/>
          <w:color w:val="767171"/>
          <w:spacing w:val="20"/>
          <w:sz w:val="24"/>
          <w:szCs w:val="24"/>
        </w:rPr>
      </w:pPr>
      <w:r w:rsidRPr="001A0DEC">
        <w:rPr>
          <w:rFonts w:ascii="Times New Roman" w:hAnsi="Times New Roman"/>
          <w:color w:val="767171"/>
          <w:spacing w:val="20"/>
          <w:sz w:val="24"/>
          <w:szCs w:val="24"/>
        </w:rPr>
        <w:t>Adecuación patrimonial</w:t>
      </w:r>
      <w:r w:rsidR="00654FEC">
        <w:rPr>
          <w:rFonts w:ascii="Times New Roman" w:hAnsi="Times New Roman"/>
          <w:color w:val="767171"/>
          <w:spacing w:val="20"/>
          <w:sz w:val="24"/>
          <w:szCs w:val="24"/>
        </w:rPr>
        <w:t>.</w:t>
      </w:r>
    </w:p>
    <w:p w14:paraId="492BC65C" w14:textId="3DDB8138" w:rsidR="00754C7E" w:rsidRPr="001A0DEC" w:rsidRDefault="00754C7E" w:rsidP="00CB4994">
      <w:pPr>
        <w:pStyle w:val="Prrafodelista"/>
        <w:numPr>
          <w:ilvl w:val="0"/>
          <w:numId w:val="17"/>
        </w:numPr>
        <w:spacing w:line="360" w:lineRule="auto"/>
        <w:contextualSpacing w:val="0"/>
        <w:jc w:val="both"/>
        <w:rPr>
          <w:rFonts w:ascii="Times New Roman" w:hAnsi="Times New Roman"/>
          <w:color w:val="767171"/>
          <w:spacing w:val="20"/>
          <w:sz w:val="24"/>
          <w:szCs w:val="24"/>
        </w:rPr>
      </w:pPr>
      <w:r w:rsidRPr="001A0DEC">
        <w:rPr>
          <w:rFonts w:ascii="Times New Roman" w:hAnsi="Times New Roman"/>
          <w:color w:val="767171"/>
          <w:spacing w:val="20"/>
          <w:sz w:val="24"/>
          <w:szCs w:val="24"/>
        </w:rPr>
        <w:t>Evaluación de las utilidades</w:t>
      </w:r>
      <w:r w:rsidR="00654FEC">
        <w:rPr>
          <w:rFonts w:ascii="Times New Roman" w:hAnsi="Times New Roman"/>
          <w:color w:val="767171"/>
          <w:spacing w:val="20"/>
          <w:sz w:val="24"/>
          <w:szCs w:val="24"/>
        </w:rPr>
        <w:t>.</w:t>
      </w:r>
    </w:p>
    <w:p w14:paraId="2F658340" w14:textId="28F90D8C" w:rsidR="00754C7E" w:rsidRPr="001A0DEC" w:rsidRDefault="00754C7E" w:rsidP="00CB4994">
      <w:pPr>
        <w:pStyle w:val="Prrafodelista"/>
        <w:numPr>
          <w:ilvl w:val="0"/>
          <w:numId w:val="17"/>
        </w:numPr>
        <w:spacing w:line="360" w:lineRule="auto"/>
        <w:contextualSpacing w:val="0"/>
        <w:jc w:val="both"/>
        <w:rPr>
          <w:rFonts w:ascii="Times New Roman" w:hAnsi="Times New Roman"/>
          <w:color w:val="767171"/>
          <w:spacing w:val="20"/>
          <w:sz w:val="24"/>
          <w:szCs w:val="24"/>
        </w:rPr>
      </w:pPr>
      <w:r w:rsidRPr="001A0DEC">
        <w:rPr>
          <w:rFonts w:ascii="Times New Roman" w:hAnsi="Times New Roman"/>
          <w:color w:val="767171"/>
          <w:spacing w:val="20"/>
          <w:sz w:val="24"/>
          <w:szCs w:val="24"/>
        </w:rPr>
        <w:lastRenderedPageBreak/>
        <w:t>Riesgo operacional</w:t>
      </w:r>
      <w:r w:rsidR="00654FEC">
        <w:rPr>
          <w:rFonts w:ascii="Times New Roman" w:hAnsi="Times New Roman"/>
          <w:color w:val="767171"/>
          <w:spacing w:val="20"/>
          <w:sz w:val="24"/>
          <w:szCs w:val="24"/>
        </w:rPr>
        <w:t>.</w:t>
      </w:r>
    </w:p>
    <w:p w14:paraId="2ABBE779" w14:textId="0BDF0A7A" w:rsidR="00B245B1" w:rsidRPr="0010269A" w:rsidRDefault="00754C7E" w:rsidP="00CB4994">
      <w:pPr>
        <w:pStyle w:val="Prrafodelista"/>
        <w:numPr>
          <w:ilvl w:val="0"/>
          <w:numId w:val="17"/>
        </w:numPr>
        <w:spacing w:line="360" w:lineRule="auto"/>
        <w:contextualSpacing w:val="0"/>
        <w:jc w:val="both"/>
        <w:rPr>
          <w:rFonts w:ascii="Times New Roman" w:hAnsi="Times New Roman"/>
          <w:color w:val="767171"/>
          <w:spacing w:val="20"/>
          <w:sz w:val="24"/>
          <w:szCs w:val="24"/>
        </w:rPr>
      </w:pPr>
      <w:r w:rsidRPr="001A0DEC">
        <w:rPr>
          <w:rFonts w:ascii="Times New Roman" w:hAnsi="Times New Roman"/>
          <w:color w:val="767171"/>
          <w:spacing w:val="20"/>
          <w:sz w:val="24"/>
          <w:szCs w:val="24"/>
        </w:rPr>
        <w:t>Plataforma tecnológica y aspectos relacionados a la protección de los derechos de los usuarios de los productos y servicios.</w:t>
      </w:r>
    </w:p>
    <w:p w14:paraId="35A4C7B4" w14:textId="4612A297" w:rsidR="00B245B1" w:rsidRPr="00B245B1" w:rsidRDefault="00B245B1" w:rsidP="006B204A">
      <w:pPr>
        <w:spacing w:line="360" w:lineRule="auto"/>
        <w:ind w:left="360"/>
        <w:jc w:val="center"/>
        <w:rPr>
          <w:b/>
          <w:bCs/>
          <w:lang w:val="es-DO"/>
        </w:rPr>
      </w:pPr>
      <w:r w:rsidRPr="00B245B1">
        <w:rPr>
          <w:b/>
          <w:lang w:val="es-DO"/>
        </w:rPr>
        <w:t xml:space="preserve">Tabla </w:t>
      </w:r>
      <w:r w:rsidR="00482BC0">
        <w:rPr>
          <w:b/>
          <w:lang w:val="es-DO"/>
        </w:rPr>
        <w:t>2</w:t>
      </w:r>
      <w:r w:rsidRPr="00B245B1">
        <w:rPr>
          <w:b/>
          <w:lang w:val="es-DO"/>
        </w:rPr>
        <w:t xml:space="preserve">. </w:t>
      </w:r>
      <w:r w:rsidRPr="00B245B1">
        <w:rPr>
          <w:b/>
          <w:bCs/>
          <w:lang w:val="es-DO"/>
        </w:rPr>
        <w:t>Inspecciones realizadas a entidades de intermediación financiera por tipo de entidad.</w:t>
      </w:r>
    </w:p>
    <w:tbl>
      <w:tblPr>
        <w:tblW w:w="7376" w:type="dxa"/>
        <w:jc w:val="center"/>
        <w:tblCellMar>
          <w:top w:w="15" w:type="dxa"/>
          <w:left w:w="70" w:type="dxa"/>
          <w:bottom w:w="15" w:type="dxa"/>
          <w:right w:w="70" w:type="dxa"/>
        </w:tblCellMar>
        <w:tblLook w:val="04A0" w:firstRow="1" w:lastRow="0" w:firstColumn="1" w:lastColumn="0" w:noHBand="0" w:noVBand="1"/>
      </w:tblPr>
      <w:tblGrid>
        <w:gridCol w:w="5146"/>
        <w:gridCol w:w="2230"/>
      </w:tblGrid>
      <w:tr w:rsidR="00B245B1" w:rsidRPr="00B245B1" w14:paraId="2BD1C475" w14:textId="77777777" w:rsidTr="00C539DA">
        <w:trPr>
          <w:trHeight w:val="298"/>
          <w:jc w:val="center"/>
        </w:trPr>
        <w:tc>
          <w:tcPr>
            <w:tcW w:w="5146" w:type="dxa"/>
            <w:tcBorders>
              <w:top w:val="single" w:sz="8" w:space="0" w:color="auto"/>
              <w:left w:val="single" w:sz="8" w:space="0" w:color="auto"/>
              <w:bottom w:val="single" w:sz="8" w:space="0" w:color="auto"/>
              <w:right w:val="single" w:sz="8" w:space="0" w:color="000000"/>
            </w:tcBorders>
            <w:shd w:val="clear" w:color="auto" w:fill="011C50"/>
            <w:noWrap/>
            <w:vAlign w:val="center"/>
            <w:hideMark/>
          </w:tcPr>
          <w:p w14:paraId="0D8E11B8" w14:textId="77777777" w:rsidR="00B245B1" w:rsidRPr="00B245B1" w:rsidRDefault="00B245B1" w:rsidP="006B204A">
            <w:pPr>
              <w:spacing w:after="0" w:line="360" w:lineRule="auto"/>
              <w:rPr>
                <w:b/>
                <w:bCs/>
                <w:color w:val="FFFFFF"/>
                <w:lang w:val="es-DO"/>
              </w:rPr>
            </w:pPr>
            <w:r w:rsidRPr="00B245B1">
              <w:rPr>
                <w:b/>
                <w:bCs/>
                <w:color w:val="FFFFFF"/>
                <w:lang w:val="es-DO"/>
              </w:rPr>
              <w:t>Tipo de Entidad</w:t>
            </w:r>
          </w:p>
        </w:tc>
        <w:tc>
          <w:tcPr>
            <w:tcW w:w="2230" w:type="dxa"/>
            <w:tcBorders>
              <w:top w:val="single" w:sz="8" w:space="0" w:color="auto"/>
              <w:left w:val="single" w:sz="8" w:space="0" w:color="auto"/>
              <w:bottom w:val="single" w:sz="8" w:space="0" w:color="auto"/>
              <w:right w:val="single" w:sz="8" w:space="0" w:color="000000"/>
            </w:tcBorders>
            <w:shd w:val="clear" w:color="auto" w:fill="011C50"/>
            <w:noWrap/>
            <w:vAlign w:val="bottom"/>
            <w:hideMark/>
          </w:tcPr>
          <w:p w14:paraId="1E4A84B5" w14:textId="77777777" w:rsidR="00B245B1" w:rsidRPr="00B245B1" w:rsidRDefault="00B245B1" w:rsidP="006B204A">
            <w:pPr>
              <w:spacing w:after="0" w:line="360" w:lineRule="auto"/>
              <w:jc w:val="center"/>
              <w:rPr>
                <w:b/>
                <w:bCs/>
                <w:color w:val="FFFFFF"/>
                <w:lang w:val="es-DO"/>
              </w:rPr>
            </w:pPr>
            <w:r w:rsidRPr="00B245B1">
              <w:rPr>
                <w:b/>
                <w:bCs/>
                <w:color w:val="FFFFFF"/>
                <w:lang w:val="es-DO"/>
              </w:rPr>
              <w:t>Cantidad de Inspecciones</w:t>
            </w:r>
          </w:p>
        </w:tc>
      </w:tr>
      <w:tr w:rsidR="00B245B1" w:rsidRPr="00B245B1" w14:paraId="1485A041" w14:textId="77777777" w:rsidTr="00156B19">
        <w:trPr>
          <w:trHeight w:val="298"/>
          <w:jc w:val="center"/>
        </w:trPr>
        <w:tc>
          <w:tcPr>
            <w:tcW w:w="5146" w:type="dxa"/>
            <w:tcBorders>
              <w:top w:val="single" w:sz="4" w:space="0" w:color="auto"/>
              <w:left w:val="single" w:sz="4" w:space="0" w:color="auto"/>
              <w:bottom w:val="single" w:sz="4" w:space="0" w:color="auto"/>
              <w:right w:val="single" w:sz="4" w:space="0" w:color="auto"/>
            </w:tcBorders>
            <w:noWrap/>
            <w:vAlign w:val="bottom"/>
            <w:hideMark/>
          </w:tcPr>
          <w:p w14:paraId="296A98E4" w14:textId="77777777" w:rsidR="00B245B1" w:rsidRPr="00B245B1" w:rsidRDefault="00B245B1" w:rsidP="006B204A">
            <w:pPr>
              <w:spacing w:after="0" w:line="360" w:lineRule="auto"/>
              <w:rPr>
                <w:b/>
                <w:bCs/>
                <w:lang w:val="es-DO"/>
              </w:rPr>
            </w:pPr>
            <w:r w:rsidRPr="00B245B1">
              <w:rPr>
                <w:b/>
                <w:bCs/>
                <w:lang w:val="es-DO"/>
              </w:rPr>
              <w:t>Bancos Múltiples</w:t>
            </w:r>
          </w:p>
        </w:tc>
        <w:tc>
          <w:tcPr>
            <w:tcW w:w="2230" w:type="dxa"/>
            <w:tcBorders>
              <w:top w:val="single" w:sz="4" w:space="0" w:color="auto"/>
              <w:left w:val="nil"/>
              <w:bottom w:val="single" w:sz="4" w:space="0" w:color="auto"/>
              <w:right w:val="single" w:sz="4" w:space="0" w:color="auto"/>
            </w:tcBorders>
            <w:noWrap/>
            <w:vAlign w:val="bottom"/>
            <w:hideMark/>
          </w:tcPr>
          <w:p w14:paraId="79783B3E" w14:textId="77777777" w:rsidR="00B245B1" w:rsidRPr="00B245B1" w:rsidRDefault="00B245B1" w:rsidP="006B204A">
            <w:pPr>
              <w:spacing w:after="0" w:line="360" w:lineRule="auto"/>
              <w:jc w:val="center"/>
              <w:rPr>
                <w:lang w:val="es-DO"/>
              </w:rPr>
            </w:pPr>
            <w:r w:rsidRPr="00B245B1">
              <w:rPr>
                <w:lang w:val="es-DO"/>
              </w:rPr>
              <w:t>21</w:t>
            </w:r>
          </w:p>
        </w:tc>
      </w:tr>
      <w:tr w:rsidR="00B245B1" w:rsidRPr="00B245B1" w14:paraId="0F1D1130" w14:textId="77777777" w:rsidTr="00156B19">
        <w:trPr>
          <w:trHeight w:val="298"/>
          <w:jc w:val="center"/>
        </w:trPr>
        <w:tc>
          <w:tcPr>
            <w:tcW w:w="5146" w:type="dxa"/>
            <w:tcBorders>
              <w:top w:val="nil"/>
              <w:left w:val="single" w:sz="4" w:space="0" w:color="auto"/>
              <w:bottom w:val="single" w:sz="4" w:space="0" w:color="auto"/>
              <w:right w:val="single" w:sz="4" w:space="0" w:color="auto"/>
            </w:tcBorders>
            <w:noWrap/>
            <w:vAlign w:val="bottom"/>
          </w:tcPr>
          <w:p w14:paraId="65619249" w14:textId="77777777" w:rsidR="00B245B1" w:rsidRPr="00B245B1" w:rsidRDefault="00B245B1" w:rsidP="006B204A">
            <w:pPr>
              <w:spacing w:after="0" w:line="360" w:lineRule="auto"/>
              <w:rPr>
                <w:b/>
                <w:bCs/>
                <w:lang w:val="es-DO"/>
              </w:rPr>
            </w:pPr>
            <w:r w:rsidRPr="00B245B1">
              <w:rPr>
                <w:b/>
                <w:bCs/>
                <w:lang w:val="es-DO"/>
              </w:rPr>
              <w:t>Asociaciones de Ahorros y Préstamos</w:t>
            </w:r>
          </w:p>
        </w:tc>
        <w:tc>
          <w:tcPr>
            <w:tcW w:w="2230" w:type="dxa"/>
            <w:tcBorders>
              <w:top w:val="nil"/>
              <w:left w:val="nil"/>
              <w:bottom w:val="single" w:sz="4" w:space="0" w:color="auto"/>
              <w:right w:val="single" w:sz="4" w:space="0" w:color="auto"/>
            </w:tcBorders>
            <w:noWrap/>
            <w:vAlign w:val="bottom"/>
          </w:tcPr>
          <w:p w14:paraId="6B35EEF5" w14:textId="77777777" w:rsidR="00B245B1" w:rsidRPr="00B245B1" w:rsidRDefault="00B245B1" w:rsidP="006B204A">
            <w:pPr>
              <w:spacing w:after="0" w:line="360" w:lineRule="auto"/>
              <w:jc w:val="center"/>
              <w:rPr>
                <w:lang w:val="es-DO"/>
              </w:rPr>
            </w:pPr>
            <w:r w:rsidRPr="00B245B1">
              <w:rPr>
                <w:lang w:val="es-DO"/>
              </w:rPr>
              <w:t>9</w:t>
            </w:r>
          </w:p>
        </w:tc>
      </w:tr>
      <w:tr w:rsidR="00B245B1" w:rsidRPr="00B245B1" w14:paraId="4888C3B1" w14:textId="77777777" w:rsidTr="00156B19">
        <w:trPr>
          <w:trHeight w:val="298"/>
          <w:jc w:val="center"/>
        </w:trPr>
        <w:tc>
          <w:tcPr>
            <w:tcW w:w="5146" w:type="dxa"/>
            <w:tcBorders>
              <w:top w:val="nil"/>
              <w:left w:val="single" w:sz="4" w:space="0" w:color="auto"/>
              <w:bottom w:val="single" w:sz="4" w:space="0" w:color="auto"/>
              <w:right w:val="single" w:sz="4" w:space="0" w:color="auto"/>
            </w:tcBorders>
            <w:noWrap/>
            <w:vAlign w:val="bottom"/>
            <w:hideMark/>
          </w:tcPr>
          <w:p w14:paraId="69290C5E" w14:textId="77777777" w:rsidR="00B245B1" w:rsidRPr="00B245B1" w:rsidRDefault="00B245B1" w:rsidP="006B204A">
            <w:pPr>
              <w:spacing w:after="0" w:line="360" w:lineRule="auto"/>
              <w:rPr>
                <w:b/>
                <w:bCs/>
                <w:lang w:val="es-DO"/>
              </w:rPr>
            </w:pPr>
            <w:r w:rsidRPr="00B245B1">
              <w:rPr>
                <w:b/>
                <w:bCs/>
                <w:lang w:val="es-DO"/>
              </w:rPr>
              <w:t>Bancos de Ahorro y Crédito</w:t>
            </w:r>
          </w:p>
        </w:tc>
        <w:tc>
          <w:tcPr>
            <w:tcW w:w="2230" w:type="dxa"/>
            <w:tcBorders>
              <w:top w:val="nil"/>
              <w:left w:val="nil"/>
              <w:bottom w:val="single" w:sz="4" w:space="0" w:color="auto"/>
              <w:right w:val="single" w:sz="4" w:space="0" w:color="auto"/>
            </w:tcBorders>
            <w:noWrap/>
            <w:vAlign w:val="bottom"/>
            <w:hideMark/>
          </w:tcPr>
          <w:p w14:paraId="66CC593F" w14:textId="77777777" w:rsidR="00B245B1" w:rsidRPr="00B245B1" w:rsidRDefault="00B245B1" w:rsidP="006B204A">
            <w:pPr>
              <w:spacing w:after="0" w:line="360" w:lineRule="auto"/>
              <w:jc w:val="center"/>
              <w:rPr>
                <w:lang w:val="es-DO"/>
              </w:rPr>
            </w:pPr>
            <w:r w:rsidRPr="00B245B1">
              <w:rPr>
                <w:lang w:val="es-DO"/>
              </w:rPr>
              <w:t>14</w:t>
            </w:r>
          </w:p>
        </w:tc>
      </w:tr>
      <w:tr w:rsidR="00B245B1" w:rsidRPr="00B245B1" w14:paraId="0B060B90" w14:textId="77777777" w:rsidTr="00156B19">
        <w:trPr>
          <w:trHeight w:val="298"/>
          <w:jc w:val="center"/>
        </w:trPr>
        <w:tc>
          <w:tcPr>
            <w:tcW w:w="5146" w:type="dxa"/>
            <w:tcBorders>
              <w:top w:val="nil"/>
              <w:left w:val="single" w:sz="4" w:space="0" w:color="auto"/>
              <w:bottom w:val="single" w:sz="4" w:space="0" w:color="auto"/>
              <w:right w:val="single" w:sz="4" w:space="0" w:color="auto"/>
            </w:tcBorders>
            <w:noWrap/>
            <w:vAlign w:val="bottom"/>
            <w:hideMark/>
          </w:tcPr>
          <w:p w14:paraId="41C8362A" w14:textId="77777777" w:rsidR="00B245B1" w:rsidRPr="00B245B1" w:rsidRDefault="00B245B1" w:rsidP="006B204A">
            <w:pPr>
              <w:spacing w:after="0" w:line="360" w:lineRule="auto"/>
              <w:rPr>
                <w:b/>
                <w:bCs/>
                <w:lang w:val="es-DO"/>
              </w:rPr>
            </w:pPr>
            <w:r w:rsidRPr="00B245B1">
              <w:rPr>
                <w:b/>
                <w:bCs/>
                <w:lang w:val="es-DO"/>
              </w:rPr>
              <w:t>Corporaciones Crédito</w:t>
            </w:r>
          </w:p>
        </w:tc>
        <w:tc>
          <w:tcPr>
            <w:tcW w:w="2230" w:type="dxa"/>
            <w:tcBorders>
              <w:top w:val="nil"/>
              <w:left w:val="nil"/>
              <w:bottom w:val="single" w:sz="4" w:space="0" w:color="auto"/>
              <w:right w:val="single" w:sz="4" w:space="0" w:color="auto"/>
            </w:tcBorders>
            <w:noWrap/>
            <w:vAlign w:val="bottom"/>
            <w:hideMark/>
          </w:tcPr>
          <w:p w14:paraId="38D2D36F" w14:textId="77777777" w:rsidR="00B245B1" w:rsidRPr="00B245B1" w:rsidRDefault="00B245B1" w:rsidP="006B204A">
            <w:pPr>
              <w:spacing w:after="0" w:line="360" w:lineRule="auto"/>
              <w:jc w:val="center"/>
              <w:rPr>
                <w:lang w:val="es-DO"/>
              </w:rPr>
            </w:pPr>
            <w:r w:rsidRPr="00B245B1">
              <w:rPr>
                <w:lang w:val="es-DO"/>
              </w:rPr>
              <w:t>4</w:t>
            </w:r>
          </w:p>
        </w:tc>
      </w:tr>
      <w:tr w:rsidR="00B245B1" w:rsidRPr="00B245B1" w14:paraId="3D7C0B8D" w14:textId="77777777" w:rsidTr="00156B19">
        <w:trPr>
          <w:trHeight w:val="298"/>
          <w:jc w:val="center"/>
        </w:trPr>
        <w:tc>
          <w:tcPr>
            <w:tcW w:w="5146" w:type="dxa"/>
            <w:tcBorders>
              <w:top w:val="nil"/>
              <w:left w:val="single" w:sz="4" w:space="0" w:color="auto"/>
              <w:bottom w:val="single" w:sz="4" w:space="0" w:color="auto"/>
              <w:right w:val="single" w:sz="4" w:space="0" w:color="auto"/>
            </w:tcBorders>
            <w:noWrap/>
            <w:vAlign w:val="bottom"/>
          </w:tcPr>
          <w:p w14:paraId="01F65CAC" w14:textId="77777777" w:rsidR="00B245B1" w:rsidRPr="00B245B1" w:rsidRDefault="00B245B1" w:rsidP="006B204A">
            <w:pPr>
              <w:spacing w:after="0" w:line="360" w:lineRule="auto"/>
              <w:rPr>
                <w:b/>
                <w:bCs/>
                <w:lang w:val="es-DO"/>
              </w:rPr>
            </w:pPr>
            <w:r w:rsidRPr="00B245B1">
              <w:rPr>
                <w:b/>
                <w:bCs/>
                <w:lang w:val="es-DO"/>
              </w:rPr>
              <w:t>Entidades Estatales</w:t>
            </w:r>
          </w:p>
        </w:tc>
        <w:tc>
          <w:tcPr>
            <w:tcW w:w="2230" w:type="dxa"/>
            <w:tcBorders>
              <w:top w:val="nil"/>
              <w:left w:val="nil"/>
              <w:bottom w:val="single" w:sz="4" w:space="0" w:color="auto"/>
              <w:right w:val="single" w:sz="4" w:space="0" w:color="auto"/>
            </w:tcBorders>
            <w:noWrap/>
            <w:vAlign w:val="bottom"/>
          </w:tcPr>
          <w:p w14:paraId="634DDF4A" w14:textId="77777777" w:rsidR="00B245B1" w:rsidRPr="00B245B1" w:rsidRDefault="00B245B1" w:rsidP="006B204A">
            <w:pPr>
              <w:spacing w:after="0" w:line="360" w:lineRule="auto"/>
              <w:jc w:val="center"/>
              <w:rPr>
                <w:lang w:val="es-DO"/>
              </w:rPr>
            </w:pPr>
            <w:r w:rsidRPr="00B245B1">
              <w:rPr>
                <w:lang w:val="es-DO"/>
              </w:rPr>
              <w:t>2</w:t>
            </w:r>
          </w:p>
        </w:tc>
      </w:tr>
      <w:tr w:rsidR="00B245B1" w:rsidRPr="00B245B1" w14:paraId="44B92320" w14:textId="77777777" w:rsidTr="00156B19">
        <w:trPr>
          <w:trHeight w:val="298"/>
          <w:jc w:val="center"/>
        </w:trPr>
        <w:tc>
          <w:tcPr>
            <w:tcW w:w="5146" w:type="dxa"/>
            <w:tcBorders>
              <w:top w:val="nil"/>
              <w:left w:val="single" w:sz="4" w:space="0" w:color="auto"/>
              <w:bottom w:val="single" w:sz="4" w:space="0" w:color="auto"/>
              <w:right w:val="single" w:sz="4" w:space="0" w:color="auto"/>
            </w:tcBorders>
            <w:noWrap/>
            <w:vAlign w:val="bottom"/>
            <w:hideMark/>
          </w:tcPr>
          <w:p w14:paraId="5AD3FFC1" w14:textId="77777777" w:rsidR="00B245B1" w:rsidRPr="00B245B1" w:rsidRDefault="00B245B1" w:rsidP="006B204A">
            <w:pPr>
              <w:spacing w:after="0" w:line="360" w:lineRule="auto"/>
              <w:rPr>
                <w:b/>
                <w:bCs/>
                <w:lang w:val="es-DO"/>
              </w:rPr>
            </w:pPr>
            <w:r w:rsidRPr="00B245B1">
              <w:rPr>
                <w:b/>
                <w:bCs/>
                <w:lang w:val="es-DO"/>
              </w:rPr>
              <w:t>Agentes de Remesas y Cambio</w:t>
            </w:r>
          </w:p>
        </w:tc>
        <w:tc>
          <w:tcPr>
            <w:tcW w:w="2230" w:type="dxa"/>
            <w:tcBorders>
              <w:top w:val="nil"/>
              <w:left w:val="nil"/>
              <w:bottom w:val="single" w:sz="4" w:space="0" w:color="auto"/>
              <w:right w:val="single" w:sz="4" w:space="0" w:color="auto"/>
            </w:tcBorders>
            <w:noWrap/>
            <w:vAlign w:val="bottom"/>
            <w:hideMark/>
          </w:tcPr>
          <w:p w14:paraId="12077FA9" w14:textId="77777777" w:rsidR="00B245B1" w:rsidRPr="00B245B1" w:rsidRDefault="00B245B1" w:rsidP="006B204A">
            <w:pPr>
              <w:spacing w:after="0" w:line="360" w:lineRule="auto"/>
              <w:jc w:val="center"/>
              <w:rPr>
                <w:lang w:val="es-DO"/>
              </w:rPr>
            </w:pPr>
            <w:r w:rsidRPr="00B245B1">
              <w:rPr>
                <w:lang w:val="es-DO"/>
              </w:rPr>
              <w:t>18</w:t>
            </w:r>
          </w:p>
        </w:tc>
      </w:tr>
      <w:tr w:rsidR="00B245B1" w:rsidRPr="00B245B1" w14:paraId="247A12B5" w14:textId="77777777" w:rsidTr="00AD7CB3">
        <w:trPr>
          <w:trHeight w:val="298"/>
          <w:jc w:val="center"/>
        </w:trPr>
        <w:tc>
          <w:tcPr>
            <w:tcW w:w="5146" w:type="dxa"/>
            <w:tcBorders>
              <w:top w:val="nil"/>
              <w:left w:val="single" w:sz="4" w:space="0" w:color="auto"/>
              <w:bottom w:val="single" w:sz="4" w:space="0" w:color="auto"/>
              <w:right w:val="single" w:sz="4" w:space="0" w:color="auto"/>
            </w:tcBorders>
            <w:shd w:val="clear" w:color="auto" w:fill="011C50"/>
            <w:noWrap/>
            <w:vAlign w:val="center"/>
          </w:tcPr>
          <w:p w14:paraId="0D856D54" w14:textId="4C1F3B04" w:rsidR="00B245B1" w:rsidRPr="00B245B1" w:rsidRDefault="00B245B1" w:rsidP="006B204A">
            <w:pPr>
              <w:spacing w:after="0" w:line="360" w:lineRule="auto"/>
              <w:rPr>
                <w:b/>
                <w:bCs/>
                <w:color w:val="FFFFFF"/>
                <w:lang w:val="es-DO"/>
              </w:rPr>
            </w:pPr>
            <w:proofErr w:type="gramStart"/>
            <w:r w:rsidRPr="00B245B1">
              <w:rPr>
                <w:b/>
                <w:bCs/>
                <w:color w:val="FFFFFF"/>
                <w:lang w:val="es-DO"/>
              </w:rPr>
              <w:t>Total</w:t>
            </w:r>
            <w:proofErr w:type="gramEnd"/>
            <w:r w:rsidRPr="00B245B1">
              <w:rPr>
                <w:b/>
                <w:bCs/>
                <w:color w:val="FFFFFF"/>
                <w:lang w:val="es-DO"/>
              </w:rPr>
              <w:t xml:space="preserve"> </w:t>
            </w:r>
            <w:r w:rsidR="00A60768">
              <w:rPr>
                <w:b/>
                <w:bCs/>
                <w:color w:val="FFFFFF"/>
                <w:lang w:val="es-DO"/>
              </w:rPr>
              <w:t xml:space="preserve">de </w:t>
            </w:r>
            <w:r w:rsidR="000F69FF">
              <w:rPr>
                <w:b/>
                <w:bCs/>
                <w:color w:val="FFFFFF"/>
                <w:lang w:val="es-DO"/>
              </w:rPr>
              <w:t>i</w:t>
            </w:r>
            <w:r w:rsidRPr="00B245B1">
              <w:rPr>
                <w:b/>
                <w:bCs/>
                <w:color w:val="FFFFFF"/>
                <w:lang w:val="es-DO"/>
              </w:rPr>
              <w:t>nspecciones</w:t>
            </w:r>
          </w:p>
        </w:tc>
        <w:tc>
          <w:tcPr>
            <w:tcW w:w="2230" w:type="dxa"/>
            <w:tcBorders>
              <w:top w:val="nil"/>
              <w:left w:val="nil"/>
              <w:bottom w:val="single" w:sz="4" w:space="0" w:color="auto"/>
              <w:right w:val="single" w:sz="4" w:space="0" w:color="auto"/>
            </w:tcBorders>
            <w:shd w:val="clear" w:color="auto" w:fill="011C50"/>
            <w:noWrap/>
            <w:vAlign w:val="center"/>
          </w:tcPr>
          <w:p w14:paraId="52BFD5CE" w14:textId="77777777" w:rsidR="00B245B1" w:rsidRPr="00B245B1" w:rsidRDefault="00B245B1" w:rsidP="006B204A">
            <w:pPr>
              <w:spacing w:after="0" w:line="360" w:lineRule="auto"/>
              <w:jc w:val="center"/>
              <w:rPr>
                <w:b/>
                <w:bCs/>
                <w:color w:val="FFFFFF"/>
                <w:lang w:val="es-DO"/>
              </w:rPr>
            </w:pPr>
            <w:r w:rsidRPr="00B245B1">
              <w:rPr>
                <w:b/>
                <w:bCs/>
                <w:color w:val="FFFFFF"/>
                <w:lang w:val="es-DO"/>
              </w:rPr>
              <w:t>68</w:t>
            </w:r>
          </w:p>
        </w:tc>
      </w:tr>
    </w:tbl>
    <w:p w14:paraId="213AFC5C" w14:textId="5B4E6B45" w:rsidR="004B1CE5" w:rsidRDefault="004B1CE5" w:rsidP="006B204A">
      <w:pPr>
        <w:spacing w:after="0" w:line="360" w:lineRule="auto"/>
        <w:jc w:val="center"/>
        <w:rPr>
          <w:rFonts w:eastAsia="Calibri"/>
          <w:lang w:val="es-DO"/>
        </w:rPr>
      </w:pPr>
      <w:r w:rsidRPr="00AD7CB3">
        <w:rPr>
          <w:rFonts w:eastAsia="Calibri"/>
          <w:b/>
          <w:bCs/>
          <w:lang w:val="es-DO"/>
        </w:rPr>
        <w:t>Fuente</w:t>
      </w:r>
      <w:r w:rsidRPr="00AD7CB3">
        <w:rPr>
          <w:rFonts w:eastAsia="Calibri"/>
          <w:lang w:val="es-DO"/>
        </w:rPr>
        <w:t xml:space="preserve">: </w:t>
      </w:r>
      <w:r w:rsidR="003C2EF1" w:rsidRPr="00AD7CB3">
        <w:rPr>
          <w:rFonts w:eastAsia="Calibri"/>
          <w:lang w:val="es-DO"/>
        </w:rPr>
        <w:t>Elabo</w:t>
      </w:r>
      <w:r w:rsidR="000F69FF" w:rsidRPr="00AD7CB3">
        <w:rPr>
          <w:rFonts w:eastAsia="Calibri"/>
          <w:lang w:val="es-DO"/>
        </w:rPr>
        <w:t>rado por las d</w:t>
      </w:r>
      <w:r w:rsidRPr="00AD7CB3">
        <w:rPr>
          <w:rFonts w:eastAsia="Calibri"/>
          <w:lang w:val="es-DO"/>
        </w:rPr>
        <w:t>irecciones de Supervisión de entidades de intermediación financiera y cambiarias de la Superintendencia de Bancos.</w:t>
      </w:r>
    </w:p>
    <w:p w14:paraId="29BE5A80" w14:textId="77777777" w:rsidR="006B204A" w:rsidRPr="00AD7CB3" w:rsidRDefault="006B204A" w:rsidP="006B204A">
      <w:pPr>
        <w:spacing w:after="0" w:line="360" w:lineRule="auto"/>
        <w:jc w:val="center"/>
        <w:rPr>
          <w:rFonts w:eastAsia="Calibri"/>
          <w:lang w:val="es-DO"/>
        </w:rPr>
      </w:pPr>
    </w:p>
    <w:p w14:paraId="58DF0B01" w14:textId="626CFF8A" w:rsidR="004B1CE5" w:rsidRDefault="006A31E5" w:rsidP="006B204A">
      <w:pPr>
        <w:spacing w:line="360" w:lineRule="auto"/>
        <w:jc w:val="both"/>
        <w:rPr>
          <w:lang w:val="es-DO"/>
        </w:rPr>
      </w:pPr>
      <w:bookmarkStart w:id="29" w:name="_Toc122435006"/>
      <w:bookmarkStart w:id="30" w:name="_Toc123046911"/>
      <w:r w:rsidRPr="006A31E5">
        <w:rPr>
          <w:lang w:val="es-DO"/>
        </w:rPr>
        <w:t>En materia de supervisión consolidada, se realizaron mesas de trabajo con la Superintendencia de Seguros, la Superintendencia de Pensiones y la Superintendencia del Mercado de Valores, con el objetivo de promover la cooperación y el intercambio de información para una efectiva supervisión de los grupos financieros</w:t>
      </w:r>
      <w:r w:rsidR="0010269A">
        <w:rPr>
          <w:lang w:val="es-DO"/>
        </w:rPr>
        <w:t>.</w:t>
      </w:r>
    </w:p>
    <w:p w14:paraId="3D0B04A3" w14:textId="4AA834C2" w:rsidR="000F05A5" w:rsidRDefault="000F05A5" w:rsidP="006B204A">
      <w:pPr>
        <w:spacing w:line="360" w:lineRule="auto"/>
        <w:jc w:val="both"/>
        <w:rPr>
          <w:rFonts w:eastAsia="Calibri"/>
          <w:lang w:val="es-DO"/>
        </w:rPr>
      </w:pPr>
      <w:r>
        <w:rPr>
          <w:lang w:val="es-DO"/>
        </w:rPr>
        <w:t xml:space="preserve">Para dar cumplimiento a lo establecido en la </w:t>
      </w:r>
      <w:r w:rsidRPr="002F1C34">
        <w:rPr>
          <w:rFonts w:eastAsia="Calibri"/>
          <w:lang w:val="es-ES"/>
        </w:rPr>
        <w:t xml:space="preserve">Ley sobre Fideicomisos Público Núm. </w:t>
      </w:r>
      <w:r>
        <w:rPr>
          <w:rFonts w:eastAsia="Calibri"/>
          <w:lang w:val="es-ES"/>
        </w:rPr>
        <w:t>2</w:t>
      </w:r>
      <w:r w:rsidRPr="002F1C34">
        <w:rPr>
          <w:rFonts w:eastAsia="Calibri"/>
          <w:lang w:val="es-ES"/>
        </w:rPr>
        <w:t>8-23, promulgada por el Poder Ejecutivo en fecha 17 de marzo de 2023</w:t>
      </w:r>
      <w:r w:rsidR="00952397">
        <w:rPr>
          <w:rFonts w:eastAsia="Calibri"/>
          <w:lang w:val="es-ES"/>
        </w:rPr>
        <w:t xml:space="preserve">, se </w:t>
      </w:r>
      <w:r w:rsidR="00FE41E2">
        <w:rPr>
          <w:rFonts w:eastAsia="Calibri"/>
          <w:lang w:val="es-ES"/>
        </w:rPr>
        <w:t xml:space="preserve">creó </w:t>
      </w:r>
      <w:r w:rsidR="00F227F1" w:rsidRPr="00F227F1">
        <w:rPr>
          <w:rFonts w:eastAsia="Calibri"/>
          <w:lang w:val="es-DO"/>
        </w:rPr>
        <w:t xml:space="preserve">el Departamento de Supervisión del </w:t>
      </w:r>
      <w:r w:rsidR="00F227F1" w:rsidRPr="00F227F1">
        <w:rPr>
          <w:rFonts w:eastAsia="Calibri"/>
          <w:lang w:val="es-DO"/>
        </w:rPr>
        <w:lastRenderedPageBreak/>
        <w:t>Mercado Fiduciario, con el objetivo de fortalecer los procedimientos y prácticas de supervisión que impactaran directamente a las entidades que conforman el mercado fiduciario.</w:t>
      </w:r>
    </w:p>
    <w:p w14:paraId="3D84EAB3" w14:textId="77777777" w:rsidR="003F7B26" w:rsidRPr="003F7B26" w:rsidRDefault="003F7B26" w:rsidP="006B204A">
      <w:pPr>
        <w:spacing w:line="360" w:lineRule="auto"/>
        <w:jc w:val="both"/>
        <w:rPr>
          <w:rFonts w:eastAsia="Calibri"/>
          <w:lang w:val="es-DO"/>
        </w:rPr>
      </w:pPr>
      <w:r w:rsidRPr="003F7B26">
        <w:rPr>
          <w:rFonts w:eastAsia="Calibri"/>
          <w:lang w:val="es-DO"/>
        </w:rPr>
        <w:t xml:space="preserve">Como parte de las acciones del eje estratégico que promueve la Estabilidad Financiera y Macro-Prudencial y la implementación del Marco de Supervisión Basado en Riesgos, la Superintendencia de Bancos recibió la asistencia técnica del Toronto Centre (TC) con el fin de robustecer el Marco y las prácticas de supervisión. Entre las actividades concluidas con dicho organismo se destacan: </w:t>
      </w:r>
    </w:p>
    <w:p w14:paraId="2F2C9983" w14:textId="7E3BAED8" w:rsidR="003F7B26" w:rsidRPr="003F7B26" w:rsidRDefault="003F7B26" w:rsidP="00CB4994">
      <w:pPr>
        <w:pStyle w:val="Prrafodelista"/>
        <w:numPr>
          <w:ilvl w:val="0"/>
          <w:numId w:val="18"/>
        </w:numPr>
        <w:spacing w:line="360" w:lineRule="auto"/>
        <w:ind w:left="643"/>
        <w:contextualSpacing w:val="0"/>
        <w:jc w:val="both"/>
        <w:rPr>
          <w:rFonts w:ascii="Times New Roman" w:hAnsi="Times New Roman"/>
          <w:color w:val="767171"/>
          <w:spacing w:val="20"/>
          <w:sz w:val="24"/>
          <w:szCs w:val="24"/>
        </w:rPr>
      </w:pPr>
      <w:r w:rsidRPr="003F7B26">
        <w:rPr>
          <w:rFonts w:ascii="Times New Roman" w:hAnsi="Times New Roman"/>
          <w:color w:val="767171"/>
          <w:spacing w:val="20"/>
          <w:sz w:val="24"/>
          <w:szCs w:val="24"/>
        </w:rPr>
        <w:t>Desarrollo de estrategia de capacitación para nivelar el conocimiento sobre SBR en los supervisores</w:t>
      </w:r>
      <w:r w:rsidR="006204B1">
        <w:rPr>
          <w:rFonts w:ascii="Times New Roman" w:hAnsi="Times New Roman"/>
          <w:color w:val="767171"/>
          <w:spacing w:val="20"/>
          <w:sz w:val="24"/>
          <w:szCs w:val="24"/>
        </w:rPr>
        <w:t>.</w:t>
      </w:r>
    </w:p>
    <w:p w14:paraId="5D0A112D" w14:textId="36FE042D" w:rsidR="003F7B26" w:rsidRPr="003F7B26" w:rsidRDefault="003F7B26" w:rsidP="00CB4994">
      <w:pPr>
        <w:pStyle w:val="Prrafodelista"/>
        <w:numPr>
          <w:ilvl w:val="0"/>
          <w:numId w:val="18"/>
        </w:numPr>
        <w:spacing w:line="360" w:lineRule="auto"/>
        <w:ind w:left="643"/>
        <w:contextualSpacing w:val="0"/>
        <w:jc w:val="both"/>
        <w:rPr>
          <w:rFonts w:ascii="Times New Roman" w:hAnsi="Times New Roman"/>
          <w:color w:val="767171"/>
          <w:spacing w:val="20"/>
          <w:sz w:val="24"/>
          <w:szCs w:val="24"/>
        </w:rPr>
      </w:pPr>
      <w:r w:rsidRPr="003F7B26">
        <w:rPr>
          <w:rFonts w:ascii="Times New Roman" w:hAnsi="Times New Roman"/>
          <w:color w:val="767171"/>
          <w:spacing w:val="20"/>
          <w:sz w:val="24"/>
          <w:szCs w:val="24"/>
        </w:rPr>
        <w:t>Revisión de los criterios de evaluación y guías de las funciones de control de gestión de riesgos (FCGR)</w:t>
      </w:r>
      <w:r w:rsidR="006204B1">
        <w:rPr>
          <w:rFonts w:ascii="Times New Roman" w:hAnsi="Times New Roman"/>
          <w:color w:val="767171"/>
          <w:spacing w:val="20"/>
          <w:sz w:val="24"/>
          <w:szCs w:val="24"/>
        </w:rPr>
        <w:t>.</w:t>
      </w:r>
    </w:p>
    <w:p w14:paraId="6641DC56" w14:textId="2626ADF5" w:rsidR="003F7B26" w:rsidRPr="003F7B26" w:rsidRDefault="003F7B26" w:rsidP="00CB4994">
      <w:pPr>
        <w:pStyle w:val="Prrafodelista"/>
        <w:numPr>
          <w:ilvl w:val="0"/>
          <w:numId w:val="18"/>
        </w:numPr>
        <w:spacing w:line="360" w:lineRule="auto"/>
        <w:ind w:left="643"/>
        <w:contextualSpacing w:val="0"/>
        <w:jc w:val="both"/>
        <w:rPr>
          <w:rFonts w:ascii="Times New Roman" w:hAnsi="Times New Roman"/>
          <w:color w:val="767171"/>
          <w:spacing w:val="20"/>
          <w:sz w:val="24"/>
          <w:szCs w:val="24"/>
        </w:rPr>
      </w:pPr>
      <w:r w:rsidRPr="003F7B26">
        <w:rPr>
          <w:rFonts w:ascii="Times New Roman" w:hAnsi="Times New Roman"/>
          <w:color w:val="767171"/>
          <w:spacing w:val="20"/>
          <w:sz w:val="24"/>
          <w:szCs w:val="24"/>
        </w:rPr>
        <w:t>Revisión de los criterios de evaluación de la calificación de riesgo neto global y riesgo compuesto</w:t>
      </w:r>
      <w:r w:rsidR="006204B1">
        <w:rPr>
          <w:rFonts w:ascii="Times New Roman" w:hAnsi="Times New Roman"/>
          <w:color w:val="767171"/>
          <w:spacing w:val="20"/>
          <w:sz w:val="24"/>
          <w:szCs w:val="24"/>
        </w:rPr>
        <w:t>.</w:t>
      </w:r>
    </w:p>
    <w:p w14:paraId="07AECC27" w14:textId="37B0D75E" w:rsidR="003F7B26" w:rsidRPr="003F7B26" w:rsidRDefault="003F7B26" w:rsidP="00CB4994">
      <w:pPr>
        <w:pStyle w:val="Prrafodelista"/>
        <w:numPr>
          <w:ilvl w:val="0"/>
          <w:numId w:val="18"/>
        </w:numPr>
        <w:spacing w:line="360" w:lineRule="auto"/>
        <w:ind w:left="643"/>
        <w:contextualSpacing w:val="0"/>
        <w:jc w:val="both"/>
        <w:rPr>
          <w:rFonts w:ascii="Times New Roman" w:hAnsi="Times New Roman"/>
          <w:color w:val="767171"/>
          <w:spacing w:val="20"/>
          <w:sz w:val="24"/>
          <w:szCs w:val="24"/>
        </w:rPr>
      </w:pPr>
      <w:r w:rsidRPr="003F7B26">
        <w:rPr>
          <w:rFonts w:ascii="Times New Roman" w:hAnsi="Times New Roman"/>
          <w:color w:val="767171"/>
          <w:spacing w:val="20"/>
          <w:sz w:val="24"/>
          <w:szCs w:val="24"/>
        </w:rPr>
        <w:t>Revisión y actualización de la guía de conocimiento del negocio e identificación de las actividades significativas</w:t>
      </w:r>
      <w:r w:rsidR="006204B1">
        <w:rPr>
          <w:rFonts w:ascii="Times New Roman" w:hAnsi="Times New Roman"/>
          <w:color w:val="767171"/>
          <w:spacing w:val="20"/>
          <w:sz w:val="24"/>
          <w:szCs w:val="24"/>
        </w:rPr>
        <w:t>.</w:t>
      </w:r>
    </w:p>
    <w:p w14:paraId="57DA9FC6" w14:textId="4A110100" w:rsidR="003F7B26" w:rsidRPr="003F7B26" w:rsidRDefault="003F7B26" w:rsidP="00CB4994">
      <w:pPr>
        <w:pStyle w:val="Prrafodelista"/>
        <w:numPr>
          <w:ilvl w:val="0"/>
          <w:numId w:val="18"/>
        </w:numPr>
        <w:spacing w:line="360" w:lineRule="auto"/>
        <w:ind w:left="643"/>
        <w:contextualSpacing w:val="0"/>
        <w:jc w:val="both"/>
        <w:rPr>
          <w:rFonts w:ascii="Times New Roman" w:hAnsi="Times New Roman"/>
          <w:color w:val="767171"/>
          <w:spacing w:val="20"/>
          <w:sz w:val="24"/>
          <w:szCs w:val="24"/>
        </w:rPr>
      </w:pPr>
      <w:r w:rsidRPr="003F7B26">
        <w:rPr>
          <w:rFonts w:ascii="Times New Roman" w:hAnsi="Times New Roman"/>
          <w:color w:val="767171"/>
          <w:spacing w:val="20"/>
          <w:sz w:val="24"/>
          <w:szCs w:val="24"/>
        </w:rPr>
        <w:t>Diseño de una política de muestreo de cartera de créditos</w:t>
      </w:r>
      <w:r w:rsidR="006204B1">
        <w:rPr>
          <w:rFonts w:ascii="Times New Roman" w:hAnsi="Times New Roman"/>
          <w:color w:val="767171"/>
          <w:spacing w:val="20"/>
          <w:sz w:val="24"/>
          <w:szCs w:val="24"/>
        </w:rPr>
        <w:t>.</w:t>
      </w:r>
    </w:p>
    <w:p w14:paraId="79306430" w14:textId="1B9F6311" w:rsidR="003F7B26" w:rsidRPr="003F7B26" w:rsidRDefault="003F7B26" w:rsidP="00CB4994">
      <w:pPr>
        <w:pStyle w:val="Prrafodelista"/>
        <w:numPr>
          <w:ilvl w:val="0"/>
          <w:numId w:val="18"/>
        </w:numPr>
        <w:spacing w:line="360" w:lineRule="auto"/>
        <w:ind w:left="643"/>
        <w:contextualSpacing w:val="0"/>
        <w:jc w:val="both"/>
        <w:rPr>
          <w:rFonts w:ascii="Times New Roman" w:hAnsi="Times New Roman"/>
          <w:color w:val="767171"/>
          <w:spacing w:val="20"/>
          <w:sz w:val="24"/>
          <w:szCs w:val="24"/>
        </w:rPr>
      </w:pPr>
      <w:r w:rsidRPr="003F7B26">
        <w:rPr>
          <w:rFonts w:ascii="Times New Roman" w:hAnsi="Times New Roman"/>
          <w:color w:val="767171"/>
          <w:spacing w:val="20"/>
          <w:sz w:val="24"/>
          <w:szCs w:val="24"/>
        </w:rPr>
        <w:t>Elaboración de un modelo de actividades de supervisión; entre otras.</w:t>
      </w:r>
    </w:p>
    <w:p w14:paraId="18BF1AA2" w14:textId="16DD3744" w:rsidR="00352655" w:rsidRPr="003F7B26" w:rsidRDefault="003F7B26" w:rsidP="006B204A">
      <w:pPr>
        <w:spacing w:line="360" w:lineRule="auto"/>
        <w:jc w:val="both"/>
        <w:rPr>
          <w:rFonts w:eastAsia="Calibri"/>
          <w:lang w:val="es-DO"/>
        </w:rPr>
      </w:pPr>
      <w:r w:rsidRPr="003F7B26">
        <w:rPr>
          <w:rFonts w:eastAsia="Calibri"/>
          <w:lang w:val="es-DO"/>
        </w:rPr>
        <w:t xml:space="preserve">Como parte de las acciones para el cierre de brechas identificadas en la autoevaluación de los Principios Básicos de Basilea </w:t>
      </w:r>
      <w:r w:rsidR="00BA2132">
        <w:rPr>
          <w:rFonts w:eastAsia="Calibri"/>
          <w:lang w:val="es-DO"/>
        </w:rPr>
        <w:t>llevada a cabo en</w:t>
      </w:r>
      <w:r w:rsidRPr="003F7B26">
        <w:rPr>
          <w:rFonts w:eastAsia="Calibri"/>
          <w:lang w:val="es-DO"/>
        </w:rPr>
        <w:t xml:space="preserve"> septiembre de 2022, se inició el desarrollo de un aplicativo interno para centralizar las actuaciones y nivel de profundización en la evaluación de riesgos realizadas por los equipos de los Departamentos de Supervisión.</w:t>
      </w:r>
    </w:p>
    <w:p w14:paraId="7FB5FE4D" w14:textId="7BC11D1A" w:rsidR="00E52ED4" w:rsidRPr="00C865B6" w:rsidRDefault="00C94DAB" w:rsidP="006B204A">
      <w:pPr>
        <w:pStyle w:val="Estilo3"/>
        <w:spacing w:after="160" w:line="360" w:lineRule="auto"/>
        <w:rPr>
          <w:b/>
          <w:szCs w:val="24"/>
        </w:rPr>
      </w:pPr>
      <w:bookmarkStart w:id="31" w:name="_Toc155354610"/>
      <w:r>
        <w:rPr>
          <w:b/>
          <w:szCs w:val="24"/>
        </w:rPr>
        <w:lastRenderedPageBreak/>
        <w:t>3</w:t>
      </w:r>
      <w:r w:rsidR="00E52ED4" w:rsidRPr="00C865B6">
        <w:rPr>
          <w:b/>
          <w:szCs w:val="24"/>
        </w:rPr>
        <w:t>.</w:t>
      </w:r>
      <w:r w:rsidR="000E6F34">
        <w:rPr>
          <w:b/>
          <w:szCs w:val="24"/>
        </w:rPr>
        <w:t>3</w:t>
      </w:r>
      <w:r w:rsidR="00E52ED4" w:rsidRPr="00C865B6">
        <w:rPr>
          <w:b/>
          <w:szCs w:val="24"/>
        </w:rPr>
        <w:t xml:space="preserve"> Monitoreo de riesgos</w:t>
      </w:r>
      <w:bookmarkEnd w:id="29"/>
      <w:bookmarkEnd w:id="30"/>
      <w:bookmarkEnd w:id="31"/>
    </w:p>
    <w:p w14:paraId="03E9C11E" w14:textId="46B3A9BC" w:rsidR="00E52ED4" w:rsidRPr="001D3CD4" w:rsidRDefault="00E52ED4" w:rsidP="006B204A">
      <w:pPr>
        <w:spacing w:line="360" w:lineRule="auto"/>
        <w:jc w:val="both"/>
        <w:rPr>
          <w:lang w:val="es-DO"/>
        </w:rPr>
      </w:pPr>
      <w:r w:rsidRPr="00C865B6">
        <w:rPr>
          <w:lang w:val="es-DO"/>
        </w:rPr>
        <w:t>La Superintendencia de Bancos, dentro de sus labores de supervisión</w:t>
      </w:r>
      <w:r w:rsidR="00833A32">
        <w:rPr>
          <w:lang w:val="es-DO"/>
        </w:rPr>
        <w:t>,</w:t>
      </w:r>
      <w:r w:rsidRPr="00C865B6">
        <w:rPr>
          <w:lang w:val="es-DO"/>
        </w:rPr>
        <w:t xml:space="preserve"> realiza</w:t>
      </w:r>
      <w:r w:rsidR="003326FB">
        <w:rPr>
          <w:lang w:val="es-DO"/>
        </w:rPr>
        <w:t xml:space="preserve"> </w:t>
      </w:r>
      <w:r w:rsidRPr="00C865B6">
        <w:rPr>
          <w:lang w:val="es-DO"/>
        </w:rPr>
        <w:t xml:space="preserve">un proceso continuo de identificación, análisis y monitoreo de los principales riesgos a los que están expuestas las </w:t>
      </w:r>
      <w:r w:rsidR="00AA4B27">
        <w:rPr>
          <w:lang w:val="es-DO"/>
        </w:rPr>
        <w:t>entidades</w:t>
      </w:r>
      <w:r w:rsidRPr="00C865B6">
        <w:rPr>
          <w:lang w:val="es-DO"/>
        </w:rPr>
        <w:t>. En el año 202</w:t>
      </w:r>
      <w:r w:rsidR="00FF55B6">
        <w:rPr>
          <w:lang w:val="es-DO"/>
        </w:rPr>
        <w:t>3</w:t>
      </w:r>
      <w:r w:rsidRPr="00C865B6">
        <w:rPr>
          <w:lang w:val="es-DO"/>
        </w:rPr>
        <w:t xml:space="preserve">, los resultados alcanzados por la Superintendencia de Bancos en materia de </w:t>
      </w:r>
      <w:r w:rsidRPr="001D3CD4">
        <w:rPr>
          <w:lang w:val="es-DO"/>
        </w:rPr>
        <w:t xml:space="preserve">monitoreo de riesgos se centraron </w:t>
      </w:r>
      <w:r w:rsidR="001C50F2" w:rsidRPr="001D3CD4">
        <w:rPr>
          <w:rFonts w:eastAsia="Calibri"/>
          <w:lang w:val="es-DO"/>
        </w:rPr>
        <w:t>en la mejora en la gestión de riesgos y</w:t>
      </w:r>
      <w:r w:rsidR="00C2248A" w:rsidRPr="001D3CD4">
        <w:rPr>
          <w:rFonts w:eastAsia="Calibri"/>
          <w:lang w:val="es-DO"/>
        </w:rPr>
        <w:t xml:space="preserve"> en el</w:t>
      </w:r>
      <w:r w:rsidR="001C50F2" w:rsidRPr="001D3CD4">
        <w:rPr>
          <w:rFonts w:eastAsia="Calibri"/>
          <w:lang w:val="es-DO"/>
        </w:rPr>
        <w:t xml:space="preserve"> cumplimiento </w:t>
      </w:r>
      <w:proofErr w:type="spellStart"/>
      <w:r w:rsidR="002B4072" w:rsidRPr="001D3CD4">
        <w:rPr>
          <w:rFonts w:eastAsia="Calibri"/>
          <w:lang w:val="es-DO"/>
        </w:rPr>
        <w:t>Macro</w:t>
      </w:r>
      <w:r w:rsidR="001C50F2" w:rsidRPr="001D3CD4">
        <w:rPr>
          <w:rFonts w:eastAsia="Calibri"/>
          <w:lang w:val="es-DO"/>
        </w:rPr>
        <w:t>-prudencial</w:t>
      </w:r>
      <w:proofErr w:type="spellEnd"/>
      <w:r w:rsidR="001C50F2" w:rsidRPr="001D3CD4">
        <w:rPr>
          <w:rFonts w:eastAsia="Calibri"/>
          <w:lang w:val="es-DO"/>
        </w:rPr>
        <w:t xml:space="preserve"> oportuno por parte de las EIF a través de</w:t>
      </w:r>
      <w:r w:rsidR="00306AF8">
        <w:rPr>
          <w:rFonts w:eastAsia="Calibri"/>
          <w:lang w:val="es-DO"/>
        </w:rPr>
        <w:t xml:space="preserve"> los siguientes logros</w:t>
      </w:r>
      <w:r w:rsidR="001C50F2" w:rsidRPr="001D3CD4">
        <w:rPr>
          <w:rFonts w:eastAsia="Calibri"/>
          <w:lang w:val="es-DO"/>
        </w:rPr>
        <w:t>:</w:t>
      </w:r>
    </w:p>
    <w:p w14:paraId="4F5BC830" w14:textId="5B1479A6" w:rsidR="003A178D" w:rsidRDefault="00306AF8" w:rsidP="00CB4994">
      <w:pPr>
        <w:pStyle w:val="Prrafodelista"/>
        <w:numPr>
          <w:ilvl w:val="0"/>
          <w:numId w:val="19"/>
        </w:numPr>
        <w:spacing w:line="360" w:lineRule="auto"/>
        <w:contextualSpacing w:val="0"/>
        <w:jc w:val="both"/>
        <w:rPr>
          <w:rFonts w:ascii="Times New Roman" w:hAnsi="Times New Roman"/>
          <w:color w:val="767171"/>
          <w:spacing w:val="20"/>
          <w:sz w:val="24"/>
          <w:szCs w:val="24"/>
        </w:rPr>
      </w:pPr>
      <w:r>
        <w:rPr>
          <w:rFonts w:ascii="Times New Roman" w:hAnsi="Times New Roman"/>
          <w:color w:val="767171"/>
          <w:spacing w:val="20"/>
          <w:sz w:val="24"/>
          <w:szCs w:val="24"/>
        </w:rPr>
        <w:t>Desarrollada</w:t>
      </w:r>
      <w:r w:rsidR="002D1AB9" w:rsidRPr="001D3CD4">
        <w:rPr>
          <w:rFonts w:ascii="Times New Roman" w:hAnsi="Times New Roman"/>
          <w:color w:val="767171"/>
          <w:spacing w:val="20"/>
          <w:sz w:val="24"/>
          <w:szCs w:val="24"/>
        </w:rPr>
        <w:t xml:space="preserve"> 12 actividades de </w:t>
      </w:r>
      <w:r w:rsidR="00F478EE" w:rsidRPr="001D3CD4">
        <w:rPr>
          <w:rFonts w:ascii="Times New Roman" w:hAnsi="Times New Roman"/>
          <w:color w:val="767171"/>
          <w:spacing w:val="20"/>
          <w:sz w:val="24"/>
          <w:szCs w:val="24"/>
        </w:rPr>
        <w:t>capacitación sobre</w:t>
      </w:r>
      <w:r w:rsidR="002D1AB9" w:rsidRPr="001D3CD4">
        <w:rPr>
          <w:rFonts w:ascii="Times New Roman" w:hAnsi="Times New Roman"/>
          <w:color w:val="767171"/>
          <w:spacing w:val="20"/>
          <w:sz w:val="24"/>
          <w:szCs w:val="24"/>
        </w:rPr>
        <w:t xml:space="preserve"> el uso adecuado de las herramientas de remisión de reportes regulatorios donde se han beneficiado más de 500 colaboradores de las entidades de intermediación financiera y cambiaria</w:t>
      </w:r>
      <w:r w:rsidR="002D1AB9" w:rsidRPr="00901E73">
        <w:rPr>
          <w:rFonts w:ascii="Times New Roman" w:hAnsi="Times New Roman"/>
          <w:color w:val="767171"/>
          <w:spacing w:val="20"/>
          <w:sz w:val="24"/>
          <w:szCs w:val="24"/>
        </w:rPr>
        <w:t>, sobre temas asociados a riesgos, conforme el Manual de Requerimientos de Información de la Administración Monetaria y Financiera (MRI AMF), recalcando la importancia sobre la calidad de los datos.</w:t>
      </w:r>
    </w:p>
    <w:p w14:paraId="4FC622DF" w14:textId="75F53A2C" w:rsidR="001D3CD4" w:rsidRDefault="00306AF8" w:rsidP="00CB4994">
      <w:pPr>
        <w:pStyle w:val="Prrafodelista"/>
        <w:numPr>
          <w:ilvl w:val="0"/>
          <w:numId w:val="19"/>
        </w:numPr>
        <w:spacing w:line="360" w:lineRule="auto"/>
        <w:contextualSpacing w:val="0"/>
        <w:jc w:val="both"/>
        <w:rPr>
          <w:rFonts w:ascii="Times New Roman" w:hAnsi="Times New Roman"/>
          <w:color w:val="767171"/>
          <w:spacing w:val="20"/>
          <w:sz w:val="24"/>
          <w:szCs w:val="24"/>
        </w:rPr>
      </w:pPr>
      <w:r>
        <w:rPr>
          <w:rFonts w:ascii="Times New Roman" w:hAnsi="Times New Roman"/>
          <w:color w:val="767171"/>
          <w:spacing w:val="20"/>
          <w:sz w:val="24"/>
          <w:szCs w:val="24"/>
        </w:rPr>
        <w:t>Implementado</w:t>
      </w:r>
      <w:r w:rsidR="002D1AB9" w:rsidRPr="00901E73">
        <w:rPr>
          <w:rFonts w:ascii="Times New Roman" w:hAnsi="Times New Roman"/>
          <w:color w:val="767171"/>
          <w:spacing w:val="20"/>
          <w:sz w:val="24"/>
          <w:szCs w:val="24"/>
        </w:rPr>
        <w:t xml:space="preserve"> </w:t>
      </w:r>
      <w:r>
        <w:rPr>
          <w:rFonts w:ascii="Times New Roman" w:hAnsi="Times New Roman"/>
          <w:color w:val="767171"/>
          <w:spacing w:val="20"/>
          <w:sz w:val="24"/>
          <w:szCs w:val="24"/>
        </w:rPr>
        <w:t>el</w:t>
      </w:r>
      <w:r w:rsidR="002D1AB9" w:rsidRPr="00901E73">
        <w:rPr>
          <w:rFonts w:ascii="Times New Roman" w:hAnsi="Times New Roman"/>
          <w:color w:val="767171"/>
          <w:spacing w:val="20"/>
          <w:sz w:val="24"/>
          <w:szCs w:val="24"/>
        </w:rPr>
        <w:t xml:space="preserve"> Piloto “Gestión Grupos de Riesgo” en el Portal SB Interactivo, para fines de recepción de las solicitudes de creación y eliminación de nuevos grupos, así como de vinculaciones y desvinculaciones a grupos de riesgos existentes.</w:t>
      </w:r>
    </w:p>
    <w:p w14:paraId="6F332591" w14:textId="7364DB81" w:rsidR="006A4A05" w:rsidRPr="001D3CD4" w:rsidRDefault="002D1AB9" w:rsidP="00CB4994">
      <w:pPr>
        <w:pStyle w:val="Prrafodelista"/>
        <w:numPr>
          <w:ilvl w:val="0"/>
          <w:numId w:val="19"/>
        </w:numPr>
        <w:spacing w:line="360" w:lineRule="auto"/>
        <w:contextualSpacing w:val="0"/>
        <w:jc w:val="both"/>
        <w:rPr>
          <w:rFonts w:ascii="Times New Roman" w:hAnsi="Times New Roman"/>
        </w:rPr>
      </w:pPr>
      <w:r w:rsidRPr="00901E73">
        <w:rPr>
          <w:rFonts w:ascii="Times New Roman" w:hAnsi="Times New Roman"/>
          <w:color w:val="767171"/>
          <w:spacing w:val="20"/>
          <w:sz w:val="24"/>
          <w:szCs w:val="24"/>
        </w:rPr>
        <w:t xml:space="preserve">Puesta a disposición </w:t>
      </w:r>
      <w:r w:rsidR="006E267D">
        <w:rPr>
          <w:rFonts w:ascii="Times New Roman" w:hAnsi="Times New Roman"/>
          <w:color w:val="767171"/>
          <w:spacing w:val="20"/>
          <w:sz w:val="24"/>
          <w:szCs w:val="24"/>
        </w:rPr>
        <w:t>la</w:t>
      </w:r>
      <w:r w:rsidRPr="00901E73">
        <w:rPr>
          <w:rFonts w:ascii="Times New Roman" w:hAnsi="Times New Roman"/>
          <w:color w:val="767171"/>
          <w:spacing w:val="20"/>
          <w:sz w:val="24"/>
          <w:szCs w:val="24"/>
        </w:rPr>
        <w:t xml:space="preserve"> Circular sobre </w:t>
      </w:r>
      <w:r w:rsidR="006E267D">
        <w:rPr>
          <w:rFonts w:ascii="Times New Roman" w:hAnsi="Times New Roman"/>
          <w:color w:val="767171"/>
          <w:spacing w:val="20"/>
          <w:sz w:val="24"/>
          <w:szCs w:val="24"/>
        </w:rPr>
        <w:t>el</w:t>
      </w:r>
      <w:r w:rsidRPr="00901E73">
        <w:rPr>
          <w:rFonts w:ascii="Times New Roman" w:hAnsi="Times New Roman"/>
          <w:color w:val="767171"/>
          <w:spacing w:val="20"/>
          <w:sz w:val="24"/>
          <w:szCs w:val="24"/>
        </w:rPr>
        <w:t xml:space="preserve"> Manejo de Excesos de Provisiones, estableciendo los criterios para </w:t>
      </w:r>
      <w:r w:rsidR="1D78D840" w:rsidRPr="00901E73">
        <w:rPr>
          <w:rFonts w:ascii="Times New Roman" w:hAnsi="Times New Roman"/>
          <w:color w:val="767171"/>
          <w:spacing w:val="20"/>
          <w:sz w:val="24"/>
          <w:szCs w:val="24"/>
        </w:rPr>
        <w:t>manejar</w:t>
      </w:r>
      <w:r w:rsidRPr="00901E73">
        <w:rPr>
          <w:rFonts w:ascii="Times New Roman" w:hAnsi="Times New Roman"/>
          <w:color w:val="767171"/>
          <w:spacing w:val="20"/>
          <w:sz w:val="24"/>
          <w:szCs w:val="24"/>
        </w:rPr>
        <w:t xml:space="preserve"> los excedentes de provisiones y el uso adecuado de cada </w:t>
      </w:r>
      <w:r w:rsidR="1D78D840" w:rsidRPr="00901E73">
        <w:rPr>
          <w:rFonts w:ascii="Times New Roman" w:hAnsi="Times New Roman"/>
          <w:color w:val="767171"/>
          <w:spacing w:val="20"/>
          <w:sz w:val="24"/>
          <w:szCs w:val="24"/>
        </w:rPr>
        <w:t>cuenta contable</w:t>
      </w:r>
      <w:r w:rsidRPr="00901E73">
        <w:rPr>
          <w:rFonts w:ascii="Times New Roman" w:hAnsi="Times New Roman"/>
          <w:color w:val="767171"/>
          <w:spacing w:val="20"/>
          <w:sz w:val="24"/>
          <w:szCs w:val="24"/>
        </w:rPr>
        <w:t xml:space="preserve"> de provisiones.</w:t>
      </w:r>
    </w:p>
    <w:p w14:paraId="20803301" w14:textId="17F0AF83" w:rsidR="005217E9" w:rsidRDefault="005217E9" w:rsidP="006B204A">
      <w:pPr>
        <w:spacing w:line="360" w:lineRule="auto"/>
        <w:jc w:val="both"/>
        <w:rPr>
          <w:rFonts w:eastAsia="Calibri"/>
          <w:lang w:val="es-DO"/>
        </w:rPr>
      </w:pPr>
      <w:r>
        <w:rPr>
          <w:lang w:val="es-DO"/>
        </w:rPr>
        <w:t>En cuanto a</w:t>
      </w:r>
      <w:r w:rsidR="00BF2CB5">
        <w:rPr>
          <w:lang w:val="es-DO"/>
        </w:rPr>
        <w:t xml:space="preserve"> la </w:t>
      </w:r>
      <w:r w:rsidR="00222444">
        <w:rPr>
          <w:rFonts w:eastAsia="Calibri"/>
          <w:lang w:val="es-DO"/>
        </w:rPr>
        <w:t>p</w:t>
      </w:r>
      <w:r w:rsidR="006A4A05" w:rsidRPr="006A4A05">
        <w:rPr>
          <w:rFonts w:eastAsia="Calibri"/>
          <w:lang w:val="es-DO"/>
        </w:rPr>
        <w:t>romoción de la implementación mejores prácticas internacionales</w:t>
      </w:r>
      <w:r w:rsidR="00222444">
        <w:rPr>
          <w:rFonts w:eastAsia="Calibri"/>
          <w:lang w:val="es-DO"/>
        </w:rPr>
        <w:t>, se han desarrollado las siguientes iniciativas:</w:t>
      </w:r>
    </w:p>
    <w:p w14:paraId="08DB13D7" w14:textId="22B43B2B" w:rsidR="00222444" w:rsidRPr="00222444" w:rsidRDefault="00222444" w:rsidP="00CB4994">
      <w:pPr>
        <w:numPr>
          <w:ilvl w:val="0"/>
          <w:numId w:val="2"/>
        </w:numPr>
        <w:spacing w:line="360" w:lineRule="auto"/>
        <w:jc w:val="both"/>
        <w:rPr>
          <w:rFonts w:eastAsia="Calibri"/>
          <w:lang w:val="es-DO"/>
        </w:rPr>
      </w:pPr>
      <w:r w:rsidRPr="00222444">
        <w:rPr>
          <w:rFonts w:eastAsia="Calibri"/>
          <w:lang w:val="es-DO"/>
        </w:rPr>
        <w:t>Participación de seis</w:t>
      </w:r>
      <w:r w:rsidRPr="00901E73">
        <w:rPr>
          <w:rFonts w:eastAsia="Calibri"/>
          <w:lang w:val="es-DO"/>
        </w:rPr>
        <w:t xml:space="preserve"> </w:t>
      </w:r>
      <w:r w:rsidRPr="00222444">
        <w:rPr>
          <w:rFonts w:eastAsia="Calibri"/>
          <w:lang w:val="es-DO"/>
        </w:rPr>
        <w:t xml:space="preserve">(6) mesas de trabajo sobre valor razonable, con miras a evaluar los riesgos y retos en la implementación en el </w:t>
      </w:r>
      <w:r w:rsidRPr="00222444">
        <w:rPr>
          <w:rFonts w:eastAsia="Calibri"/>
          <w:lang w:val="es-DO"/>
        </w:rPr>
        <w:lastRenderedPageBreak/>
        <w:t>Sistema Financiero Nacional, con los responsables de las Unidades de Riesgos, Tesorería y Finanzas recibiendo retroalimentación sobre los retos para una adecuada implementación.</w:t>
      </w:r>
    </w:p>
    <w:p w14:paraId="5794DC2C" w14:textId="169A6BC1" w:rsidR="00222444" w:rsidRPr="00222444" w:rsidRDefault="00222444" w:rsidP="00CB4994">
      <w:pPr>
        <w:numPr>
          <w:ilvl w:val="0"/>
          <w:numId w:val="2"/>
        </w:numPr>
        <w:spacing w:line="360" w:lineRule="auto"/>
        <w:jc w:val="both"/>
        <w:rPr>
          <w:rFonts w:eastAsia="Calibri"/>
          <w:lang w:val="es-DO"/>
        </w:rPr>
      </w:pPr>
      <w:r w:rsidRPr="00222444">
        <w:rPr>
          <w:rFonts w:eastAsia="Calibri"/>
          <w:lang w:val="es-DO"/>
        </w:rPr>
        <w:t>Publicación del “Instructivo sobre el Proceso de Evaluación de Adecuación del Capital Interno (ICAAP)” cuyo objetivo es brindar a las entidades los principios, lineamientos básicos y componentes fundamentales, para el proceso de evaluación interna del capital, así como establecer el formato para la remisión del Informe de Autoevaluación de Capital (IAC).</w:t>
      </w:r>
    </w:p>
    <w:p w14:paraId="04CF5F40" w14:textId="49040AFF" w:rsidR="00222444" w:rsidRPr="00222444" w:rsidRDefault="00222444" w:rsidP="00CB4994">
      <w:pPr>
        <w:numPr>
          <w:ilvl w:val="0"/>
          <w:numId w:val="2"/>
        </w:numPr>
        <w:spacing w:line="360" w:lineRule="auto"/>
        <w:jc w:val="both"/>
        <w:rPr>
          <w:rFonts w:eastAsia="Calibri"/>
          <w:lang w:val="es-DO"/>
        </w:rPr>
      </w:pPr>
      <w:r w:rsidRPr="00222444">
        <w:rPr>
          <w:rFonts w:eastAsia="Calibri"/>
          <w:lang w:val="es-DO"/>
        </w:rPr>
        <w:t>Análisis comparativo sobre la implementación de la taxonomía verde,</w:t>
      </w:r>
      <w:r w:rsidR="004B4223">
        <w:rPr>
          <w:rFonts w:eastAsia="Calibri"/>
          <w:lang w:val="es-DO"/>
        </w:rPr>
        <w:t xml:space="preserve"> </w:t>
      </w:r>
      <w:r w:rsidRPr="00222444">
        <w:rPr>
          <w:rFonts w:eastAsia="Calibri"/>
          <w:lang w:val="es-DO"/>
        </w:rPr>
        <w:t>evaluando los requerimientos normativos de riesgo de crédito para fines de clasificación y gestión, con relación a los procesos de implementación internacionales.</w:t>
      </w:r>
    </w:p>
    <w:p w14:paraId="5EADFF07" w14:textId="28C7789F" w:rsidR="005A38DB" w:rsidRDefault="005A38DB" w:rsidP="006B204A">
      <w:pPr>
        <w:spacing w:line="360" w:lineRule="auto"/>
        <w:jc w:val="both"/>
        <w:rPr>
          <w:rFonts w:eastAsia="Calibri"/>
          <w:lang w:val="es-DO"/>
        </w:rPr>
      </w:pPr>
      <w:r>
        <w:rPr>
          <w:lang w:val="es-DO"/>
        </w:rPr>
        <w:t xml:space="preserve">Durante el 2023, la Superintendencia de Bancos </w:t>
      </w:r>
      <w:r w:rsidR="001273DD">
        <w:rPr>
          <w:lang w:val="es-DO"/>
        </w:rPr>
        <w:t xml:space="preserve">se ha enfocado en </w:t>
      </w:r>
      <w:r w:rsidR="00D26B15">
        <w:rPr>
          <w:lang w:val="es-DO"/>
        </w:rPr>
        <w:t xml:space="preserve">la </w:t>
      </w:r>
      <w:r w:rsidR="00F61CEE">
        <w:rPr>
          <w:rFonts w:eastAsia="Calibri"/>
          <w:lang w:val="es-DO"/>
        </w:rPr>
        <w:t>e</w:t>
      </w:r>
      <w:r w:rsidR="00D26B15" w:rsidRPr="00D26B15">
        <w:rPr>
          <w:rFonts w:eastAsia="Calibri"/>
          <w:lang w:val="es-DO"/>
        </w:rPr>
        <w:t xml:space="preserve">standarización de los requerimientos de información y </w:t>
      </w:r>
      <w:r w:rsidR="00906865">
        <w:rPr>
          <w:rFonts w:eastAsia="Calibri"/>
          <w:lang w:val="es-DO"/>
        </w:rPr>
        <w:t>en</w:t>
      </w:r>
      <w:r w:rsidR="00D26B15" w:rsidRPr="00D26B15">
        <w:rPr>
          <w:rFonts w:eastAsia="Calibri"/>
          <w:lang w:val="es-DO"/>
        </w:rPr>
        <w:t xml:space="preserve"> </w:t>
      </w:r>
      <w:r w:rsidR="00906865">
        <w:rPr>
          <w:rFonts w:eastAsia="Calibri"/>
          <w:lang w:val="es-DO"/>
        </w:rPr>
        <w:t>la continuación de fortalecimiento de</w:t>
      </w:r>
      <w:r w:rsidR="00D26B15" w:rsidRPr="00D26B15">
        <w:rPr>
          <w:rFonts w:eastAsia="Calibri"/>
          <w:lang w:val="es-DO"/>
        </w:rPr>
        <w:t xml:space="preserve"> las capacidades técnicas a través de iniciativas como</w:t>
      </w:r>
      <w:r w:rsidR="00D26B15">
        <w:rPr>
          <w:rFonts w:eastAsia="Calibri"/>
          <w:lang w:val="es-DO"/>
        </w:rPr>
        <w:t>:</w:t>
      </w:r>
    </w:p>
    <w:p w14:paraId="566F4B88" w14:textId="1D2C0BD5" w:rsidR="00D4095F" w:rsidRPr="00D4095F" w:rsidRDefault="00D4095F" w:rsidP="00CB4994">
      <w:pPr>
        <w:numPr>
          <w:ilvl w:val="0"/>
          <w:numId w:val="3"/>
        </w:numPr>
        <w:spacing w:line="360" w:lineRule="auto"/>
        <w:jc w:val="both"/>
        <w:rPr>
          <w:rFonts w:eastAsia="Calibri"/>
          <w:lang w:val="es-DO"/>
        </w:rPr>
      </w:pPr>
      <w:r w:rsidRPr="00D4095F">
        <w:rPr>
          <w:rFonts w:eastAsia="Calibri"/>
          <w:lang w:val="es-DO"/>
        </w:rPr>
        <w:t>Implementación del Manual de Requerimientos de Información de la Administración Monetaria y Financiera (MRI AMF), con miras a centralizar y simplificar los requerimientos de información y eliminar duplicidades.</w:t>
      </w:r>
    </w:p>
    <w:p w14:paraId="06B18616" w14:textId="7A5581B1" w:rsidR="00D4095F" w:rsidRPr="00D4095F" w:rsidRDefault="00D4095F" w:rsidP="00CB4994">
      <w:pPr>
        <w:numPr>
          <w:ilvl w:val="0"/>
          <w:numId w:val="3"/>
        </w:numPr>
        <w:spacing w:line="360" w:lineRule="auto"/>
        <w:jc w:val="both"/>
        <w:rPr>
          <w:rFonts w:eastAsia="Calibri"/>
          <w:lang w:val="es-DO"/>
        </w:rPr>
      </w:pPr>
      <w:r w:rsidRPr="00D4095F">
        <w:rPr>
          <w:rFonts w:eastAsia="Calibri"/>
          <w:lang w:val="es-DO"/>
        </w:rPr>
        <w:t>Implementación en los reportes regulatorios de las adecuaciones del Manual de Contabilidad conforme las actualizaciones realizadas.</w:t>
      </w:r>
    </w:p>
    <w:p w14:paraId="6371C020" w14:textId="64E4A744" w:rsidR="00D4095F" w:rsidRDefault="00D4095F" w:rsidP="00CB4994">
      <w:pPr>
        <w:numPr>
          <w:ilvl w:val="0"/>
          <w:numId w:val="3"/>
        </w:numPr>
        <w:spacing w:line="360" w:lineRule="auto"/>
        <w:jc w:val="both"/>
        <w:rPr>
          <w:rFonts w:eastAsia="Calibri"/>
          <w:lang w:val="es-DO"/>
        </w:rPr>
      </w:pPr>
      <w:r w:rsidRPr="00D4095F">
        <w:rPr>
          <w:rFonts w:eastAsia="Calibri"/>
          <w:lang w:val="es-DO"/>
        </w:rPr>
        <w:t xml:space="preserve">Publicación del “Informe sobre el Comportamiento de la Cartera de Créditos en Moneda Extranjera” y del “Informe sobre evolución </w:t>
      </w:r>
      <w:r w:rsidRPr="00D4095F">
        <w:rPr>
          <w:rFonts w:eastAsia="Calibri"/>
          <w:lang w:val="es-DO"/>
        </w:rPr>
        <w:lastRenderedPageBreak/>
        <w:t>de la cartera del Sector Agropecuario” al corte de diciembre de 2022.</w:t>
      </w:r>
    </w:p>
    <w:p w14:paraId="3D89FAB3" w14:textId="77777777" w:rsidR="003E735A" w:rsidRDefault="003E735A" w:rsidP="00CA473C">
      <w:pPr>
        <w:spacing w:line="360" w:lineRule="auto"/>
        <w:ind w:left="360"/>
        <w:jc w:val="both"/>
        <w:rPr>
          <w:rFonts w:eastAsia="Calibri"/>
          <w:lang w:val="es-DO"/>
        </w:rPr>
      </w:pPr>
      <w:bookmarkStart w:id="32" w:name="_Toc122435007"/>
      <w:bookmarkStart w:id="33" w:name="_Toc123046912"/>
    </w:p>
    <w:p w14:paraId="76DC9B6F" w14:textId="503EBFD9" w:rsidR="00E52ED4" w:rsidRPr="00C865B6" w:rsidRDefault="00C94DAB" w:rsidP="006B204A">
      <w:pPr>
        <w:pStyle w:val="Estilo3"/>
        <w:spacing w:before="0" w:after="240" w:line="360" w:lineRule="auto"/>
        <w:rPr>
          <w:b/>
          <w:bCs w:val="0"/>
          <w:noProof/>
          <w:szCs w:val="24"/>
          <w:lang w:eastAsia="es-ES"/>
        </w:rPr>
      </w:pPr>
      <w:bookmarkStart w:id="34" w:name="_Toc155354611"/>
      <w:r w:rsidRPr="00681BD5">
        <w:rPr>
          <w:b/>
          <w:szCs w:val="24"/>
        </w:rPr>
        <w:t>3</w:t>
      </w:r>
      <w:r w:rsidR="00E52ED4" w:rsidRPr="00681BD5">
        <w:rPr>
          <w:b/>
          <w:szCs w:val="24"/>
        </w:rPr>
        <w:t>.</w:t>
      </w:r>
      <w:r w:rsidR="000E6F34">
        <w:rPr>
          <w:b/>
          <w:bCs w:val="0"/>
          <w:szCs w:val="24"/>
        </w:rPr>
        <w:t>4</w:t>
      </w:r>
      <w:r w:rsidR="00E52ED4" w:rsidRPr="00C865B6">
        <w:rPr>
          <w:b/>
          <w:bCs w:val="0"/>
          <w:szCs w:val="24"/>
        </w:rPr>
        <w:t xml:space="preserve"> Supervisión de Prevención del Lavado de Activos y Financiamiento al Terrorismo (PLAFT)</w:t>
      </w:r>
      <w:bookmarkEnd w:id="32"/>
      <w:bookmarkEnd w:id="33"/>
      <w:bookmarkEnd w:id="34"/>
    </w:p>
    <w:p w14:paraId="0278196C" w14:textId="7A8B1C90" w:rsidR="00B37843" w:rsidRPr="00B37843" w:rsidRDefault="00B37843" w:rsidP="006B204A">
      <w:pPr>
        <w:spacing w:after="120" w:line="360" w:lineRule="auto"/>
        <w:jc w:val="both"/>
        <w:rPr>
          <w:lang w:val="es-DO"/>
        </w:rPr>
      </w:pPr>
      <w:r w:rsidRPr="00B37843">
        <w:rPr>
          <w:lang w:val="es-DO"/>
        </w:rPr>
        <w:t xml:space="preserve">La Superintendencia de Bancos (SB), como autoridad competente en las funciones de prevención y sanción de delitos financieros en los ámbitos de su jurisdicción, se encarga de ejecutar supervisiones </w:t>
      </w:r>
      <w:r w:rsidRPr="00B37843">
        <w:rPr>
          <w:i/>
          <w:iCs/>
          <w:lang w:val="es-DO"/>
        </w:rPr>
        <w:t>in situ</w:t>
      </w:r>
      <w:r w:rsidRPr="00B37843">
        <w:rPr>
          <w:lang w:val="es-DO"/>
        </w:rPr>
        <w:t xml:space="preserve"> y </w:t>
      </w:r>
      <w:r w:rsidRPr="00B37843">
        <w:rPr>
          <w:i/>
          <w:iCs/>
          <w:lang w:val="es-DO"/>
        </w:rPr>
        <w:t>extra situ</w:t>
      </w:r>
      <w:r w:rsidRPr="00B37843">
        <w:rPr>
          <w:lang w:val="es-DO"/>
        </w:rPr>
        <w:t xml:space="preserve"> con enfoque basado en riesgo (EBR), a fin de dar cumplimiento a la Ley 155-17 contra el Lavado de Activos y el Financiamiento del Terrorismo y sus normas complementarias. Al respecto, durante el período 2023, la Superintendencia de Bancos ha realizado las actividades que le son atribuidas por la normativa vigente, citando los siguientes logros:</w:t>
      </w:r>
    </w:p>
    <w:p w14:paraId="018DE04D" w14:textId="48F256D5" w:rsidR="00B37843" w:rsidRDefault="00B37843" w:rsidP="00CB4994">
      <w:pPr>
        <w:pStyle w:val="Prrafodelista"/>
        <w:numPr>
          <w:ilvl w:val="0"/>
          <w:numId w:val="19"/>
        </w:numPr>
        <w:spacing w:line="360" w:lineRule="auto"/>
        <w:contextualSpacing w:val="0"/>
        <w:jc w:val="both"/>
        <w:rPr>
          <w:rFonts w:ascii="Times New Roman" w:hAnsi="Times New Roman"/>
          <w:color w:val="767171"/>
          <w:spacing w:val="20"/>
          <w:sz w:val="24"/>
          <w:szCs w:val="24"/>
        </w:rPr>
      </w:pPr>
      <w:r w:rsidRPr="00476E4F">
        <w:rPr>
          <w:rFonts w:ascii="Times New Roman" w:hAnsi="Times New Roman"/>
          <w:color w:val="767171"/>
          <w:spacing w:val="20"/>
          <w:sz w:val="24"/>
          <w:szCs w:val="24"/>
        </w:rPr>
        <w:t>Realizada dieciséis (16) inspecciones a sujetos obligados. Dichas inspecciones se enfocaron en la evaluación de la gestión de riesgos realizadas por las entidades para la prevención de lavado de activos, financiamiento del terrorismo y de la proliferación de armas de destrucción masiva (PLAFTPADM), la debida diligencia en la etapa de vinculación y mantenimiento de la relación comercial, la función de los órganos de control, el diseño y ejecución del plan de capacitación y la estructura de cumplimiento</w:t>
      </w:r>
      <w:r>
        <w:rPr>
          <w:rFonts w:ascii="Times New Roman" w:hAnsi="Times New Roman"/>
          <w:color w:val="767171"/>
          <w:spacing w:val="20"/>
          <w:sz w:val="24"/>
          <w:szCs w:val="24"/>
        </w:rPr>
        <w:t>.</w:t>
      </w:r>
    </w:p>
    <w:p w14:paraId="78B08173" w14:textId="50AE28F7" w:rsidR="00476E4F" w:rsidRDefault="00B37843" w:rsidP="00CB4994">
      <w:pPr>
        <w:pStyle w:val="Prrafodelista"/>
        <w:numPr>
          <w:ilvl w:val="0"/>
          <w:numId w:val="24"/>
        </w:numPr>
        <w:spacing w:line="360" w:lineRule="auto"/>
        <w:contextualSpacing w:val="0"/>
        <w:jc w:val="both"/>
        <w:rPr>
          <w:rFonts w:ascii="Times New Roman" w:hAnsi="Times New Roman"/>
          <w:color w:val="767171"/>
          <w:spacing w:val="20"/>
          <w:sz w:val="24"/>
          <w:szCs w:val="24"/>
        </w:rPr>
      </w:pPr>
      <w:r w:rsidRPr="008556BB">
        <w:rPr>
          <w:rFonts w:ascii="Times New Roman" w:hAnsi="Times New Roman"/>
          <w:color w:val="767171"/>
          <w:spacing w:val="20"/>
          <w:sz w:val="24"/>
          <w:szCs w:val="24"/>
        </w:rPr>
        <w:t>Supervisados diez (10) bancos múltiples, cuatro (4) asociaciones de ahorros y préstamos, un (1) agente de cambio y remesas, así como una (1) sociedad fiduciaria</w:t>
      </w:r>
      <w:r w:rsidR="001925CF" w:rsidRPr="008556BB">
        <w:rPr>
          <w:rFonts w:ascii="Times New Roman" w:hAnsi="Times New Roman"/>
          <w:color w:val="767171"/>
          <w:spacing w:val="20"/>
          <w:sz w:val="24"/>
          <w:szCs w:val="24"/>
        </w:rPr>
        <w:t>.</w:t>
      </w:r>
      <w:r w:rsidRPr="008556BB">
        <w:rPr>
          <w:rFonts w:ascii="Times New Roman" w:hAnsi="Times New Roman"/>
          <w:color w:val="767171"/>
          <w:spacing w:val="20"/>
          <w:sz w:val="24"/>
          <w:szCs w:val="24"/>
        </w:rPr>
        <w:t xml:space="preserve"> </w:t>
      </w:r>
      <w:r w:rsidR="001925CF" w:rsidRPr="008556BB">
        <w:rPr>
          <w:rFonts w:ascii="Times New Roman" w:hAnsi="Times New Roman"/>
          <w:color w:val="767171"/>
          <w:spacing w:val="20"/>
          <w:sz w:val="24"/>
          <w:szCs w:val="24"/>
        </w:rPr>
        <w:t>C</w:t>
      </w:r>
      <w:r w:rsidRPr="008556BB">
        <w:rPr>
          <w:rFonts w:ascii="Times New Roman" w:hAnsi="Times New Roman"/>
          <w:color w:val="767171"/>
          <w:spacing w:val="20"/>
          <w:sz w:val="24"/>
          <w:szCs w:val="24"/>
        </w:rPr>
        <w:t xml:space="preserve">on las inspecciones ejecutadas, esta gestión (2021 – 2023) ha logrado </w:t>
      </w:r>
      <w:r w:rsidR="001925CF" w:rsidRPr="008556BB">
        <w:rPr>
          <w:rFonts w:ascii="Times New Roman" w:hAnsi="Times New Roman"/>
          <w:color w:val="767171"/>
          <w:spacing w:val="20"/>
          <w:sz w:val="24"/>
          <w:szCs w:val="24"/>
        </w:rPr>
        <w:t>supervisar</w:t>
      </w:r>
      <w:r w:rsidRPr="008556BB">
        <w:rPr>
          <w:rFonts w:ascii="Times New Roman" w:hAnsi="Times New Roman"/>
          <w:color w:val="767171"/>
          <w:spacing w:val="20"/>
          <w:sz w:val="24"/>
          <w:szCs w:val="24"/>
        </w:rPr>
        <w:t xml:space="preserve"> </w:t>
      </w:r>
      <w:r w:rsidRPr="008556BB">
        <w:rPr>
          <w:rFonts w:ascii="Times New Roman" w:hAnsi="Times New Roman"/>
          <w:color w:val="767171"/>
          <w:spacing w:val="20"/>
          <w:sz w:val="24"/>
          <w:szCs w:val="24"/>
        </w:rPr>
        <w:lastRenderedPageBreak/>
        <w:t>entidades que representan más 90% de los activos totales del sector financiero y cambiario.</w:t>
      </w:r>
    </w:p>
    <w:p w14:paraId="38E13F8D" w14:textId="60782C64" w:rsidR="00B37843" w:rsidRDefault="00B37843" w:rsidP="00CB4994">
      <w:pPr>
        <w:pStyle w:val="Prrafodelista"/>
        <w:numPr>
          <w:ilvl w:val="0"/>
          <w:numId w:val="19"/>
        </w:numPr>
        <w:spacing w:line="360" w:lineRule="auto"/>
        <w:contextualSpacing w:val="0"/>
        <w:jc w:val="both"/>
        <w:rPr>
          <w:rFonts w:ascii="Times New Roman" w:hAnsi="Times New Roman"/>
          <w:color w:val="767171"/>
          <w:spacing w:val="20"/>
          <w:sz w:val="24"/>
          <w:szCs w:val="24"/>
        </w:rPr>
      </w:pPr>
      <w:r w:rsidRPr="00476E4F">
        <w:rPr>
          <w:rFonts w:ascii="Times New Roman" w:hAnsi="Times New Roman"/>
          <w:color w:val="767171"/>
          <w:spacing w:val="20"/>
          <w:sz w:val="24"/>
          <w:szCs w:val="24"/>
        </w:rPr>
        <w:t xml:space="preserve">Fortalecida la Metodología Interna de Supervisión Basada en Riesgos PLAFTPADM, </w:t>
      </w:r>
      <w:r w:rsidR="00E812E9">
        <w:rPr>
          <w:rFonts w:ascii="Times New Roman" w:hAnsi="Times New Roman"/>
          <w:color w:val="767171"/>
          <w:spacing w:val="20"/>
          <w:sz w:val="24"/>
          <w:szCs w:val="24"/>
        </w:rPr>
        <w:t>a partir de</w:t>
      </w:r>
      <w:r w:rsidRPr="00476E4F">
        <w:rPr>
          <w:rFonts w:ascii="Times New Roman" w:hAnsi="Times New Roman"/>
          <w:color w:val="767171"/>
          <w:spacing w:val="20"/>
          <w:sz w:val="24"/>
          <w:szCs w:val="24"/>
        </w:rPr>
        <w:t xml:space="preserve"> la cual se diseñaron e implementaron las políticas y los procedimientos para la realización de los trabajos de inspección</w:t>
      </w:r>
      <w:r w:rsidR="00EE44D3">
        <w:rPr>
          <w:rFonts w:ascii="Times New Roman" w:hAnsi="Times New Roman"/>
          <w:color w:val="767171"/>
          <w:spacing w:val="20"/>
          <w:sz w:val="24"/>
          <w:szCs w:val="24"/>
        </w:rPr>
        <w:t xml:space="preserve">. </w:t>
      </w:r>
      <w:r w:rsidR="008C0DC6">
        <w:rPr>
          <w:rFonts w:ascii="Times New Roman" w:hAnsi="Times New Roman"/>
          <w:color w:val="767171"/>
          <w:spacing w:val="20"/>
          <w:sz w:val="24"/>
          <w:szCs w:val="24"/>
        </w:rPr>
        <w:t>Cabe destacar qu</w:t>
      </w:r>
      <w:r w:rsidR="00B72D77">
        <w:rPr>
          <w:rFonts w:ascii="Times New Roman" w:hAnsi="Times New Roman"/>
          <w:color w:val="767171"/>
          <w:spacing w:val="20"/>
          <w:sz w:val="24"/>
          <w:szCs w:val="24"/>
        </w:rPr>
        <w:t>e</w:t>
      </w:r>
      <w:r w:rsidR="00B14501">
        <w:rPr>
          <w:rFonts w:ascii="Times New Roman" w:hAnsi="Times New Roman"/>
          <w:color w:val="767171"/>
          <w:spacing w:val="20"/>
          <w:sz w:val="24"/>
          <w:szCs w:val="24"/>
        </w:rPr>
        <w:t>,</w:t>
      </w:r>
      <w:r w:rsidR="00B72D77">
        <w:rPr>
          <w:rFonts w:ascii="Times New Roman" w:hAnsi="Times New Roman"/>
          <w:color w:val="767171"/>
          <w:spacing w:val="20"/>
          <w:sz w:val="24"/>
          <w:szCs w:val="24"/>
        </w:rPr>
        <w:t xml:space="preserve"> </w:t>
      </w:r>
      <w:r w:rsidR="006F7A6F">
        <w:rPr>
          <w:rFonts w:ascii="Times New Roman" w:hAnsi="Times New Roman"/>
          <w:color w:val="767171"/>
          <w:spacing w:val="20"/>
          <w:sz w:val="24"/>
          <w:szCs w:val="24"/>
        </w:rPr>
        <w:t>gracias a estos esfuerzos,</w:t>
      </w:r>
      <w:r w:rsidRPr="00476E4F">
        <w:rPr>
          <w:rFonts w:ascii="Times New Roman" w:hAnsi="Times New Roman"/>
          <w:color w:val="767171"/>
          <w:spacing w:val="20"/>
          <w:sz w:val="24"/>
          <w:szCs w:val="24"/>
        </w:rPr>
        <w:t xml:space="preserve"> el proceso de supervisión PLAFTPADM </w:t>
      </w:r>
      <w:r w:rsidR="009F6AFE">
        <w:rPr>
          <w:rFonts w:ascii="Times New Roman" w:hAnsi="Times New Roman"/>
          <w:color w:val="767171"/>
          <w:spacing w:val="20"/>
          <w:sz w:val="24"/>
          <w:szCs w:val="24"/>
        </w:rPr>
        <w:t xml:space="preserve">fue </w:t>
      </w:r>
      <w:r w:rsidRPr="00476E4F">
        <w:rPr>
          <w:rFonts w:ascii="Times New Roman" w:hAnsi="Times New Roman"/>
          <w:color w:val="767171"/>
          <w:spacing w:val="20"/>
          <w:sz w:val="24"/>
          <w:szCs w:val="24"/>
        </w:rPr>
        <w:t>certifica</w:t>
      </w:r>
      <w:r w:rsidR="009F6AFE">
        <w:rPr>
          <w:rFonts w:ascii="Times New Roman" w:hAnsi="Times New Roman"/>
          <w:color w:val="767171"/>
          <w:spacing w:val="20"/>
          <w:sz w:val="24"/>
          <w:szCs w:val="24"/>
        </w:rPr>
        <w:t xml:space="preserve">do bajo </w:t>
      </w:r>
      <w:r w:rsidR="00117AC0">
        <w:rPr>
          <w:rFonts w:ascii="Times New Roman" w:hAnsi="Times New Roman"/>
          <w:color w:val="767171"/>
          <w:spacing w:val="20"/>
          <w:sz w:val="24"/>
          <w:szCs w:val="24"/>
        </w:rPr>
        <w:t>el</w:t>
      </w:r>
      <w:r w:rsidR="009F6AFE">
        <w:rPr>
          <w:rFonts w:ascii="Times New Roman" w:hAnsi="Times New Roman"/>
          <w:color w:val="767171"/>
          <w:spacing w:val="20"/>
          <w:sz w:val="24"/>
          <w:szCs w:val="24"/>
        </w:rPr>
        <w:t xml:space="preserve"> </w:t>
      </w:r>
      <w:r w:rsidR="00117AC0">
        <w:rPr>
          <w:rFonts w:ascii="Times New Roman" w:hAnsi="Times New Roman"/>
          <w:color w:val="767171"/>
          <w:spacing w:val="20"/>
          <w:sz w:val="24"/>
          <w:szCs w:val="24"/>
        </w:rPr>
        <w:t>estándar</w:t>
      </w:r>
      <w:r w:rsidRPr="00476E4F">
        <w:rPr>
          <w:rFonts w:ascii="Times New Roman" w:hAnsi="Times New Roman"/>
          <w:color w:val="767171"/>
          <w:spacing w:val="20"/>
          <w:sz w:val="24"/>
          <w:szCs w:val="24"/>
        </w:rPr>
        <w:t xml:space="preserve"> ISO 9001:2015 sobre Sistema de Gestión de la Calidad.</w:t>
      </w:r>
    </w:p>
    <w:p w14:paraId="3373F581" w14:textId="0674706C" w:rsidR="00FB229E" w:rsidRDefault="00B37843" w:rsidP="00CB4994">
      <w:pPr>
        <w:pStyle w:val="Prrafodelista"/>
        <w:numPr>
          <w:ilvl w:val="0"/>
          <w:numId w:val="19"/>
        </w:numPr>
        <w:spacing w:line="360" w:lineRule="auto"/>
        <w:contextualSpacing w:val="0"/>
        <w:jc w:val="both"/>
        <w:rPr>
          <w:rFonts w:ascii="Times New Roman" w:hAnsi="Times New Roman"/>
          <w:color w:val="767171"/>
          <w:spacing w:val="20"/>
          <w:sz w:val="24"/>
          <w:szCs w:val="24"/>
        </w:rPr>
      </w:pPr>
      <w:r w:rsidRPr="00476E4F">
        <w:rPr>
          <w:rFonts w:ascii="Times New Roman" w:hAnsi="Times New Roman"/>
          <w:color w:val="767171"/>
          <w:spacing w:val="20"/>
          <w:sz w:val="24"/>
          <w:szCs w:val="24"/>
        </w:rPr>
        <w:t>Emitidas un total de 300 respuestas a solicitudes de opiniones técnicas realizadas por los sujetos obligados a través del Departamento de Registro y Autorizaciones relacionadas a cumplimiento regulatorio. Dicho monto, representa un aumento de productividad de más del 63% con relación al año 2022. Asimismo, fueron atendidas aproximadamente 225 consultas vinculantes sometidas por las entidades reguladas y supervisadas, representando un aumento de productividad de más de 400% con relación al año 2022.</w:t>
      </w:r>
    </w:p>
    <w:p w14:paraId="172F5454" w14:textId="01B0836D" w:rsidR="00676650" w:rsidRPr="00676650" w:rsidRDefault="00B37843" w:rsidP="00CB4994">
      <w:pPr>
        <w:pStyle w:val="Prrafodelista"/>
        <w:numPr>
          <w:ilvl w:val="0"/>
          <w:numId w:val="19"/>
        </w:numPr>
        <w:spacing w:line="360" w:lineRule="auto"/>
        <w:contextualSpacing w:val="0"/>
        <w:jc w:val="both"/>
        <w:rPr>
          <w:rFonts w:ascii="Times New Roman" w:hAnsi="Times New Roman"/>
          <w:color w:val="767171"/>
          <w:spacing w:val="20"/>
          <w:sz w:val="24"/>
          <w:szCs w:val="24"/>
        </w:rPr>
      </w:pPr>
      <w:r w:rsidRPr="00476E4F">
        <w:rPr>
          <w:rFonts w:ascii="Times New Roman" w:hAnsi="Times New Roman"/>
          <w:color w:val="767171"/>
          <w:spacing w:val="20"/>
          <w:sz w:val="24"/>
          <w:szCs w:val="24"/>
        </w:rPr>
        <w:t xml:space="preserve">Implementada una versión mejorada de la herramienta para la clasificación del nivel de riesgo de LAFTPADM (Matriz de Riesgo) de las entidades </w:t>
      </w:r>
      <w:r w:rsidR="0077439D">
        <w:rPr>
          <w:rFonts w:ascii="Times New Roman" w:hAnsi="Times New Roman"/>
          <w:color w:val="767171"/>
          <w:spacing w:val="20"/>
          <w:sz w:val="24"/>
          <w:szCs w:val="24"/>
        </w:rPr>
        <w:t>supervisadas</w:t>
      </w:r>
      <w:r w:rsidRPr="00476E4F">
        <w:rPr>
          <w:rFonts w:ascii="Times New Roman" w:hAnsi="Times New Roman"/>
          <w:color w:val="767171"/>
          <w:spacing w:val="20"/>
          <w:sz w:val="24"/>
          <w:szCs w:val="24"/>
        </w:rPr>
        <w:t xml:space="preserve">, la cual considera los cuatro (4) factores de riesgo establecidos en la normativa vigente: i) Clientes; </w:t>
      </w:r>
      <w:proofErr w:type="spellStart"/>
      <w:r w:rsidRPr="00476E4F">
        <w:rPr>
          <w:rFonts w:ascii="Times New Roman" w:hAnsi="Times New Roman"/>
          <w:color w:val="767171"/>
          <w:spacing w:val="20"/>
          <w:sz w:val="24"/>
          <w:szCs w:val="24"/>
        </w:rPr>
        <w:t>ii</w:t>
      </w:r>
      <w:proofErr w:type="spellEnd"/>
      <w:r w:rsidRPr="00476E4F">
        <w:rPr>
          <w:rFonts w:ascii="Times New Roman" w:hAnsi="Times New Roman"/>
          <w:color w:val="767171"/>
          <w:spacing w:val="20"/>
          <w:sz w:val="24"/>
          <w:szCs w:val="24"/>
        </w:rPr>
        <w:t xml:space="preserve">) Productos/Servicios; </w:t>
      </w:r>
      <w:proofErr w:type="spellStart"/>
      <w:r w:rsidRPr="00476E4F">
        <w:rPr>
          <w:rFonts w:ascii="Times New Roman" w:hAnsi="Times New Roman"/>
          <w:color w:val="767171"/>
          <w:spacing w:val="20"/>
          <w:sz w:val="24"/>
          <w:szCs w:val="24"/>
        </w:rPr>
        <w:t>iii</w:t>
      </w:r>
      <w:proofErr w:type="spellEnd"/>
      <w:r w:rsidRPr="00476E4F">
        <w:rPr>
          <w:rFonts w:ascii="Times New Roman" w:hAnsi="Times New Roman"/>
          <w:color w:val="767171"/>
          <w:spacing w:val="20"/>
          <w:sz w:val="24"/>
          <w:szCs w:val="24"/>
        </w:rPr>
        <w:t xml:space="preserve">) Canales; y </w:t>
      </w:r>
      <w:proofErr w:type="spellStart"/>
      <w:r w:rsidRPr="00476E4F">
        <w:rPr>
          <w:rFonts w:ascii="Times New Roman" w:hAnsi="Times New Roman"/>
          <w:color w:val="767171"/>
          <w:spacing w:val="20"/>
          <w:sz w:val="24"/>
          <w:szCs w:val="24"/>
        </w:rPr>
        <w:t>iv</w:t>
      </w:r>
      <w:proofErr w:type="spellEnd"/>
      <w:r w:rsidRPr="00476E4F">
        <w:rPr>
          <w:rFonts w:ascii="Times New Roman" w:hAnsi="Times New Roman"/>
          <w:color w:val="767171"/>
          <w:spacing w:val="20"/>
          <w:sz w:val="24"/>
          <w:szCs w:val="24"/>
        </w:rPr>
        <w:t xml:space="preserve">) Zona </w:t>
      </w:r>
      <w:r w:rsidR="00A4792E">
        <w:rPr>
          <w:rFonts w:ascii="Times New Roman" w:hAnsi="Times New Roman"/>
          <w:color w:val="767171"/>
          <w:spacing w:val="20"/>
          <w:sz w:val="24"/>
          <w:szCs w:val="24"/>
        </w:rPr>
        <w:t>g</w:t>
      </w:r>
      <w:r w:rsidRPr="008B7DCC">
        <w:rPr>
          <w:rFonts w:ascii="Times New Roman" w:hAnsi="Times New Roman"/>
          <w:color w:val="767171"/>
          <w:spacing w:val="20"/>
          <w:sz w:val="24"/>
          <w:szCs w:val="24"/>
        </w:rPr>
        <w:t>eográfica.</w:t>
      </w:r>
      <w:r w:rsidRPr="00476E4F">
        <w:rPr>
          <w:rFonts w:ascii="Times New Roman" w:hAnsi="Times New Roman"/>
          <w:color w:val="767171"/>
          <w:spacing w:val="20"/>
          <w:sz w:val="24"/>
          <w:szCs w:val="24"/>
        </w:rPr>
        <w:t xml:space="preserve"> Con estas inclusiones se optimizó significativamente la evaluación integral de los supervisados, proporcionando el insumo necesario p</w:t>
      </w:r>
      <w:r w:rsidRPr="006E122C">
        <w:rPr>
          <w:rFonts w:ascii="Times New Roman" w:hAnsi="Times New Roman"/>
          <w:color w:val="767171"/>
          <w:spacing w:val="20"/>
          <w:sz w:val="24"/>
          <w:szCs w:val="24"/>
        </w:rPr>
        <w:t xml:space="preserve">ara la determinación de las entidades que serán incluidas en el plan de supervisión, así como para monitorear </w:t>
      </w:r>
      <w:r w:rsidR="00A4792E">
        <w:rPr>
          <w:rFonts w:ascii="Times New Roman" w:hAnsi="Times New Roman"/>
          <w:color w:val="767171"/>
          <w:spacing w:val="20"/>
          <w:sz w:val="24"/>
          <w:szCs w:val="24"/>
        </w:rPr>
        <w:t>la evolución</w:t>
      </w:r>
      <w:r w:rsidRPr="006E122C">
        <w:rPr>
          <w:rFonts w:ascii="Times New Roman" w:hAnsi="Times New Roman"/>
          <w:color w:val="767171"/>
          <w:spacing w:val="20"/>
          <w:sz w:val="24"/>
          <w:szCs w:val="24"/>
        </w:rPr>
        <w:t xml:space="preserve"> sus perfiles de riesgo.</w:t>
      </w:r>
    </w:p>
    <w:p w14:paraId="10B5CE6B" w14:textId="4CC6EB14" w:rsidR="00B37843" w:rsidRDefault="00AD417F" w:rsidP="00CB4994">
      <w:pPr>
        <w:pStyle w:val="Prrafodelista"/>
        <w:numPr>
          <w:ilvl w:val="0"/>
          <w:numId w:val="19"/>
        </w:numPr>
        <w:spacing w:line="360" w:lineRule="auto"/>
        <w:contextualSpacing w:val="0"/>
        <w:jc w:val="both"/>
        <w:rPr>
          <w:rFonts w:ascii="Times New Roman" w:hAnsi="Times New Roman"/>
          <w:color w:val="767171"/>
          <w:spacing w:val="20"/>
          <w:sz w:val="24"/>
          <w:szCs w:val="24"/>
        </w:rPr>
      </w:pPr>
      <w:r>
        <w:rPr>
          <w:rFonts w:ascii="Times New Roman" w:hAnsi="Times New Roman"/>
          <w:color w:val="767171"/>
          <w:spacing w:val="20"/>
          <w:sz w:val="24"/>
          <w:szCs w:val="24"/>
        </w:rPr>
        <w:lastRenderedPageBreak/>
        <w:t>Puesta en marcha</w:t>
      </w:r>
      <w:r w:rsidR="00B37843" w:rsidRPr="008B7DCC">
        <w:rPr>
          <w:rFonts w:ascii="Times New Roman" w:hAnsi="Times New Roman"/>
          <w:color w:val="767171"/>
          <w:spacing w:val="20"/>
          <w:sz w:val="24"/>
          <w:szCs w:val="24"/>
        </w:rPr>
        <w:t xml:space="preserve"> </w:t>
      </w:r>
      <w:r w:rsidR="005D5312">
        <w:rPr>
          <w:rFonts w:ascii="Times New Roman" w:hAnsi="Times New Roman"/>
          <w:color w:val="767171"/>
          <w:spacing w:val="20"/>
          <w:sz w:val="24"/>
          <w:szCs w:val="24"/>
        </w:rPr>
        <w:t>d</w:t>
      </w:r>
      <w:r w:rsidRPr="008B7DCC">
        <w:rPr>
          <w:rFonts w:ascii="Times New Roman" w:hAnsi="Times New Roman"/>
          <w:color w:val="767171"/>
          <w:spacing w:val="20"/>
          <w:sz w:val="24"/>
          <w:szCs w:val="24"/>
        </w:rPr>
        <w:t>el “Módulo de Solicitud Financiera” a través del “SB Interactivo”</w:t>
      </w:r>
      <w:r w:rsidR="005D5312">
        <w:rPr>
          <w:rFonts w:ascii="Times New Roman" w:hAnsi="Times New Roman"/>
          <w:color w:val="767171"/>
          <w:spacing w:val="20"/>
          <w:sz w:val="24"/>
          <w:szCs w:val="24"/>
        </w:rPr>
        <w:t>, el</w:t>
      </w:r>
      <w:r w:rsidR="00B37843" w:rsidRPr="00476E4F">
        <w:rPr>
          <w:rFonts w:ascii="Times New Roman" w:hAnsi="Times New Roman"/>
          <w:color w:val="767171"/>
          <w:spacing w:val="20"/>
          <w:sz w:val="24"/>
          <w:szCs w:val="24"/>
        </w:rPr>
        <w:t xml:space="preserve"> cual, junto a la utilización de las firmas electrónicas, permiten un intercambio más ágil y seguro de las informaciones solicitadas </w:t>
      </w:r>
      <w:r w:rsidR="00BE32FB">
        <w:rPr>
          <w:rFonts w:ascii="Times New Roman" w:hAnsi="Times New Roman"/>
          <w:color w:val="767171"/>
          <w:spacing w:val="20"/>
          <w:sz w:val="24"/>
          <w:szCs w:val="24"/>
        </w:rPr>
        <w:t>por</w:t>
      </w:r>
      <w:r w:rsidR="00B37843" w:rsidRPr="008B7DCC">
        <w:rPr>
          <w:rFonts w:ascii="Times New Roman" w:hAnsi="Times New Roman"/>
          <w:color w:val="767171"/>
          <w:spacing w:val="20"/>
          <w:sz w:val="24"/>
          <w:szCs w:val="24"/>
        </w:rPr>
        <w:t xml:space="preserve"> </w:t>
      </w:r>
      <w:r w:rsidR="009A75FA" w:rsidRPr="008B7DCC">
        <w:rPr>
          <w:rFonts w:ascii="Times New Roman" w:hAnsi="Times New Roman"/>
          <w:color w:val="767171"/>
          <w:spacing w:val="20"/>
          <w:sz w:val="24"/>
          <w:szCs w:val="24"/>
        </w:rPr>
        <w:t>organismos competentes en materia de LAFTPADM</w:t>
      </w:r>
      <w:r w:rsidR="00B37843" w:rsidRPr="008B7DCC">
        <w:rPr>
          <w:rFonts w:ascii="Times New Roman" w:hAnsi="Times New Roman"/>
          <w:color w:val="767171"/>
          <w:spacing w:val="20"/>
          <w:sz w:val="24"/>
          <w:szCs w:val="24"/>
        </w:rPr>
        <w:t>.</w:t>
      </w:r>
      <w:r w:rsidR="00B37843" w:rsidRPr="00476E4F">
        <w:rPr>
          <w:rFonts w:ascii="Times New Roman" w:hAnsi="Times New Roman"/>
          <w:color w:val="767171"/>
          <w:spacing w:val="20"/>
          <w:sz w:val="24"/>
          <w:szCs w:val="24"/>
        </w:rPr>
        <w:t xml:space="preserve"> </w:t>
      </w:r>
      <w:r w:rsidR="00B37843" w:rsidRPr="008B7DCC">
        <w:rPr>
          <w:rFonts w:ascii="Times New Roman" w:hAnsi="Times New Roman"/>
          <w:color w:val="767171"/>
          <w:spacing w:val="20"/>
          <w:sz w:val="24"/>
          <w:szCs w:val="24"/>
        </w:rPr>
        <w:t xml:space="preserve">Durante el año 2023 las solicitudes </w:t>
      </w:r>
      <w:r w:rsidR="007676CC">
        <w:rPr>
          <w:rFonts w:ascii="Times New Roman" w:hAnsi="Times New Roman"/>
          <w:color w:val="767171"/>
          <w:spacing w:val="20"/>
          <w:sz w:val="24"/>
          <w:szCs w:val="24"/>
        </w:rPr>
        <w:t>recibidas</w:t>
      </w:r>
      <w:r w:rsidR="00B37843" w:rsidRPr="008B7DCC">
        <w:rPr>
          <w:rFonts w:ascii="Times New Roman" w:hAnsi="Times New Roman"/>
          <w:color w:val="767171"/>
          <w:spacing w:val="20"/>
          <w:sz w:val="24"/>
          <w:szCs w:val="24"/>
        </w:rPr>
        <w:t xml:space="preserve"> superaron</w:t>
      </w:r>
      <w:r w:rsidR="00B37843" w:rsidRPr="00476E4F">
        <w:rPr>
          <w:rFonts w:ascii="Times New Roman" w:hAnsi="Times New Roman"/>
          <w:color w:val="767171"/>
          <w:spacing w:val="20"/>
          <w:sz w:val="24"/>
          <w:szCs w:val="24"/>
        </w:rPr>
        <w:t xml:space="preserve"> las </w:t>
      </w:r>
      <w:r w:rsidR="00E035EE">
        <w:rPr>
          <w:rFonts w:ascii="Times New Roman" w:hAnsi="Times New Roman"/>
          <w:color w:val="767171"/>
          <w:spacing w:val="20"/>
          <w:sz w:val="24"/>
          <w:szCs w:val="24"/>
        </w:rPr>
        <w:t>tres mil</w:t>
      </w:r>
      <w:r w:rsidR="00B37843" w:rsidRPr="008B7DCC">
        <w:rPr>
          <w:rFonts w:ascii="Times New Roman" w:hAnsi="Times New Roman"/>
          <w:color w:val="767171"/>
          <w:spacing w:val="20"/>
          <w:sz w:val="24"/>
          <w:szCs w:val="24"/>
        </w:rPr>
        <w:t xml:space="preserve"> </w:t>
      </w:r>
      <w:r w:rsidR="00E035EE">
        <w:rPr>
          <w:rFonts w:ascii="Times New Roman" w:hAnsi="Times New Roman"/>
          <w:color w:val="767171"/>
          <w:spacing w:val="20"/>
          <w:sz w:val="24"/>
          <w:szCs w:val="24"/>
        </w:rPr>
        <w:t>(</w:t>
      </w:r>
      <w:r w:rsidR="00B37843" w:rsidRPr="00476E4F">
        <w:rPr>
          <w:rFonts w:ascii="Times New Roman" w:hAnsi="Times New Roman"/>
          <w:color w:val="767171"/>
          <w:spacing w:val="20"/>
          <w:sz w:val="24"/>
          <w:szCs w:val="24"/>
        </w:rPr>
        <w:t>3,000</w:t>
      </w:r>
      <w:r w:rsidR="00E035EE">
        <w:rPr>
          <w:rFonts w:ascii="Times New Roman" w:hAnsi="Times New Roman"/>
          <w:color w:val="767171"/>
          <w:spacing w:val="20"/>
          <w:sz w:val="24"/>
          <w:szCs w:val="24"/>
        </w:rPr>
        <w:t>)</w:t>
      </w:r>
      <w:r w:rsidR="00D548EE">
        <w:rPr>
          <w:rFonts w:ascii="Times New Roman" w:hAnsi="Times New Roman"/>
          <w:color w:val="767171"/>
          <w:spacing w:val="20"/>
          <w:sz w:val="24"/>
          <w:szCs w:val="24"/>
        </w:rPr>
        <w:t>,</w:t>
      </w:r>
      <w:r w:rsidR="00B37843" w:rsidRPr="00476E4F">
        <w:rPr>
          <w:rFonts w:ascii="Times New Roman" w:hAnsi="Times New Roman"/>
          <w:color w:val="767171"/>
          <w:spacing w:val="20"/>
          <w:sz w:val="24"/>
          <w:szCs w:val="24"/>
        </w:rPr>
        <w:t xml:space="preserve"> </w:t>
      </w:r>
      <w:r w:rsidR="001E2FC0">
        <w:rPr>
          <w:rFonts w:ascii="Times New Roman" w:hAnsi="Times New Roman"/>
          <w:color w:val="767171"/>
          <w:spacing w:val="20"/>
          <w:sz w:val="24"/>
          <w:szCs w:val="24"/>
        </w:rPr>
        <w:t>de las cuales</w:t>
      </w:r>
      <w:r w:rsidR="00B37843" w:rsidRPr="00476E4F">
        <w:rPr>
          <w:rFonts w:ascii="Times New Roman" w:hAnsi="Times New Roman"/>
          <w:color w:val="767171"/>
          <w:spacing w:val="20"/>
          <w:sz w:val="24"/>
          <w:szCs w:val="24"/>
        </w:rPr>
        <w:t xml:space="preserve"> dos mil novecientos ocho (2,908) corresponden a solicitudes de información financiera, certificaciones de transacciones, cheques y/o documentos; setenta y cinco (75) a congelamientos o inmovilización de cuentas, y cincuenta y siete (57) a </w:t>
      </w:r>
      <w:r w:rsidR="00B37843" w:rsidRPr="008B7DCC">
        <w:rPr>
          <w:rFonts w:ascii="Times New Roman" w:hAnsi="Times New Roman"/>
          <w:color w:val="767171"/>
          <w:spacing w:val="20"/>
          <w:sz w:val="24"/>
          <w:szCs w:val="24"/>
        </w:rPr>
        <w:t>descongelamientos. Esto representa un incremento aproximado del 40% respecto del año 2022.</w:t>
      </w:r>
    </w:p>
    <w:p w14:paraId="65EE743F" w14:textId="0832AA1C" w:rsidR="00B37843" w:rsidRPr="00B37843" w:rsidRDefault="00B37843" w:rsidP="006B204A">
      <w:pPr>
        <w:spacing w:line="360" w:lineRule="auto"/>
        <w:jc w:val="both"/>
        <w:rPr>
          <w:lang w:val="es-DO"/>
        </w:rPr>
      </w:pPr>
      <w:r w:rsidRPr="00B37843">
        <w:rPr>
          <w:lang w:val="es-ES"/>
        </w:rPr>
        <w:t xml:space="preserve">Por otro lado, la Superintendencia de Bancos </w:t>
      </w:r>
      <w:r w:rsidR="00305617">
        <w:rPr>
          <w:lang w:val="es-ES"/>
        </w:rPr>
        <w:t>realizó</w:t>
      </w:r>
      <w:r w:rsidRPr="00B37843">
        <w:rPr>
          <w:lang w:val="es-ES"/>
        </w:rPr>
        <w:t xml:space="preserve"> capacitaciones de alto nivel en materia PLAFTPADM, es decir, </w:t>
      </w:r>
      <w:r w:rsidR="00B83CD6">
        <w:rPr>
          <w:lang w:val="es-ES"/>
        </w:rPr>
        <w:t>dirigidas a</w:t>
      </w:r>
      <w:r w:rsidRPr="008B7DCC">
        <w:rPr>
          <w:lang w:val="es-ES"/>
        </w:rPr>
        <w:t xml:space="preserve"> </w:t>
      </w:r>
      <w:r w:rsidRPr="00B37843">
        <w:rPr>
          <w:lang w:val="es-ES"/>
        </w:rPr>
        <w:t>consejos y/o presidentes de las entidades. Estas jornadas tuvieron una extraordinaria acogida, razón por la cual sus órganos de administración solicitaron que los temas tratados sean replicados a los directivos, comités y miembros de la primera línea de defensa</w:t>
      </w:r>
      <w:r w:rsidR="002210B5">
        <w:rPr>
          <w:lang w:val="es-ES"/>
        </w:rPr>
        <w:t xml:space="preserve">. </w:t>
      </w:r>
      <w:r w:rsidRPr="00B37843">
        <w:rPr>
          <w:lang w:val="es-ES"/>
        </w:rPr>
        <w:t>El 100% de los bancos comerciales y las asociaciones de ahorros y préstamos y 89% de los agentes de cambio y remesa recibieron al menos una capacitación</w:t>
      </w:r>
      <w:r w:rsidR="00C30BF7">
        <w:rPr>
          <w:lang w:val="es-ES"/>
        </w:rPr>
        <w:t>. Estas</w:t>
      </w:r>
      <w:r w:rsidR="00B85B1D">
        <w:rPr>
          <w:lang w:val="es-ES"/>
        </w:rPr>
        <w:t xml:space="preserve"> </w:t>
      </w:r>
      <w:r w:rsidR="003E50BE">
        <w:rPr>
          <w:lang w:val="es-ES"/>
        </w:rPr>
        <w:t>entidades representan</w:t>
      </w:r>
      <w:r w:rsidRPr="00B37843">
        <w:rPr>
          <w:lang w:val="es-ES"/>
        </w:rPr>
        <w:t xml:space="preserve"> aproximadamente </w:t>
      </w:r>
      <w:r w:rsidR="00C30BF7">
        <w:rPr>
          <w:lang w:val="es-ES"/>
        </w:rPr>
        <w:t xml:space="preserve">el </w:t>
      </w:r>
      <w:r w:rsidRPr="00B37843">
        <w:rPr>
          <w:lang w:val="es-ES"/>
        </w:rPr>
        <w:t>98% del total de activos del sistema financiero.</w:t>
      </w:r>
    </w:p>
    <w:p w14:paraId="200B0914" w14:textId="6572FD78" w:rsidR="00E52ED4" w:rsidRDefault="00C30BF7" w:rsidP="006B204A">
      <w:pPr>
        <w:spacing w:line="360" w:lineRule="auto"/>
        <w:jc w:val="both"/>
        <w:rPr>
          <w:lang w:val="es-DO"/>
        </w:rPr>
      </w:pPr>
      <w:r>
        <w:rPr>
          <w:lang w:val="es-DO"/>
        </w:rPr>
        <w:t>Concomitantemente</w:t>
      </w:r>
      <w:r w:rsidR="009F7077">
        <w:rPr>
          <w:lang w:val="es-DO"/>
        </w:rPr>
        <w:t>, l</w:t>
      </w:r>
      <w:r w:rsidR="00B37843" w:rsidRPr="008B7DCC">
        <w:rPr>
          <w:lang w:val="es-ES"/>
        </w:rPr>
        <w:t>a</w:t>
      </w:r>
      <w:r w:rsidR="00B37843" w:rsidRPr="00B37843">
        <w:rPr>
          <w:lang w:val="es-ES"/>
        </w:rPr>
        <w:t xml:space="preserve"> Superintendencia de Bancos participó como expositor en distintos foros internacionales relevantes</w:t>
      </w:r>
      <w:r w:rsidR="009F7077">
        <w:rPr>
          <w:lang w:val="es-ES"/>
        </w:rPr>
        <w:t xml:space="preserve"> </w:t>
      </w:r>
      <w:r w:rsidR="009F7077" w:rsidRPr="008B7DCC">
        <w:rPr>
          <w:lang w:val="es-ES"/>
        </w:rPr>
        <w:t>en materia PLAFTPADM</w:t>
      </w:r>
      <w:r w:rsidR="00B37843" w:rsidRPr="008B7DCC">
        <w:rPr>
          <w:lang w:val="es-ES"/>
        </w:rPr>
        <w:t>.</w:t>
      </w:r>
      <w:r w:rsidR="00B37843" w:rsidRPr="00B37843">
        <w:rPr>
          <w:lang w:val="es-ES"/>
        </w:rPr>
        <w:t xml:space="preserve"> Se destacan el congreso organizado por la Financial Intelligence Unit (Unidad de Análisis Financiero) de Latvia, a los fines de intercambiar pareceres sobre los avances PLAFT de la región; el Congreso ACAMS LATAM que corresponde a una de las principales certificaciones internacionales LAFT avalada por la </w:t>
      </w:r>
      <w:r w:rsidR="00B37843" w:rsidRPr="00B37843">
        <w:rPr>
          <w:lang w:val="es-ES"/>
        </w:rPr>
        <w:lastRenderedPageBreak/>
        <w:t>Asociación de Especialistas Certificados en Antilavado de Dinero (ACAMS); Conferencia integral sobre Compliance: Una Visión Internacional de la Prevención de Lavado de Dinero, Operaciones con Recursos de Procedencia Ilícita, Gestión de Riesgos y Tecnología organizado por la Confederación Patronal de la República Mexicana (COPARMEX), la Asociación de Especialistas Certificados en Delitos Financieros (ACFCS) y el Comité Nacional de Unidades de Inteligencia Anti-Lavado de Dinero (CONAUIALD).</w:t>
      </w:r>
      <w:r w:rsidR="00B37843" w:rsidRPr="00B37843">
        <w:rPr>
          <w:lang w:val="es-DO"/>
        </w:rPr>
        <w:t> </w:t>
      </w:r>
    </w:p>
    <w:p w14:paraId="5CBAA38C" w14:textId="77777777" w:rsidR="00823824" w:rsidRPr="00823824" w:rsidRDefault="00823824" w:rsidP="006B204A">
      <w:pPr>
        <w:spacing w:line="360" w:lineRule="auto"/>
        <w:jc w:val="both"/>
        <w:rPr>
          <w:lang w:val="es-DO"/>
        </w:rPr>
      </w:pPr>
    </w:p>
    <w:p w14:paraId="626813EA" w14:textId="3C951166" w:rsidR="00E52ED4" w:rsidRPr="00C865B6" w:rsidRDefault="00C94DAB" w:rsidP="006B204A">
      <w:pPr>
        <w:pStyle w:val="Estilo3"/>
        <w:spacing w:before="0" w:after="160" w:line="360" w:lineRule="auto"/>
        <w:rPr>
          <w:b/>
          <w:szCs w:val="24"/>
          <w:highlight w:val="green"/>
        </w:rPr>
      </w:pPr>
      <w:bookmarkStart w:id="35" w:name="_Toc122435008"/>
      <w:bookmarkStart w:id="36" w:name="_Toc123046913"/>
      <w:bookmarkStart w:id="37" w:name="_Toc155354612"/>
      <w:r>
        <w:rPr>
          <w:b/>
          <w:szCs w:val="24"/>
        </w:rPr>
        <w:t>3</w:t>
      </w:r>
      <w:r w:rsidR="00E52ED4" w:rsidRPr="00C865B6">
        <w:rPr>
          <w:b/>
          <w:szCs w:val="24"/>
        </w:rPr>
        <w:t>.</w:t>
      </w:r>
      <w:r w:rsidR="000E6F34">
        <w:rPr>
          <w:b/>
          <w:szCs w:val="24"/>
        </w:rPr>
        <w:t>5</w:t>
      </w:r>
      <w:r w:rsidR="00E52ED4" w:rsidRPr="00C865B6">
        <w:rPr>
          <w:b/>
          <w:szCs w:val="24"/>
        </w:rPr>
        <w:t xml:space="preserve"> Procesos Sancionadores</w:t>
      </w:r>
      <w:bookmarkEnd w:id="35"/>
      <w:bookmarkEnd w:id="36"/>
      <w:bookmarkEnd w:id="37"/>
    </w:p>
    <w:p w14:paraId="0DCFE32B" w14:textId="6BE8DDB8" w:rsidR="006E6F0E" w:rsidRPr="00823824" w:rsidRDefault="006E6F0E" w:rsidP="006B204A">
      <w:pPr>
        <w:tabs>
          <w:tab w:val="left" w:pos="7478"/>
        </w:tabs>
        <w:spacing w:line="360" w:lineRule="auto"/>
        <w:jc w:val="both"/>
        <w:rPr>
          <w:lang w:val="es-ES"/>
        </w:rPr>
      </w:pPr>
      <w:r w:rsidRPr="00823824">
        <w:rPr>
          <w:lang w:val="es-ES"/>
        </w:rPr>
        <w:t xml:space="preserve">Con el fin de lograr la integridad del sistema financiero nacional, </w:t>
      </w:r>
      <w:r w:rsidR="00263A40" w:rsidRPr="00823824">
        <w:rPr>
          <w:lang w:val="es-ES"/>
        </w:rPr>
        <w:t>la Superintendencia de Bancos ha</w:t>
      </w:r>
      <w:r w:rsidRPr="00823824">
        <w:rPr>
          <w:lang w:val="es-ES"/>
        </w:rPr>
        <w:t xml:space="preserve"> tenido la facultad de iniciar procedimientos de naturaleza sancionador e imponer las correspondientes sanciones </w:t>
      </w:r>
      <w:r w:rsidR="00481A32" w:rsidRPr="00823824">
        <w:rPr>
          <w:lang w:val="es-ES"/>
        </w:rPr>
        <w:t>a</w:t>
      </w:r>
      <w:r w:rsidRPr="00823824">
        <w:rPr>
          <w:lang w:val="es-ES"/>
        </w:rPr>
        <w:t xml:space="preserve"> las entidades supervisadas que transgredan la norma</w:t>
      </w:r>
      <w:r w:rsidR="00560286" w:rsidRPr="00823824">
        <w:rPr>
          <w:lang w:val="es-ES"/>
        </w:rPr>
        <w:t>tiva</w:t>
      </w:r>
      <w:r w:rsidRPr="00823824">
        <w:rPr>
          <w:lang w:val="es-ES"/>
        </w:rPr>
        <w:t xml:space="preserve"> vigente y que, como consecuencia de sus hechos, le sean aplicables.</w:t>
      </w:r>
    </w:p>
    <w:p w14:paraId="7B4AA7C8" w14:textId="128AA501" w:rsidR="006E6F0E" w:rsidRPr="00823824" w:rsidRDefault="006E6F0E" w:rsidP="006B204A">
      <w:pPr>
        <w:spacing w:line="360" w:lineRule="auto"/>
        <w:jc w:val="both"/>
        <w:rPr>
          <w:lang w:val="es-ES"/>
        </w:rPr>
      </w:pPr>
      <w:r w:rsidRPr="00823824">
        <w:rPr>
          <w:lang w:val="es-ES"/>
        </w:rPr>
        <w:t>En el año 2023, la Superintendencia de Bancos realizo profundas transformaciones institucionales en lo que respecta al procedimiento administrativo sancionador con el objetivo principal de establecer el respeto al debido proceso administrativo y a las garantías fundamentales que protegen a los administrados.</w:t>
      </w:r>
    </w:p>
    <w:p w14:paraId="7A13A893" w14:textId="77777777" w:rsidR="006E6F0E" w:rsidRPr="00823824" w:rsidRDefault="006E6F0E" w:rsidP="006B204A">
      <w:pPr>
        <w:spacing w:line="360" w:lineRule="auto"/>
        <w:jc w:val="both"/>
        <w:rPr>
          <w:lang w:val="es-ES"/>
        </w:rPr>
      </w:pPr>
      <w:r w:rsidRPr="00823824">
        <w:rPr>
          <w:lang w:val="es-ES"/>
        </w:rPr>
        <w:t>Lo anterior ha tenido como resultado la aplicación de sanciones legales y compatibles con las infracciones perseguidas, generando así un mayor efecto disuasorio, así como una tendencia al alza en cuanto a los recursos interpuestos por las entidades de intermediación financiera y cambiaria.  </w:t>
      </w:r>
    </w:p>
    <w:p w14:paraId="5F371898" w14:textId="77777777" w:rsidR="006E6F0E" w:rsidRPr="00823824" w:rsidRDefault="006E6F0E" w:rsidP="006B204A">
      <w:pPr>
        <w:spacing w:line="360" w:lineRule="auto"/>
        <w:jc w:val="both"/>
        <w:rPr>
          <w:lang w:val="es-ES"/>
        </w:rPr>
      </w:pPr>
      <w:r w:rsidRPr="00823824">
        <w:rPr>
          <w:lang w:val="es-ES"/>
        </w:rPr>
        <w:lastRenderedPageBreak/>
        <w:t>Entre los logros alcanzados por la Superintendencia de Bancos en materia de sanciones, durante el año 2023, se destacan los siguientes: </w:t>
      </w:r>
    </w:p>
    <w:p w14:paraId="1B3EBF53" w14:textId="6AA85239" w:rsidR="006E6F0E" w:rsidRPr="006E6F0E" w:rsidRDefault="006E6F0E" w:rsidP="00CB4994">
      <w:pPr>
        <w:numPr>
          <w:ilvl w:val="0"/>
          <w:numId w:val="4"/>
        </w:numPr>
        <w:spacing w:line="360" w:lineRule="auto"/>
        <w:jc w:val="both"/>
        <w:rPr>
          <w:rFonts w:eastAsia="Times New Roman"/>
          <w:lang w:val="es-DO"/>
        </w:rPr>
      </w:pPr>
      <w:r w:rsidRPr="006E6F0E">
        <w:rPr>
          <w:rFonts w:eastAsia="Times New Roman"/>
          <w:lang w:val="es-DO"/>
        </w:rPr>
        <w:t>Procesamiento de 118 incumplimientos detectados, así también, la elaboración de pliegos y tramitación de 71 procedimientos sancionadores y la aplicación de sanciones por un monto de RD$ 34.26 millones</w:t>
      </w:r>
      <w:r w:rsidR="00B07FB1" w:rsidRPr="006E6F0E">
        <w:rPr>
          <w:rFonts w:eastAsia="Times New Roman"/>
          <w:lang w:val="es-DO"/>
        </w:rPr>
        <w:t>.</w:t>
      </w:r>
      <w:r w:rsidR="00B07FB1">
        <w:rPr>
          <w:rFonts w:eastAsia="Times New Roman"/>
          <w:lang w:val="es-DO"/>
        </w:rPr>
        <w:t xml:space="preserve"> (</w:t>
      </w:r>
      <w:r w:rsidR="00FD138D">
        <w:rPr>
          <w:rFonts w:eastAsia="Times New Roman"/>
          <w:lang w:val="es-DO"/>
        </w:rPr>
        <w:t xml:space="preserve">Ver tabla </w:t>
      </w:r>
      <w:r w:rsidR="00AC7C33">
        <w:rPr>
          <w:rFonts w:eastAsia="Times New Roman"/>
          <w:lang w:val="es-DO"/>
        </w:rPr>
        <w:t>3</w:t>
      </w:r>
      <w:r w:rsidR="00FD138D">
        <w:rPr>
          <w:rFonts w:eastAsia="Times New Roman"/>
          <w:lang w:val="es-DO"/>
        </w:rPr>
        <w:t>).</w:t>
      </w:r>
    </w:p>
    <w:p w14:paraId="51234EBF" w14:textId="3D650E62" w:rsidR="00FE2F9F" w:rsidRPr="007A7CAB" w:rsidRDefault="001D393D" w:rsidP="006B204A">
      <w:pPr>
        <w:spacing w:line="360" w:lineRule="auto"/>
        <w:jc w:val="center"/>
        <w:rPr>
          <w:rFonts w:eastAsia="Times New Roman"/>
          <w:b/>
          <w:bCs/>
          <w:lang w:val="es-DO"/>
        </w:rPr>
      </w:pPr>
      <w:r w:rsidRPr="007A7CAB">
        <w:rPr>
          <w:rFonts w:eastAsia="Times New Roman"/>
          <w:b/>
          <w:bCs/>
          <w:lang w:val="es-DO"/>
        </w:rPr>
        <w:t xml:space="preserve">Tabla </w:t>
      </w:r>
      <w:r w:rsidR="00AB2763" w:rsidRPr="007A7CAB">
        <w:rPr>
          <w:rFonts w:eastAsia="Times New Roman"/>
          <w:b/>
          <w:bCs/>
          <w:lang w:val="es-DO"/>
        </w:rPr>
        <w:t>3</w:t>
      </w:r>
      <w:r w:rsidRPr="007A7CAB">
        <w:rPr>
          <w:rFonts w:eastAsia="Times New Roman"/>
          <w:b/>
          <w:bCs/>
          <w:lang w:val="es-DO"/>
        </w:rPr>
        <w:t>. Sanciones impuestas según tipo de entidad y monto, año 2023</w:t>
      </w:r>
    </w:p>
    <w:tbl>
      <w:tblPr>
        <w:tblW w:w="735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30"/>
        <w:gridCol w:w="2220"/>
      </w:tblGrid>
      <w:tr w:rsidR="00FE2F9F" w:rsidRPr="00FE2F9F" w14:paraId="2726C694" w14:textId="77777777" w:rsidTr="000356E0">
        <w:trPr>
          <w:trHeight w:val="572"/>
          <w:jc w:val="center"/>
        </w:trPr>
        <w:tc>
          <w:tcPr>
            <w:tcW w:w="5130" w:type="dxa"/>
            <w:tcBorders>
              <w:top w:val="single" w:sz="6" w:space="0" w:color="auto"/>
              <w:left w:val="single" w:sz="6" w:space="0" w:color="auto"/>
              <w:bottom w:val="single" w:sz="6" w:space="0" w:color="auto"/>
              <w:right w:val="single" w:sz="6" w:space="0" w:color="000000"/>
            </w:tcBorders>
            <w:shd w:val="clear" w:color="auto" w:fill="011C50"/>
            <w:vAlign w:val="center"/>
            <w:hideMark/>
          </w:tcPr>
          <w:p w14:paraId="5290DAC4" w14:textId="77777777" w:rsidR="00FE2F9F" w:rsidRPr="00FE2F9F" w:rsidRDefault="00FE2F9F" w:rsidP="006B204A">
            <w:pPr>
              <w:spacing w:after="0" w:line="240" w:lineRule="auto"/>
              <w:jc w:val="center"/>
              <w:textAlignment w:val="baseline"/>
              <w:rPr>
                <w:rFonts w:eastAsia="Times New Roman"/>
                <w:color w:val="auto"/>
                <w:spacing w:val="0"/>
                <w:lang w:val="es-DO" w:eastAsia="es-DO"/>
              </w:rPr>
            </w:pPr>
            <w:r w:rsidRPr="00FE2F9F">
              <w:rPr>
                <w:rFonts w:eastAsia="Times New Roman"/>
                <w:b/>
                <w:bCs/>
                <w:color w:val="FFFFFF"/>
                <w:spacing w:val="0"/>
                <w:lang w:val="es-DO" w:eastAsia="es-DO"/>
              </w:rPr>
              <w:t>Tipo de Entidad</w:t>
            </w:r>
            <w:r w:rsidRPr="00FE2F9F">
              <w:rPr>
                <w:rFonts w:eastAsia="Times New Roman"/>
                <w:color w:val="auto"/>
                <w:spacing w:val="0"/>
                <w:lang w:val="es-DO" w:eastAsia="es-DO"/>
              </w:rPr>
              <w:t> </w:t>
            </w:r>
          </w:p>
        </w:tc>
        <w:tc>
          <w:tcPr>
            <w:tcW w:w="2220" w:type="dxa"/>
            <w:tcBorders>
              <w:top w:val="single" w:sz="6" w:space="0" w:color="auto"/>
              <w:left w:val="single" w:sz="6" w:space="0" w:color="auto"/>
              <w:bottom w:val="single" w:sz="6" w:space="0" w:color="auto"/>
              <w:right w:val="single" w:sz="6" w:space="0" w:color="000000"/>
            </w:tcBorders>
            <w:shd w:val="clear" w:color="auto" w:fill="011C50"/>
            <w:vAlign w:val="center"/>
            <w:hideMark/>
          </w:tcPr>
          <w:p w14:paraId="1A2561D4" w14:textId="77777777" w:rsidR="00FE2F9F" w:rsidRPr="00FE2F9F" w:rsidRDefault="00FE2F9F" w:rsidP="006B204A">
            <w:pPr>
              <w:spacing w:after="0" w:line="240" w:lineRule="auto"/>
              <w:jc w:val="center"/>
              <w:textAlignment w:val="baseline"/>
              <w:rPr>
                <w:rFonts w:eastAsia="Times New Roman"/>
                <w:color w:val="auto"/>
                <w:spacing w:val="0"/>
                <w:lang w:val="es-DO" w:eastAsia="es-DO"/>
              </w:rPr>
            </w:pPr>
            <w:r w:rsidRPr="00FE2F9F">
              <w:rPr>
                <w:rFonts w:eastAsia="Times New Roman"/>
                <w:b/>
                <w:bCs/>
                <w:color w:val="FFFFFF"/>
                <w:spacing w:val="0"/>
                <w:lang w:val="es-DO" w:eastAsia="es-DO"/>
              </w:rPr>
              <w:t>Sanciones</w:t>
            </w:r>
            <w:r w:rsidRPr="00FE2F9F">
              <w:rPr>
                <w:rFonts w:eastAsia="Times New Roman"/>
                <w:color w:val="auto"/>
                <w:spacing w:val="0"/>
                <w:lang w:val="es-DO" w:eastAsia="es-DO"/>
              </w:rPr>
              <w:t> </w:t>
            </w:r>
          </w:p>
        </w:tc>
      </w:tr>
      <w:tr w:rsidR="00FE2F9F" w:rsidRPr="00FE2F9F" w14:paraId="468AA54B" w14:textId="77777777" w:rsidTr="000356E0">
        <w:trPr>
          <w:trHeight w:val="315"/>
          <w:jc w:val="center"/>
        </w:trPr>
        <w:tc>
          <w:tcPr>
            <w:tcW w:w="513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59CD6F6" w14:textId="77777777" w:rsidR="00FE2F9F" w:rsidRPr="00FE2F9F" w:rsidRDefault="00FE2F9F" w:rsidP="006B204A">
            <w:pPr>
              <w:spacing w:after="0" w:line="240" w:lineRule="auto"/>
              <w:textAlignment w:val="baseline"/>
              <w:rPr>
                <w:rFonts w:eastAsia="Times New Roman"/>
                <w:lang w:val="es-DO"/>
              </w:rPr>
            </w:pPr>
            <w:r w:rsidRPr="00FE2F9F">
              <w:rPr>
                <w:rFonts w:eastAsia="Times New Roman"/>
                <w:lang w:val="es-DO"/>
              </w:rPr>
              <w:t>Bancos Múltiples </w:t>
            </w:r>
          </w:p>
        </w:tc>
        <w:tc>
          <w:tcPr>
            <w:tcW w:w="222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CEF61E0" w14:textId="77777777" w:rsidR="00FE2F9F" w:rsidRPr="00FE2F9F" w:rsidRDefault="00FE2F9F" w:rsidP="006B204A">
            <w:pPr>
              <w:spacing w:after="0" w:line="240" w:lineRule="auto"/>
              <w:jc w:val="center"/>
              <w:textAlignment w:val="baseline"/>
              <w:rPr>
                <w:rFonts w:eastAsia="Times New Roman"/>
                <w:lang w:val="es-DO"/>
              </w:rPr>
            </w:pPr>
            <w:r w:rsidRPr="00FE2F9F">
              <w:rPr>
                <w:rFonts w:eastAsia="Times New Roman"/>
                <w:lang w:val="es-DO"/>
              </w:rPr>
              <w:t>28 </w:t>
            </w:r>
          </w:p>
        </w:tc>
      </w:tr>
      <w:tr w:rsidR="00FE2F9F" w:rsidRPr="00FE2F9F" w14:paraId="430244C4" w14:textId="77777777" w:rsidTr="000356E0">
        <w:trPr>
          <w:trHeight w:val="315"/>
          <w:jc w:val="center"/>
        </w:trPr>
        <w:tc>
          <w:tcPr>
            <w:tcW w:w="513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4FF3FCB2" w14:textId="77777777" w:rsidR="00FE2F9F" w:rsidRPr="00FE2F9F" w:rsidRDefault="00FE2F9F" w:rsidP="006B204A">
            <w:pPr>
              <w:spacing w:after="0" w:line="240" w:lineRule="auto"/>
              <w:textAlignment w:val="baseline"/>
              <w:rPr>
                <w:rFonts w:eastAsia="Times New Roman"/>
                <w:lang w:val="es-DO"/>
              </w:rPr>
            </w:pPr>
            <w:r w:rsidRPr="00FE2F9F">
              <w:rPr>
                <w:rFonts w:eastAsia="Times New Roman"/>
                <w:lang w:val="es-DO"/>
              </w:rPr>
              <w:t>Agentes de Cambio </w:t>
            </w:r>
          </w:p>
        </w:tc>
        <w:tc>
          <w:tcPr>
            <w:tcW w:w="222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E321952" w14:textId="77777777" w:rsidR="00FE2F9F" w:rsidRPr="00FE2F9F" w:rsidRDefault="00FE2F9F" w:rsidP="006B204A">
            <w:pPr>
              <w:spacing w:after="0" w:line="240" w:lineRule="auto"/>
              <w:jc w:val="center"/>
              <w:textAlignment w:val="baseline"/>
              <w:rPr>
                <w:rFonts w:eastAsia="Times New Roman"/>
                <w:lang w:val="es-DO"/>
              </w:rPr>
            </w:pPr>
            <w:r w:rsidRPr="00FE2F9F">
              <w:rPr>
                <w:rFonts w:eastAsia="Times New Roman"/>
                <w:lang w:val="es-DO"/>
              </w:rPr>
              <w:t>8 </w:t>
            </w:r>
          </w:p>
        </w:tc>
      </w:tr>
      <w:tr w:rsidR="00FE2F9F" w:rsidRPr="00FE2F9F" w14:paraId="3073DF98" w14:textId="77777777" w:rsidTr="000356E0">
        <w:trPr>
          <w:trHeight w:val="315"/>
          <w:jc w:val="center"/>
        </w:trPr>
        <w:tc>
          <w:tcPr>
            <w:tcW w:w="513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4914F536" w14:textId="77777777" w:rsidR="00FE2F9F" w:rsidRPr="00FE2F9F" w:rsidRDefault="00FE2F9F" w:rsidP="006B204A">
            <w:pPr>
              <w:spacing w:after="0" w:line="240" w:lineRule="auto"/>
              <w:textAlignment w:val="baseline"/>
              <w:rPr>
                <w:rFonts w:eastAsia="Times New Roman"/>
                <w:lang w:val="es-DO"/>
              </w:rPr>
            </w:pPr>
            <w:r w:rsidRPr="00FE2F9F">
              <w:rPr>
                <w:rFonts w:eastAsia="Times New Roman"/>
                <w:lang w:val="es-DO"/>
              </w:rPr>
              <w:t>Bancos de Ahorro y Crédito </w:t>
            </w:r>
          </w:p>
        </w:tc>
        <w:tc>
          <w:tcPr>
            <w:tcW w:w="222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440FE292" w14:textId="77777777" w:rsidR="00FE2F9F" w:rsidRPr="00FE2F9F" w:rsidRDefault="00FE2F9F" w:rsidP="006B204A">
            <w:pPr>
              <w:spacing w:after="0" w:line="240" w:lineRule="auto"/>
              <w:jc w:val="center"/>
              <w:textAlignment w:val="baseline"/>
              <w:rPr>
                <w:rFonts w:eastAsia="Times New Roman"/>
                <w:lang w:val="es-DO"/>
              </w:rPr>
            </w:pPr>
            <w:r w:rsidRPr="00FE2F9F">
              <w:rPr>
                <w:rFonts w:eastAsia="Times New Roman"/>
                <w:lang w:val="es-DO"/>
              </w:rPr>
              <w:t>5 </w:t>
            </w:r>
          </w:p>
        </w:tc>
      </w:tr>
      <w:tr w:rsidR="00FE2F9F" w:rsidRPr="00FE2F9F" w14:paraId="1FD3F8FE" w14:textId="77777777" w:rsidTr="000356E0">
        <w:trPr>
          <w:trHeight w:val="315"/>
          <w:jc w:val="center"/>
        </w:trPr>
        <w:tc>
          <w:tcPr>
            <w:tcW w:w="513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68559AEA" w14:textId="77777777" w:rsidR="00FE2F9F" w:rsidRPr="00FE2F9F" w:rsidRDefault="00FE2F9F" w:rsidP="006B204A">
            <w:pPr>
              <w:spacing w:after="0" w:line="240" w:lineRule="auto"/>
              <w:textAlignment w:val="baseline"/>
              <w:rPr>
                <w:rFonts w:eastAsia="Times New Roman"/>
                <w:lang w:val="es-DO"/>
              </w:rPr>
            </w:pPr>
            <w:r w:rsidRPr="00FE2F9F">
              <w:rPr>
                <w:rFonts w:eastAsia="Times New Roman"/>
                <w:lang w:val="es-DO"/>
              </w:rPr>
              <w:t>Asociaciones de Ahorros y Préstamos </w:t>
            </w:r>
          </w:p>
        </w:tc>
        <w:tc>
          <w:tcPr>
            <w:tcW w:w="222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724F4E6" w14:textId="77777777" w:rsidR="00FE2F9F" w:rsidRPr="00FE2F9F" w:rsidRDefault="00FE2F9F" w:rsidP="006B204A">
            <w:pPr>
              <w:spacing w:after="0" w:line="240" w:lineRule="auto"/>
              <w:jc w:val="center"/>
              <w:textAlignment w:val="baseline"/>
              <w:rPr>
                <w:rFonts w:eastAsia="Times New Roman"/>
                <w:lang w:val="es-DO"/>
              </w:rPr>
            </w:pPr>
            <w:r w:rsidRPr="00FE2F9F">
              <w:rPr>
                <w:rFonts w:eastAsia="Times New Roman"/>
                <w:lang w:val="es-DO"/>
              </w:rPr>
              <w:t>8 </w:t>
            </w:r>
          </w:p>
        </w:tc>
      </w:tr>
      <w:tr w:rsidR="00FE2F9F" w:rsidRPr="00FE2F9F" w14:paraId="2995F84F" w14:textId="77777777" w:rsidTr="000356E0">
        <w:trPr>
          <w:trHeight w:val="315"/>
          <w:jc w:val="center"/>
        </w:trPr>
        <w:tc>
          <w:tcPr>
            <w:tcW w:w="513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203EF28" w14:textId="77777777" w:rsidR="00FE2F9F" w:rsidRPr="00FE2F9F" w:rsidRDefault="00FE2F9F" w:rsidP="006B204A">
            <w:pPr>
              <w:spacing w:after="0" w:line="240" w:lineRule="auto"/>
              <w:textAlignment w:val="baseline"/>
              <w:rPr>
                <w:rFonts w:eastAsia="Times New Roman"/>
                <w:lang w:val="es-DO"/>
              </w:rPr>
            </w:pPr>
            <w:r w:rsidRPr="00FE2F9F">
              <w:rPr>
                <w:rFonts w:eastAsia="Times New Roman"/>
                <w:lang w:val="es-DO"/>
              </w:rPr>
              <w:t>Corporaciones Crédito </w:t>
            </w:r>
          </w:p>
        </w:tc>
        <w:tc>
          <w:tcPr>
            <w:tcW w:w="222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BFAA4EE" w14:textId="77777777" w:rsidR="00FE2F9F" w:rsidRPr="00FE2F9F" w:rsidRDefault="00FE2F9F" w:rsidP="006B204A">
            <w:pPr>
              <w:spacing w:after="0" w:line="240" w:lineRule="auto"/>
              <w:jc w:val="center"/>
              <w:textAlignment w:val="baseline"/>
              <w:rPr>
                <w:rFonts w:eastAsia="Times New Roman"/>
                <w:lang w:val="es-DO"/>
              </w:rPr>
            </w:pPr>
            <w:r w:rsidRPr="00FE2F9F">
              <w:rPr>
                <w:rFonts w:eastAsia="Times New Roman"/>
                <w:lang w:val="es-DO"/>
              </w:rPr>
              <w:t>1 </w:t>
            </w:r>
          </w:p>
        </w:tc>
      </w:tr>
      <w:tr w:rsidR="00FE2F9F" w:rsidRPr="00FE2F9F" w14:paraId="0C4516AD" w14:textId="77777777" w:rsidTr="000356E0">
        <w:trPr>
          <w:trHeight w:val="315"/>
          <w:jc w:val="center"/>
        </w:trPr>
        <w:tc>
          <w:tcPr>
            <w:tcW w:w="513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963AADD" w14:textId="77777777" w:rsidR="00FE2F9F" w:rsidRPr="00FE2F9F" w:rsidRDefault="00FE2F9F" w:rsidP="006B204A">
            <w:pPr>
              <w:spacing w:after="0" w:line="240" w:lineRule="auto"/>
              <w:textAlignment w:val="baseline"/>
              <w:rPr>
                <w:rFonts w:eastAsia="Times New Roman"/>
                <w:lang w:val="es-DO"/>
              </w:rPr>
            </w:pPr>
            <w:r w:rsidRPr="00FE2F9F">
              <w:rPr>
                <w:rFonts w:eastAsia="Times New Roman"/>
                <w:lang w:val="es-DO"/>
              </w:rPr>
              <w:t>Agentes de Remesas y Cambio </w:t>
            </w:r>
          </w:p>
        </w:tc>
        <w:tc>
          <w:tcPr>
            <w:tcW w:w="2220"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7F9EDB04" w14:textId="77777777" w:rsidR="00FE2F9F" w:rsidRPr="00FE2F9F" w:rsidRDefault="00FE2F9F" w:rsidP="006B204A">
            <w:pPr>
              <w:spacing w:after="0" w:line="240" w:lineRule="auto"/>
              <w:jc w:val="center"/>
              <w:textAlignment w:val="baseline"/>
              <w:rPr>
                <w:rFonts w:eastAsia="Times New Roman"/>
                <w:lang w:val="es-DO"/>
              </w:rPr>
            </w:pPr>
            <w:r w:rsidRPr="00FE2F9F">
              <w:rPr>
                <w:rFonts w:eastAsia="Times New Roman"/>
                <w:lang w:val="es-DO"/>
              </w:rPr>
              <w:t>2 </w:t>
            </w:r>
          </w:p>
        </w:tc>
      </w:tr>
      <w:tr w:rsidR="00FE2F9F" w:rsidRPr="00FE2F9F" w14:paraId="547D801B" w14:textId="77777777" w:rsidTr="000356E0">
        <w:trPr>
          <w:trHeight w:val="424"/>
          <w:jc w:val="center"/>
        </w:trPr>
        <w:tc>
          <w:tcPr>
            <w:tcW w:w="5130" w:type="dxa"/>
            <w:tcBorders>
              <w:top w:val="single" w:sz="6" w:space="0" w:color="auto"/>
              <w:left w:val="single" w:sz="6" w:space="0" w:color="auto"/>
              <w:bottom w:val="single" w:sz="6" w:space="0" w:color="auto"/>
              <w:right w:val="single" w:sz="6" w:space="0" w:color="000000"/>
            </w:tcBorders>
            <w:shd w:val="clear" w:color="auto" w:fill="011C50"/>
            <w:vAlign w:val="center"/>
            <w:hideMark/>
          </w:tcPr>
          <w:p w14:paraId="5183A5D1" w14:textId="36608854" w:rsidR="00FE2F9F" w:rsidRPr="00FE2F9F" w:rsidRDefault="00FE2F9F" w:rsidP="006B204A">
            <w:pPr>
              <w:spacing w:after="0" w:line="240" w:lineRule="auto"/>
              <w:textAlignment w:val="baseline"/>
              <w:rPr>
                <w:rFonts w:eastAsia="Times New Roman"/>
                <w:color w:val="auto"/>
                <w:spacing w:val="0"/>
                <w:lang w:val="es-DO" w:eastAsia="es-DO"/>
              </w:rPr>
            </w:pPr>
            <w:r w:rsidRPr="00FE2F9F">
              <w:rPr>
                <w:rFonts w:eastAsia="Times New Roman"/>
                <w:b/>
                <w:bCs/>
                <w:color w:val="FFFFFF"/>
                <w:spacing w:val="0"/>
                <w:lang w:val="es-DO" w:eastAsia="es-DO"/>
              </w:rPr>
              <w:t>Total</w:t>
            </w:r>
          </w:p>
        </w:tc>
        <w:tc>
          <w:tcPr>
            <w:tcW w:w="2220" w:type="dxa"/>
            <w:tcBorders>
              <w:top w:val="single" w:sz="6" w:space="0" w:color="auto"/>
              <w:left w:val="single" w:sz="6" w:space="0" w:color="auto"/>
              <w:bottom w:val="single" w:sz="6" w:space="0" w:color="auto"/>
              <w:right w:val="single" w:sz="6" w:space="0" w:color="000000"/>
            </w:tcBorders>
            <w:shd w:val="clear" w:color="auto" w:fill="011C50"/>
            <w:vAlign w:val="center"/>
            <w:hideMark/>
          </w:tcPr>
          <w:p w14:paraId="427D1AE4" w14:textId="305AD030" w:rsidR="00FE2F9F" w:rsidRPr="00FE2F9F" w:rsidRDefault="00FE2F9F" w:rsidP="006B204A">
            <w:pPr>
              <w:spacing w:after="0" w:line="240" w:lineRule="auto"/>
              <w:jc w:val="center"/>
              <w:textAlignment w:val="baseline"/>
              <w:rPr>
                <w:rFonts w:eastAsia="Times New Roman"/>
                <w:color w:val="auto"/>
                <w:spacing w:val="0"/>
                <w:lang w:val="es-DO" w:eastAsia="es-DO"/>
              </w:rPr>
            </w:pPr>
            <w:r w:rsidRPr="00FE2F9F">
              <w:rPr>
                <w:rFonts w:eastAsia="Times New Roman"/>
                <w:b/>
                <w:bCs/>
                <w:color w:val="FFFFFF"/>
                <w:spacing w:val="0"/>
                <w:lang w:val="es-DO" w:eastAsia="es-DO"/>
              </w:rPr>
              <w:t>52</w:t>
            </w:r>
          </w:p>
        </w:tc>
      </w:tr>
    </w:tbl>
    <w:p w14:paraId="67BFC5BC" w14:textId="761F6359" w:rsidR="00981281" w:rsidRPr="00D749BE" w:rsidRDefault="005A3A50" w:rsidP="006B204A">
      <w:pPr>
        <w:spacing w:line="360" w:lineRule="auto"/>
        <w:jc w:val="center"/>
        <w:rPr>
          <w:rFonts w:eastAsia="Times New Roman"/>
          <w:lang w:val="es-DO"/>
        </w:rPr>
      </w:pPr>
      <w:r w:rsidRPr="00D749BE">
        <w:rPr>
          <w:rFonts w:eastAsia="Times New Roman"/>
          <w:b/>
          <w:bCs/>
          <w:lang w:val="es-DO"/>
        </w:rPr>
        <w:t>Fuente</w:t>
      </w:r>
      <w:r w:rsidRPr="00D749BE">
        <w:rPr>
          <w:rFonts w:eastAsia="Times New Roman"/>
          <w:lang w:val="es-DO"/>
        </w:rPr>
        <w:t>: Departamento de Sanciones de la Superintendencia de Bancos de la República Dominicana.</w:t>
      </w:r>
    </w:p>
    <w:p w14:paraId="3096DD69" w14:textId="77777777" w:rsidR="006B014A" w:rsidRDefault="00981281" w:rsidP="006B204A">
      <w:pPr>
        <w:spacing w:line="360" w:lineRule="auto"/>
        <w:jc w:val="both"/>
        <w:rPr>
          <w:rFonts w:eastAsia="Times New Roman"/>
          <w:lang w:val="es-DO"/>
        </w:rPr>
      </w:pPr>
      <w:r w:rsidRPr="00981281">
        <w:rPr>
          <w:rFonts w:eastAsia="Times New Roman"/>
          <w:lang w:val="es-DO"/>
        </w:rPr>
        <w:t xml:space="preserve">  </w:t>
      </w:r>
      <w:bookmarkStart w:id="38" w:name="_Hlk89791795"/>
    </w:p>
    <w:p w14:paraId="26BD9F39" w14:textId="3A88C918" w:rsidR="007C7CBA" w:rsidRPr="00E50540" w:rsidRDefault="00C94DAB" w:rsidP="006B204A">
      <w:pPr>
        <w:spacing w:line="360" w:lineRule="auto"/>
        <w:jc w:val="center"/>
        <w:rPr>
          <w:b/>
          <w:lang w:val="es-DO"/>
        </w:rPr>
      </w:pPr>
      <w:r w:rsidRPr="00E50540">
        <w:rPr>
          <w:b/>
          <w:lang w:val="es-DO"/>
        </w:rPr>
        <w:t>3</w:t>
      </w:r>
      <w:r w:rsidR="00E52ED4" w:rsidRPr="00E50540">
        <w:rPr>
          <w:b/>
          <w:lang w:val="es-DO"/>
        </w:rPr>
        <w:t>.5 Registros y Autorizaciones</w:t>
      </w:r>
    </w:p>
    <w:p w14:paraId="509F2224" w14:textId="21826262" w:rsidR="007C7CBA" w:rsidRPr="007C7CBA" w:rsidRDefault="007C7CBA" w:rsidP="006B204A">
      <w:pPr>
        <w:spacing w:line="360" w:lineRule="auto"/>
        <w:jc w:val="both"/>
        <w:rPr>
          <w:rFonts w:eastAsia="Times New Roman"/>
          <w:lang w:val="es-DO"/>
        </w:rPr>
      </w:pPr>
      <w:r w:rsidRPr="007C7CBA">
        <w:rPr>
          <w:rFonts w:eastAsia="Times New Roman"/>
          <w:lang w:val="es-DO"/>
        </w:rPr>
        <w:t xml:space="preserve">Una de las funciones de la Superintendencia de Bancos es recibir y gestionar las solicitudes de autorizaciones, no objeciones y notificaciones realizadas por las entidades de intermediación financiera, entidades de intermediación cambiaria, oficinas de representación, sociedades de información crediticia, fiduciarias, subagentes bancarios y otras entidades vinculadas al sistema financiero. </w:t>
      </w:r>
      <w:r w:rsidR="00AD49A8">
        <w:rPr>
          <w:rFonts w:eastAsia="Times New Roman"/>
          <w:lang w:val="es-DO"/>
        </w:rPr>
        <w:t>Concomitantemente</w:t>
      </w:r>
      <w:r w:rsidRPr="008B7DCC">
        <w:rPr>
          <w:rFonts w:eastAsia="Times New Roman"/>
          <w:lang w:val="es-DO"/>
        </w:rPr>
        <w:t xml:space="preserve">, </w:t>
      </w:r>
      <w:r w:rsidR="00AD408D">
        <w:rPr>
          <w:rFonts w:eastAsia="Times New Roman"/>
          <w:lang w:val="es-DO"/>
        </w:rPr>
        <w:t>está a su cargo la actualización</w:t>
      </w:r>
      <w:r w:rsidRPr="008B7DCC">
        <w:rPr>
          <w:rFonts w:eastAsia="Times New Roman"/>
          <w:lang w:val="es-DO"/>
        </w:rPr>
        <w:t xml:space="preserve"> </w:t>
      </w:r>
      <w:r w:rsidR="00AD408D">
        <w:rPr>
          <w:rFonts w:eastAsia="Times New Roman"/>
          <w:lang w:val="es-DO"/>
        </w:rPr>
        <w:t>d</w:t>
      </w:r>
      <w:r w:rsidRPr="008B7DCC">
        <w:rPr>
          <w:rFonts w:eastAsia="Times New Roman"/>
          <w:lang w:val="es-DO"/>
        </w:rPr>
        <w:t>el</w:t>
      </w:r>
      <w:r w:rsidRPr="007C7CBA">
        <w:rPr>
          <w:rFonts w:eastAsia="Times New Roman"/>
          <w:lang w:val="es-DO"/>
        </w:rPr>
        <w:t xml:space="preserve"> </w:t>
      </w:r>
      <w:r w:rsidRPr="007C7CBA">
        <w:rPr>
          <w:rFonts w:eastAsia="Times New Roman"/>
          <w:lang w:val="es-DO"/>
        </w:rPr>
        <w:lastRenderedPageBreak/>
        <w:t>sistema de registros con la información relativa a la autorización y cumplimiento de la entidad, requerida por la normativa vigente. Bajo este rol, la Superintendencia de Bancos, verifica y evalúa los documentos de soporte sometidos por las entidades, emite opiniones técnicas, da respuesta a las solicitudes que recibe, y mantiene actualizados los registros de entidades bajo su supervisión, en las plataformas tecnológicas diseñadas para tales fines. </w:t>
      </w:r>
    </w:p>
    <w:p w14:paraId="4FF8BF8C" w14:textId="0D7AC165" w:rsidR="007C7CBA" w:rsidRPr="007C7CBA" w:rsidRDefault="007C7CBA" w:rsidP="006B204A">
      <w:pPr>
        <w:spacing w:line="360" w:lineRule="auto"/>
        <w:jc w:val="both"/>
        <w:rPr>
          <w:rFonts w:eastAsia="Times New Roman"/>
          <w:lang w:val="es-DO"/>
        </w:rPr>
      </w:pPr>
      <w:r w:rsidRPr="007C7CBA">
        <w:rPr>
          <w:rFonts w:eastAsia="Times New Roman"/>
          <w:lang w:val="es-DO"/>
        </w:rPr>
        <w:t>Dentro de los logros e hitos más significativos del año 2023, podemos resaltar los siguientes: </w:t>
      </w:r>
    </w:p>
    <w:p w14:paraId="2F001370" w14:textId="56675582" w:rsidR="007C7CBA" w:rsidRDefault="007C7CBA" w:rsidP="00CB4994">
      <w:pPr>
        <w:numPr>
          <w:ilvl w:val="0"/>
          <w:numId w:val="5"/>
        </w:numPr>
        <w:spacing w:line="360" w:lineRule="auto"/>
        <w:jc w:val="both"/>
        <w:rPr>
          <w:rFonts w:eastAsia="Times New Roman"/>
          <w:lang w:val="es-DO"/>
        </w:rPr>
      </w:pPr>
      <w:r w:rsidRPr="007C7CBA">
        <w:rPr>
          <w:rFonts w:eastAsia="Times New Roman"/>
          <w:lang w:val="es-DO"/>
        </w:rPr>
        <w:t xml:space="preserve">Entre </w:t>
      </w:r>
      <w:r w:rsidR="00F64212">
        <w:rPr>
          <w:rFonts w:eastAsia="Times New Roman"/>
          <w:lang w:val="es-DO"/>
        </w:rPr>
        <w:t xml:space="preserve">en </w:t>
      </w:r>
      <w:r w:rsidRPr="007C7CBA">
        <w:rPr>
          <w:rFonts w:eastAsia="Times New Roman"/>
          <w:lang w:val="es-DO"/>
        </w:rPr>
        <w:t xml:space="preserve">el </w:t>
      </w:r>
      <w:r w:rsidR="00F64212">
        <w:rPr>
          <w:rFonts w:eastAsia="Times New Roman"/>
          <w:lang w:val="es-DO"/>
        </w:rPr>
        <w:t>período comprendido enero y</w:t>
      </w:r>
      <w:r w:rsidRPr="007C7CBA">
        <w:rPr>
          <w:rFonts w:eastAsia="Times New Roman"/>
          <w:lang w:val="es-DO"/>
        </w:rPr>
        <w:t xml:space="preserve"> noviembre del 2023, la SB recibió 5,127 solicitudes para un incremento del 23.54% respecto al mismo periodo del año 2022. Así mismo, se respondieron 5,146 solicitudes a las entidades en diferentes trámites que incluyen autorizaciones, no objeción, respuestas, notificaciones y cumplimientos, para un incremento de 25,42 % respecto al mismo periodo del año anterior. </w:t>
      </w:r>
    </w:p>
    <w:p w14:paraId="617FAD3F" w14:textId="4EC961D7" w:rsidR="007C7CBA" w:rsidRPr="007C7CBA" w:rsidRDefault="00022266" w:rsidP="00CB4994">
      <w:pPr>
        <w:numPr>
          <w:ilvl w:val="0"/>
          <w:numId w:val="5"/>
        </w:numPr>
        <w:spacing w:line="360" w:lineRule="auto"/>
        <w:jc w:val="both"/>
        <w:rPr>
          <w:rFonts w:eastAsia="Times New Roman"/>
          <w:lang w:val="es-DO"/>
        </w:rPr>
      </w:pPr>
      <w:r>
        <w:rPr>
          <w:rFonts w:eastAsia="Times New Roman"/>
          <w:lang w:val="es-DO"/>
        </w:rPr>
        <w:t>Fueron remitidos</w:t>
      </w:r>
      <w:r w:rsidR="007C7CBA" w:rsidRPr="007C7CBA">
        <w:rPr>
          <w:rFonts w:eastAsia="Times New Roman"/>
          <w:lang w:val="es-DO"/>
        </w:rPr>
        <w:t xml:space="preserve"> 10 informes a la Junta Monetaria para autorizaciones de diferentes tópicos dentro de las atribuciones que la ley confiere</w:t>
      </w:r>
      <w:r w:rsidR="00513844">
        <w:rPr>
          <w:rFonts w:eastAsia="Times New Roman"/>
          <w:lang w:val="es-DO"/>
        </w:rPr>
        <w:t>.</w:t>
      </w:r>
      <w:r w:rsidR="007C7CBA" w:rsidRPr="007C7CBA">
        <w:rPr>
          <w:rFonts w:eastAsia="Times New Roman"/>
          <w:lang w:val="es-DO"/>
        </w:rPr>
        <w:t xml:space="preserve"> </w:t>
      </w:r>
      <w:r w:rsidR="007B52E5">
        <w:rPr>
          <w:rFonts w:eastAsia="Times New Roman"/>
          <w:lang w:val="es-DO"/>
        </w:rPr>
        <w:t xml:space="preserve">Cabe resaltar </w:t>
      </w:r>
      <w:r w:rsidR="00B545D0">
        <w:rPr>
          <w:rFonts w:eastAsia="Times New Roman"/>
          <w:lang w:val="es-DO"/>
        </w:rPr>
        <w:t>que</w:t>
      </w:r>
      <w:r w:rsidR="007B52E5">
        <w:rPr>
          <w:rFonts w:eastAsia="Times New Roman"/>
          <w:lang w:val="es-DO"/>
        </w:rPr>
        <w:t xml:space="preserve"> </w:t>
      </w:r>
      <w:r w:rsidR="006B44AF">
        <w:rPr>
          <w:rFonts w:eastAsia="Times New Roman"/>
          <w:lang w:val="es-DO"/>
        </w:rPr>
        <w:t>se</w:t>
      </w:r>
      <w:r w:rsidR="007C7CBA" w:rsidRPr="007C7CBA">
        <w:rPr>
          <w:rFonts w:eastAsia="Times New Roman"/>
          <w:lang w:val="es-DO"/>
        </w:rPr>
        <w:t xml:space="preserve"> autorizó el establecimiento de 3 oficinas de representación en las ciudades de Nueva York, Miami y Madrid, marcando un paso a la expansión internacional de las entidades supervisadas por la Superintendencia de Bancos.</w:t>
      </w:r>
    </w:p>
    <w:p w14:paraId="49D1852D" w14:textId="5F6E8231" w:rsidR="00AE7F20" w:rsidRPr="00AE7F20" w:rsidRDefault="007C7CBA" w:rsidP="00CB4994">
      <w:pPr>
        <w:numPr>
          <w:ilvl w:val="0"/>
          <w:numId w:val="6"/>
        </w:numPr>
        <w:spacing w:line="360" w:lineRule="auto"/>
        <w:jc w:val="both"/>
        <w:rPr>
          <w:rFonts w:eastAsia="Times New Roman"/>
          <w:lang w:val="es-DO"/>
        </w:rPr>
      </w:pPr>
      <w:r w:rsidRPr="007C7CBA">
        <w:rPr>
          <w:rFonts w:eastAsia="Times New Roman"/>
          <w:lang w:val="es-DO"/>
        </w:rPr>
        <w:t>Así mismo, el 92.24% de circulares</w:t>
      </w:r>
      <w:r w:rsidR="00AE7F20">
        <w:rPr>
          <w:rFonts w:eastAsia="Times New Roman"/>
          <w:lang w:val="es-DO"/>
        </w:rPr>
        <w:t xml:space="preserve"> </w:t>
      </w:r>
      <w:r w:rsidRPr="007C7CBA">
        <w:rPr>
          <w:rFonts w:eastAsia="Times New Roman"/>
          <w:lang w:val="es-DO"/>
        </w:rPr>
        <w:t>administrativas</w:t>
      </w:r>
      <w:r w:rsidR="00AE7F20">
        <w:rPr>
          <w:rFonts w:eastAsia="Times New Roman"/>
          <w:lang w:val="es-DO"/>
        </w:rPr>
        <w:t xml:space="preserve"> </w:t>
      </w:r>
      <w:r w:rsidRPr="007C7CBA">
        <w:rPr>
          <w:rFonts w:eastAsia="Times New Roman"/>
          <w:lang w:val="es-DO"/>
        </w:rPr>
        <w:t>/</w:t>
      </w:r>
      <w:r w:rsidR="00AE7F20">
        <w:rPr>
          <w:rFonts w:eastAsia="Times New Roman"/>
          <w:lang w:val="es-DO"/>
        </w:rPr>
        <w:t xml:space="preserve"> </w:t>
      </w:r>
      <w:r w:rsidRPr="007C7CBA">
        <w:rPr>
          <w:rFonts w:eastAsia="Times New Roman"/>
          <w:lang w:val="es-DO"/>
        </w:rPr>
        <w:t>comunicaciones se han respondido dentro del Acuerdo de Nivel de Servicio (ANS),</w:t>
      </w:r>
      <w:r w:rsidR="00AE7F20">
        <w:rPr>
          <w:rFonts w:eastAsia="Times New Roman"/>
          <w:lang w:val="es-DO"/>
        </w:rPr>
        <w:t xml:space="preserve"> </w:t>
      </w:r>
      <w:r w:rsidRPr="00AE7F20">
        <w:rPr>
          <w:rFonts w:eastAsia="Times New Roman"/>
          <w:lang w:val="es-DO"/>
        </w:rPr>
        <w:t xml:space="preserve">aumentando un 8.63% respecto al año anterior. Además, la extensión de la iniciativa de digitalización a las no objeciones y autorizaciones redujo un 85% el uso de papel en </w:t>
      </w:r>
      <w:r w:rsidR="00537791" w:rsidRPr="00AE7F20">
        <w:rPr>
          <w:rFonts w:eastAsia="Times New Roman"/>
          <w:lang w:val="es-DO"/>
        </w:rPr>
        <w:t>el proceso</w:t>
      </w:r>
      <w:r w:rsidRPr="00AE7F20">
        <w:rPr>
          <w:rFonts w:eastAsia="Times New Roman"/>
          <w:lang w:val="es-DO"/>
        </w:rPr>
        <w:t xml:space="preserve"> de Registros y Autorizaciones, medida alineada con los </w:t>
      </w:r>
      <w:r w:rsidRPr="00AE7F20">
        <w:rPr>
          <w:rFonts w:eastAsia="Times New Roman"/>
          <w:lang w:val="es-DO"/>
        </w:rPr>
        <w:lastRenderedPageBreak/>
        <w:t>objetivos de sostenibilidad ambiental promovidos por la institución</w:t>
      </w:r>
      <w:r w:rsidR="00AE7F20" w:rsidRPr="00AE7F20">
        <w:rPr>
          <w:rFonts w:eastAsia="Times New Roman"/>
          <w:lang w:val="es-DO"/>
        </w:rPr>
        <w:t>.</w:t>
      </w:r>
    </w:p>
    <w:p w14:paraId="395633CC" w14:textId="77E70336" w:rsidR="007C7CBA" w:rsidRPr="007C7CBA" w:rsidRDefault="0081099C" w:rsidP="00CB4994">
      <w:pPr>
        <w:numPr>
          <w:ilvl w:val="0"/>
          <w:numId w:val="7"/>
        </w:numPr>
        <w:tabs>
          <w:tab w:val="clear" w:pos="720"/>
          <w:tab w:val="num" w:pos="360"/>
        </w:tabs>
        <w:spacing w:line="360" w:lineRule="auto"/>
        <w:ind w:left="360"/>
        <w:jc w:val="both"/>
        <w:rPr>
          <w:rFonts w:eastAsia="Times New Roman"/>
          <w:lang w:val="es-DO"/>
        </w:rPr>
      </w:pPr>
      <w:r>
        <w:rPr>
          <w:rFonts w:eastAsia="Times New Roman"/>
          <w:lang w:val="es-DO"/>
        </w:rPr>
        <w:t>Fueron completad</w:t>
      </w:r>
      <w:r w:rsidR="004004D8">
        <w:rPr>
          <w:rFonts w:eastAsia="Times New Roman"/>
          <w:lang w:val="es-DO"/>
        </w:rPr>
        <w:t>as</w:t>
      </w:r>
      <w:r w:rsidR="007C7CBA" w:rsidRPr="007C7CBA">
        <w:rPr>
          <w:rFonts w:eastAsia="Times New Roman"/>
          <w:lang w:val="es-DO"/>
        </w:rPr>
        <w:t xml:space="preserve"> exitosamente 35 solicitudes de autorizaciones </w:t>
      </w:r>
      <w:r w:rsidR="00D821D4">
        <w:rPr>
          <w:rFonts w:eastAsia="Times New Roman"/>
          <w:lang w:val="es-DO"/>
        </w:rPr>
        <w:t>de</w:t>
      </w:r>
      <w:r w:rsidR="00EC38B6">
        <w:rPr>
          <w:rFonts w:eastAsia="Times New Roman"/>
          <w:lang w:val="es-DO"/>
        </w:rPr>
        <w:t xml:space="preserve"> </w:t>
      </w:r>
      <w:r w:rsidR="00544807" w:rsidRPr="008B7DCC">
        <w:rPr>
          <w:rFonts w:eastAsia="Times New Roman"/>
          <w:lang w:val="es-DO"/>
        </w:rPr>
        <w:t>apertura de sucursales y agencias en el territorio nacional</w:t>
      </w:r>
      <w:r w:rsidR="007C7CBA" w:rsidRPr="007C7CBA">
        <w:rPr>
          <w:rFonts w:eastAsia="Times New Roman"/>
          <w:lang w:val="es-DO"/>
        </w:rPr>
        <w:t>. </w:t>
      </w:r>
    </w:p>
    <w:p w14:paraId="1722307B" w14:textId="672C966A" w:rsidR="00E52ED4" w:rsidRDefault="007C7CBA" w:rsidP="00CB4994">
      <w:pPr>
        <w:numPr>
          <w:ilvl w:val="0"/>
          <w:numId w:val="8"/>
        </w:numPr>
        <w:tabs>
          <w:tab w:val="clear" w:pos="720"/>
          <w:tab w:val="num" w:pos="360"/>
        </w:tabs>
        <w:spacing w:line="360" w:lineRule="auto"/>
        <w:ind w:left="360"/>
        <w:jc w:val="both"/>
        <w:rPr>
          <w:rFonts w:eastAsia="Times New Roman"/>
          <w:lang w:val="es-DO"/>
        </w:rPr>
      </w:pPr>
      <w:r w:rsidRPr="007C7CBA">
        <w:rPr>
          <w:rFonts w:eastAsia="Times New Roman"/>
          <w:lang w:val="es-DO"/>
        </w:rPr>
        <w:t>Así mismo, se registró exitosamente 729 nuevos subagentes bancarios para una disminución de un 17.53% respecto al año anterior. </w:t>
      </w:r>
      <w:r w:rsidR="00981281" w:rsidRPr="007C7CBA">
        <w:rPr>
          <w:rFonts w:eastAsia="Times New Roman"/>
          <w:lang w:val="es-DO"/>
        </w:rPr>
        <w:t xml:space="preserve">  </w:t>
      </w:r>
    </w:p>
    <w:p w14:paraId="6BA14D7B" w14:textId="77777777" w:rsidR="003E735A" w:rsidRPr="007C7CBA" w:rsidRDefault="003E735A" w:rsidP="003E735A">
      <w:pPr>
        <w:spacing w:line="360" w:lineRule="auto"/>
        <w:jc w:val="both"/>
        <w:rPr>
          <w:rFonts w:eastAsia="Times New Roman"/>
          <w:lang w:val="es-DO"/>
        </w:rPr>
      </w:pPr>
    </w:p>
    <w:p w14:paraId="15AAA678" w14:textId="42FA28C2" w:rsidR="00E52ED4" w:rsidRPr="00C865B6" w:rsidRDefault="00C94DAB" w:rsidP="006B204A">
      <w:pPr>
        <w:pStyle w:val="Estilo3"/>
        <w:spacing w:before="0" w:after="160" w:line="360" w:lineRule="auto"/>
        <w:rPr>
          <w:b/>
          <w:iCs w:val="0"/>
          <w:szCs w:val="24"/>
        </w:rPr>
      </w:pPr>
      <w:bookmarkStart w:id="39" w:name="_Toc122435010"/>
      <w:bookmarkStart w:id="40" w:name="_Toc123046915"/>
      <w:bookmarkStart w:id="41" w:name="_Toc155354613"/>
      <w:bookmarkEnd w:id="38"/>
      <w:r>
        <w:rPr>
          <w:b/>
          <w:iCs w:val="0"/>
          <w:szCs w:val="24"/>
        </w:rPr>
        <w:t>3</w:t>
      </w:r>
      <w:r w:rsidR="00E52ED4" w:rsidRPr="00C865B6">
        <w:rPr>
          <w:b/>
          <w:iCs w:val="0"/>
          <w:szCs w:val="24"/>
        </w:rPr>
        <w:t>.6 Regulación</w:t>
      </w:r>
      <w:bookmarkEnd w:id="39"/>
      <w:bookmarkEnd w:id="40"/>
      <w:bookmarkEnd w:id="41"/>
    </w:p>
    <w:p w14:paraId="7AE637A1" w14:textId="636557AE" w:rsidR="008F1ED6" w:rsidRPr="008F1ED6" w:rsidRDefault="008F1ED6" w:rsidP="006B204A">
      <w:pPr>
        <w:pBdr>
          <w:top w:val="nil"/>
          <w:left w:val="nil"/>
          <w:bottom w:val="nil"/>
          <w:right w:val="nil"/>
          <w:between w:val="nil"/>
          <w:bar w:val="nil"/>
        </w:pBdr>
        <w:suppressAutoHyphens/>
        <w:spacing w:line="360" w:lineRule="auto"/>
        <w:jc w:val="both"/>
        <w:rPr>
          <w:u w:color="000000"/>
          <w:lang w:val="es-DO"/>
        </w:rPr>
      </w:pPr>
      <w:r w:rsidRPr="008F1ED6">
        <w:rPr>
          <w:u w:color="000000"/>
          <w:lang w:val="es-DO"/>
        </w:rPr>
        <w:t xml:space="preserve">La Superintendencia de Bancos, en su rol de regulador que le confiere la Ley Núm. 183-02 Monetaria y Financiera, </w:t>
      </w:r>
      <w:r w:rsidR="006A2566">
        <w:rPr>
          <w:u w:color="000000"/>
          <w:lang w:val="es-DO"/>
        </w:rPr>
        <w:t>bajo el mandato de la Junta Monetaria</w:t>
      </w:r>
      <w:r w:rsidR="00893D4D">
        <w:rPr>
          <w:u w:color="000000"/>
          <w:lang w:val="es-DO"/>
        </w:rPr>
        <w:t>,</w:t>
      </w:r>
      <w:r w:rsidRPr="008B7DCC">
        <w:rPr>
          <w:u w:color="000000"/>
          <w:lang w:val="es-DO"/>
        </w:rPr>
        <w:t xml:space="preserve"> </w:t>
      </w:r>
      <w:r w:rsidRPr="008F1ED6">
        <w:rPr>
          <w:u w:color="000000"/>
          <w:lang w:val="es-DO"/>
        </w:rPr>
        <w:t>junto con el Banco Central</w:t>
      </w:r>
      <w:r w:rsidRPr="008B7DCC">
        <w:rPr>
          <w:u w:color="000000"/>
          <w:lang w:val="es-DO"/>
        </w:rPr>
        <w:t>,</w:t>
      </w:r>
      <w:r w:rsidRPr="008F1ED6">
        <w:rPr>
          <w:u w:color="000000"/>
          <w:lang w:val="es-DO"/>
        </w:rPr>
        <w:t xml:space="preserve"> tiene la tarea de gestionar la formulación, emisión y actualización de las disposiciones normativas, relativas a leyes, reglamentos, resoluciones, instructivos, circulares y cartas circulares, dirigidas a salvaguardar la estabilidad del sistema financiero. </w:t>
      </w:r>
    </w:p>
    <w:p w14:paraId="7420809B" w14:textId="4AC0DCDE" w:rsidR="008F1ED6" w:rsidRPr="00D57AB6" w:rsidRDefault="008F1ED6" w:rsidP="006B204A">
      <w:pPr>
        <w:pBdr>
          <w:between w:val="nil"/>
          <w:bar w:val="nil"/>
        </w:pBdr>
        <w:suppressAutoHyphens/>
        <w:spacing w:line="360" w:lineRule="auto"/>
        <w:jc w:val="both"/>
        <w:rPr>
          <w:bCs/>
          <w:u w:color="000000"/>
          <w:lang w:val="es-DO"/>
        </w:rPr>
      </w:pPr>
      <w:r w:rsidRPr="008F1ED6">
        <w:rPr>
          <w:bCs/>
          <w:u w:color="000000"/>
          <w:lang w:val="es-DO"/>
        </w:rPr>
        <w:t>Durante el año 2023, la Superintendencia de Bancos publicó catorce (14) Circulares, un (1) instructivo y dieciocho (18) Cartas Circulares</w:t>
      </w:r>
      <w:r w:rsidR="0015138B">
        <w:rPr>
          <w:bCs/>
          <w:u w:color="000000"/>
          <w:lang w:val="es-DO"/>
        </w:rPr>
        <w:t>, las cuales se detallan a continuación:</w:t>
      </w:r>
    </w:p>
    <w:p w14:paraId="1DF2A5C2" w14:textId="6444B592" w:rsidR="008F1ED6" w:rsidRPr="00E26490" w:rsidRDefault="008F1ED6" w:rsidP="00CB4994">
      <w:pPr>
        <w:pStyle w:val="Prrafodelista"/>
        <w:numPr>
          <w:ilvl w:val="0"/>
          <w:numId w:val="14"/>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r w:rsidRPr="00E26490">
        <w:rPr>
          <w:rFonts w:ascii="Times New Roman" w:eastAsiaTheme="minorHAnsi" w:hAnsi="Times New Roman"/>
          <w:color w:val="767171"/>
          <w:spacing w:val="20"/>
          <w:sz w:val="24"/>
          <w:szCs w:val="24"/>
          <w:u w:color="000000"/>
        </w:rPr>
        <w:t>Circular SB: Núm. 001/23 del 10 de enero de 2023 “Modificación de la Circular SB: Núm. 015/22 sobre actualización del proceso automatizado para la recepción y respuesta de las solicitudes realizadas por las entidades supervisadas, así como, de las informaciones y documentos requeridos por la Superintendencia de Bancos y autoridades competentes”.</w:t>
      </w:r>
    </w:p>
    <w:p w14:paraId="00CDC93D" w14:textId="157A6EA0" w:rsidR="008F1ED6" w:rsidRPr="00E26490" w:rsidRDefault="008F1ED6" w:rsidP="00CB4994">
      <w:pPr>
        <w:pStyle w:val="Prrafodelista"/>
        <w:numPr>
          <w:ilvl w:val="0"/>
          <w:numId w:val="14"/>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r w:rsidRPr="00E26490">
        <w:rPr>
          <w:rFonts w:ascii="Times New Roman" w:eastAsiaTheme="minorHAnsi" w:hAnsi="Times New Roman"/>
          <w:color w:val="767171"/>
          <w:spacing w:val="20"/>
          <w:sz w:val="24"/>
          <w:szCs w:val="24"/>
          <w:u w:color="000000"/>
        </w:rPr>
        <w:t xml:space="preserve">Circular SB: Núm. 002/23 del 6 de marzo de 2023 “Modificar el anexo del Instructivo para la Estandarización de las </w:t>
      </w:r>
      <w:r w:rsidRPr="00E26490">
        <w:rPr>
          <w:rFonts w:ascii="Times New Roman" w:eastAsiaTheme="minorHAnsi" w:hAnsi="Times New Roman"/>
          <w:color w:val="767171"/>
          <w:spacing w:val="20"/>
          <w:sz w:val="24"/>
          <w:szCs w:val="24"/>
          <w:u w:color="000000"/>
        </w:rPr>
        <w:lastRenderedPageBreak/>
        <w:t>Reclamaciones realizadas por los Usuarios de los Servicios Financieros aprobado en la Circular SB: Núm. 009/10, modificado por la Circular SB: núm. 015/21 que establece los lineamientos para el cumplimiento de las disposiciones del Reglamento de Protección al Usuario de los Productos y Servicios Financieros y del Instructivo para la Estandarización de las Reclamaciones realizadas por los Usuarios de los Servicios Financieros”.</w:t>
      </w:r>
    </w:p>
    <w:p w14:paraId="369443C7" w14:textId="0E39DAA5" w:rsidR="008F1ED6" w:rsidRPr="0015138B" w:rsidRDefault="008F1ED6" w:rsidP="00CB4994">
      <w:pPr>
        <w:pStyle w:val="Prrafodelista"/>
        <w:numPr>
          <w:ilvl w:val="0"/>
          <w:numId w:val="14"/>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r w:rsidRPr="00E26490">
        <w:rPr>
          <w:rFonts w:ascii="Times New Roman" w:eastAsiaTheme="minorHAnsi" w:hAnsi="Times New Roman"/>
          <w:color w:val="767171"/>
          <w:spacing w:val="20"/>
          <w:sz w:val="24"/>
          <w:szCs w:val="24"/>
          <w:u w:color="000000"/>
        </w:rPr>
        <w:t>Circular SB: Núm. 003/23 del 14 de marzo de 2023 “Establecer los plazos y requerimientos de información para someter solicitudes de autorización, no objeción y notificaciones de las entidades supervisadas por la Superintendencia de Bancos”. La Circular modifica la Circular SB: No.005/14 sobre Plazos y Requerimientos de Información para someter solicitudes de autorización y no objeción, así como notificaciones de las Entidades de Intermediación Financiera y Cambiaria para actualizar los requerimientos de las solicitudes de acuerdo con la normativa vigente.</w:t>
      </w:r>
    </w:p>
    <w:p w14:paraId="186DA9E5" w14:textId="5009F0A0" w:rsidR="008F1ED6" w:rsidRPr="0015138B" w:rsidRDefault="008F1ED6" w:rsidP="00CB4994">
      <w:pPr>
        <w:pStyle w:val="Prrafodelista"/>
        <w:numPr>
          <w:ilvl w:val="0"/>
          <w:numId w:val="14"/>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r w:rsidRPr="00E26490">
        <w:rPr>
          <w:rFonts w:ascii="Times New Roman" w:eastAsiaTheme="minorHAnsi" w:hAnsi="Times New Roman"/>
          <w:color w:val="767171"/>
          <w:spacing w:val="20"/>
          <w:sz w:val="24"/>
          <w:szCs w:val="24"/>
          <w:u w:color="000000"/>
        </w:rPr>
        <w:t>Circular SB: Núm. 004/23 del 25 de mayo de 2023 “Lineamientos para la presentación de modelos de negocios, productos o servicios novedosos a implementar en ambiente de prueba”. La citada Circular,</w:t>
      </w:r>
      <w:r w:rsidR="004E327B">
        <w:rPr>
          <w:rFonts w:ascii="Times New Roman" w:eastAsiaTheme="minorHAnsi" w:hAnsi="Times New Roman"/>
          <w:color w:val="767171"/>
          <w:spacing w:val="20"/>
          <w:sz w:val="24"/>
          <w:szCs w:val="24"/>
          <w:u w:color="000000"/>
        </w:rPr>
        <w:t xml:space="preserve"> establece los lineamientos que deben cumplir las entidades para salvaguardar los derechos de los usuarios de los pro</w:t>
      </w:r>
      <w:r w:rsidR="001A2776">
        <w:rPr>
          <w:rFonts w:ascii="Times New Roman" w:eastAsiaTheme="minorHAnsi" w:hAnsi="Times New Roman"/>
          <w:color w:val="767171"/>
          <w:spacing w:val="20"/>
          <w:sz w:val="24"/>
          <w:szCs w:val="24"/>
          <w:u w:color="000000"/>
        </w:rPr>
        <w:t>ductos y servicios financieros</w:t>
      </w:r>
      <w:r w:rsidR="005B46C7">
        <w:rPr>
          <w:rFonts w:ascii="Times New Roman" w:eastAsiaTheme="minorHAnsi" w:hAnsi="Times New Roman"/>
          <w:color w:val="767171"/>
          <w:spacing w:val="20"/>
          <w:sz w:val="24"/>
          <w:szCs w:val="24"/>
          <w:u w:color="000000"/>
        </w:rPr>
        <w:t>. Fomenta</w:t>
      </w:r>
      <w:r w:rsidRPr="00E26490">
        <w:rPr>
          <w:rFonts w:ascii="Times New Roman" w:eastAsiaTheme="minorHAnsi" w:hAnsi="Times New Roman"/>
          <w:color w:val="767171"/>
          <w:spacing w:val="20"/>
          <w:sz w:val="24"/>
          <w:szCs w:val="24"/>
          <w:u w:color="000000"/>
        </w:rPr>
        <w:t xml:space="preserve"> </w:t>
      </w:r>
      <w:r w:rsidR="00940E7B">
        <w:rPr>
          <w:rFonts w:ascii="Times New Roman" w:eastAsiaTheme="minorHAnsi" w:hAnsi="Times New Roman"/>
          <w:color w:val="767171"/>
          <w:spacing w:val="20"/>
          <w:sz w:val="24"/>
          <w:szCs w:val="24"/>
          <w:u w:color="000000"/>
        </w:rPr>
        <w:t>la transparencia del s</w:t>
      </w:r>
      <w:r w:rsidR="006F04C9">
        <w:rPr>
          <w:rFonts w:ascii="Times New Roman" w:eastAsiaTheme="minorHAnsi" w:hAnsi="Times New Roman"/>
          <w:color w:val="767171"/>
          <w:spacing w:val="20"/>
          <w:sz w:val="24"/>
          <w:szCs w:val="24"/>
          <w:u w:color="000000"/>
        </w:rPr>
        <w:t xml:space="preserve">istema financiero </w:t>
      </w:r>
      <w:r w:rsidR="00A8433A">
        <w:rPr>
          <w:rFonts w:ascii="Times New Roman" w:eastAsiaTheme="minorHAnsi" w:hAnsi="Times New Roman"/>
          <w:color w:val="767171"/>
          <w:spacing w:val="20"/>
          <w:sz w:val="24"/>
          <w:szCs w:val="24"/>
          <w:u w:color="000000"/>
        </w:rPr>
        <w:t xml:space="preserve">y </w:t>
      </w:r>
      <w:r w:rsidR="007C5BE4">
        <w:rPr>
          <w:rFonts w:ascii="Times New Roman" w:eastAsiaTheme="minorHAnsi" w:hAnsi="Times New Roman"/>
          <w:color w:val="767171"/>
          <w:spacing w:val="20"/>
          <w:sz w:val="24"/>
          <w:szCs w:val="24"/>
          <w:u w:color="000000"/>
        </w:rPr>
        <w:t>la seguridad jurídica de sus usuarios,</w:t>
      </w:r>
      <w:r w:rsidR="006F04C9">
        <w:rPr>
          <w:rFonts w:ascii="Times New Roman" w:eastAsiaTheme="minorHAnsi" w:hAnsi="Times New Roman"/>
          <w:color w:val="767171"/>
          <w:spacing w:val="20"/>
          <w:sz w:val="24"/>
          <w:szCs w:val="24"/>
          <w:u w:color="000000"/>
        </w:rPr>
        <w:t xml:space="preserve"> sin restringir la creación</w:t>
      </w:r>
      <w:r w:rsidRPr="00E26490">
        <w:rPr>
          <w:rFonts w:ascii="Times New Roman" w:eastAsiaTheme="minorHAnsi" w:hAnsi="Times New Roman"/>
          <w:color w:val="767171"/>
          <w:spacing w:val="20"/>
          <w:sz w:val="24"/>
          <w:szCs w:val="24"/>
          <w:u w:color="000000"/>
        </w:rPr>
        <w:t xml:space="preserve"> de mecanismos, productos y servicios bancarios de vanguardia.</w:t>
      </w:r>
    </w:p>
    <w:p w14:paraId="30559AEF" w14:textId="440B0045" w:rsidR="008F1ED6" w:rsidRPr="0015138B" w:rsidRDefault="008F1ED6" w:rsidP="00CB4994">
      <w:pPr>
        <w:pStyle w:val="Prrafodelista"/>
        <w:numPr>
          <w:ilvl w:val="0"/>
          <w:numId w:val="11"/>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bookmarkStart w:id="42" w:name="_Hlk151540413"/>
      <w:r w:rsidRPr="00E26490">
        <w:rPr>
          <w:rFonts w:ascii="Times New Roman" w:eastAsiaTheme="minorHAnsi" w:hAnsi="Times New Roman"/>
          <w:color w:val="767171"/>
          <w:spacing w:val="20"/>
          <w:sz w:val="24"/>
          <w:szCs w:val="24"/>
          <w:u w:color="000000"/>
        </w:rPr>
        <w:t>Circular SB: Núm. 005/23 del 10 de agosto de 2023 “</w:t>
      </w:r>
      <w:bookmarkEnd w:id="42"/>
      <w:r w:rsidRPr="00E26490">
        <w:rPr>
          <w:rFonts w:ascii="Times New Roman" w:eastAsiaTheme="minorHAnsi" w:hAnsi="Times New Roman"/>
          <w:color w:val="767171"/>
          <w:spacing w:val="20"/>
          <w:sz w:val="24"/>
          <w:szCs w:val="24"/>
          <w:u w:color="000000"/>
        </w:rPr>
        <w:t xml:space="preserve">Tratamiento y uso de cuentas para el registro de las provisiones constituidas </w:t>
      </w:r>
      <w:r w:rsidRPr="00E26490">
        <w:rPr>
          <w:rFonts w:ascii="Times New Roman" w:eastAsiaTheme="minorHAnsi" w:hAnsi="Times New Roman"/>
          <w:color w:val="767171"/>
          <w:spacing w:val="20"/>
          <w:sz w:val="24"/>
          <w:szCs w:val="24"/>
          <w:u w:color="000000"/>
        </w:rPr>
        <w:lastRenderedPageBreak/>
        <w:t>que exceden el requerimiento normativo”. Esta disposición, permite diferenciar las provisiones mínimas requeridas por la regulación conforme al Reglamento de Evaluación de Activos, de aquellas provisiones adicionales que las entidades decidan constituir sobre la base de una metodología interna que contemple las estrategias de negocio, el deterioro de la cartera y el riesgo que este representa, o en base a las políticas aprobada por el Consejo; así como de aquellas provisiones que las entidades constituyan para hacer frente al riesgo potencial de los activos y contingentes relacionados a las variaciones en el ciclo económico.</w:t>
      </w:r>
    </w:p>
    <w:p w14:paraId="3DAADD74" w14:textId="3796A115" w:rsidR="008F1ED6" w:rsidRPr="0015138B" w:rsidRDefault="008F1ED6" w:rsidP="00CB4994">
      <w:pPr>
        <w:pStyle w:val="Prrafodelista"/>
        <w:numPr>
          <w:ilvl w:val="0"/>
          <w:numId w:val="11"/>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r w:rsidRPr="00E26490">
        <w:rPr>
          <w:rFonts w:ascii="Times New Roman" w:eastAsiaTheme="minorHAnsi" w:hAnsi="Times New Roman"/>
          <w:color w:val="767171"/>
          <w:spacing w:val="20"/>
          <w:sz w:val="24"/>
          <w:szCs w:val="24"/>
          <w:u w:color="000000"/>
        </w:rPr>
        <w:t>C</w:t>
      </w:r>
      <w:bookmarkStart w:id="43" w:name="_Hlk151541700"/>
      <w:r w:rsidRPr="00E26490">
        <w:rPr>
          <w:rFonts w:ascii="Times New Roman" w:eastAsiaTheme="minorHAnsi" w:hAnsi="Times New Roman"/>
          <w:color w:val="767171"/>
          <w:spacing w:val="20"/>
          <w:sz w:val="24"/>
          <w:szCs w:val="24"/>
          <w:u w:color="000000"/>
        </w:rPr>
        <w:t>ircular SB: Núm. 006/23 del 10 de agosto de 2023 “</w:t>
      </w:r>
      <w:bookmarkEnd w:id="43"/>
      <w:r w:rsidRPr="00E26490">
        <w:rPr>
          <w:rFonts w:ascii="Times New Roman" w:eastAsiaTheme="minorHAnsi" w:hAnsi="Times New Roman"/>
          <w:color w:val="767171"/>
          <w:spacing w:val="20"/>
          <w:sz w:val="24"/>
          <w:szCs w:val="24"/>
          <w:u w:color="000000"/>
        </w:rPr>
        <w:t xml:space="preserve">Implementación del sello de identificación de los subagentes bancarios y de cambio de las entidades de intermediación financiera e intermediarios cambiarios registrados en la Superintendencia de Bancos”. En esta Circular se aprueba y se pone en vigencia el sello de identificación </w:t>
      </w:r>
      <w:r w:rsidR="00700BFA">
        <w:rPr>
          <w:rFonts w:ascii="Times New Roman" w:eastAsiaTheme="minorHAnsi" w:hAnsi="Times New Roman"/>
          <w:color w:val="767171"/>
          <w:spacing w:val="20"/>
          <w:sz w:val="24"/>
          <w:szCs w:val="24"/>
          <w:u w:color="000000"/>
        </w:rPr>
        <w:t>que</w:t>
      </w:r>
      <w:r w:rsidRPr="00E26490">
        <w:rPr>
          <w:rFonts w:ascii="Times New Roman" w:eastAsiaTheme="minorHAnsi" w:hAnsi="Times New Roman"/>
          <w:color w:val="767171"/>
          <w:spacing w:val="20"/>
          <w:sz w:val="24"/>
          <w:szCs w:val="24"/>
          <w:u w:color="000000"/>
        </w:rPr>
        <w:t xml:space="preserve"> los subagentes bancarios y subagentes de cambio registrados en este ente supervisor deberán utilizar en sus establecimientos comerciales abiertos al público.</w:t>
      </w:r>
    </w:p>
    <w:p w14:paraId="62C7FF4E" w14:textId="64CA6879" w:rsidR="008F1ED6" w:rsidRPr="0015138B" w:rsidRDefault="008F1ED6" w:rsidP="00CB4994">
      <w:pPr>
        <w:pStyle w:val="Prrafodelista"/>
        <w:numPr>
          <w:ilvl w:val="0"/>
          <w:numId w:val="11"/>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r w:rsidRPr="00E26490">
        <w:rPr>
          <w:rFonts w:ascii="Times New Roman" w:eastAsiaTheme="minorHAnsi" w:hAnsi="Times New Roman"/>
          <w:color w:val="767171"/>
          <w:spacing w:val="20"/>
          <w:sz w:val="24"/>
          <w:szCs w:val="24"/>
          <w:u w:color="000000"/>
        </w:rPr>
        <w:t xml:space="preserve">Circular SB: Núm. 007/23 del 17 de agosto de 2023 “Aprobar y poner en vigencia la modificación integral del “Instructivo sobre Instrumentos de Captación de Fondos del Público”. Esta Circular dispone lo siguiente: Modificar el nombre del “Instructivo para la Emisión, Renovación, Cancelación y Control de Certificados Financieros, Depósitos a Plazo y Demás Instrumentos Similares”, por “Instructivo sobre Instrumentos de Captación de Fondos del Público”, para actualizar los diferentes instrumentos de captación y canales existentes en el mercado financiero. Aprueba y pone en vigencia el “Instructivo sobre Instrumentos de Captación de </w:t>
      </w:r>
      <w:r w:rsidRPr="00E26490">
        <w:rPr>
          <w:rFonts w:ascii="Times New Roman" w:eastAsiaTheme="minorHAnsi" w:hAnsi="Times New Roman"/>
          <w:color w:val="767171"/>
          <w:spacing w:val="20"/>
          <w:sz w:val="24"/>
          <w:szCs w:val="24"/>
          <w:u w:color="000000"/>
        </w:rPr>
        <w:lastRenderedPageBreak/>
        <w:t>Fondos del Público” con el objetivo de establecer los lineamientos mínimos que deberán observar las EIF para la apertura, emisión, renovación, cancelación o cierre y control de los productos de captación de recursos del público, así como, los diferentes canales que podrán utilizar las entidades para realizar estas operaciones.</w:t>
      </w:r>
    </w:p>
    <w:p w14:paraId="1255FFE6" w14:textId="7C0A4AB3" w:rsidR="008F1ED6" w:rsidRPr="0015138B" w:rsidRDefault="008F1ED6" w:rsidP="00CB4994">
      <w:pPr>
        <w:pStyle w:val="Prrafodelista"/>
        <w:numPr>
          <w:ilvl w:val="0"/>
          <w:numId w:val="11"/>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bookmarkStart w:id="44" w:name="_Hlk151542470"/>
      <w:r w:rsidRPr="00E26490">
        <w:rPr>
          <w:rFonts w:ascii="Times New Roman" w:eastAsiaTheme="minorHAnsi" w:hAnsi="Times New Roman"/>
          <w:color w:val="767171"/>
          <w:spacing w:val="20"/>
          <w:sz w:val="24"/>
          <w:szCs w:val="24"/>
          <w:u w:color="000000"/>
        </w:rPr>
        <w:t>Circular SB: Núm. 008/23 del 1 de septiembre de 2023 “</w:t>
      </w:r>
      <w:bookmarkEnd w:id="44"/>
      <w:r w:rsidRPr="00E26490">
        <w:rPr>
          <w:rFonts w:ascii="Times New Roman" w:eastAsiaTheme="minorHAnsi" w:hAnsi="Times New Roman"/>
          <w:color w:val="767171"/>
          <w:spacing w:val="20"/>
          <w:sz w:val="24"/>
          <w:szCs w:val="24"/>
          <w:u w:color="000000"/>
        </w:rPr>
        <w:t>Implementación del sello de identificación de las personas jurídicas de objeto exclusivo que pertenezcan o presten servicios de fideicomiso (fiduciarias) a una EIF o a su controladora”. La implementación del sello contribuye a que los usuarios puedan identificar las personas jurídicas de objeto exclusivo que pertenecen o presten servicios de fideicomiso (fiduciarias) a una EIF o a su controladora, que son supervisadas por la Superintendencia de Bancos.</w:t>
      </w:r>
    </w:p>
    <w:p w14:paraId="1E5DE5F6" w14:textId="0B47BAC5" w:rsidR="008F1ED6" w:rsidRPr="0015138B" w:rsidRDefault="008F1ED6" w:rsidP="00CB4994">
      <w:pPr>
        <w:pStyle w:val="Prrafodelista"/>
        <w:numPr>
          <w:ilvl w:val="0"/>
          <w:numId w:val="11"/>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bookmarkStart w:id="45" w:name="_Hlk151543241"/>
      <w:r w:rsidRPr="00E26490">
        <w:rPr>
          <w:rFonts w:ascii="Times New Roman" w:eastAsiaTheme="minorHAnsi" w:hAnsi="Times New Roman"/>
          <w:color w:val="767171"/>
          <w:spacing w:val="20"/>
          <w:sz w:val="24"/>
          <w:szCs w:val="24"/>
          <w:u w:color="000000"/>
        </w:rPr>
        <w:t>Circular SB: Núm. 009/23 del 3 de octubre de 2023 “</w:t>
      </w:r>
      <w:bookmarkEnd w:id="45"/>
      <w:r w:rsidRPr="00E26490">
        <w:rPr>
          <w:rFonts w:ascii="Times New Roman" w:eastAsiaTheme="minorHAnsi" w:hAnsi="Times New Roman"/>
          <w:color w:val="767171"/>
          <w:spacing w:val="20"/>
          <w:sz w:val="24"/>
          <w:szCs w:val="24"/>
          <w:u w:color="000000"/>
        </w:rPr>
        <w:t>Transparencia de la información publicada a los cuentahabientes sobre el estatus y la disponibilidad de los fondos provenientes de cheques depositados en ventanilla, dispositivo móvil o cajero automático”.  Esta circular establece que la información en la consulta de balance y estados de cuenta presentada en los canales dispuestos por las entidades reflejen de forma exacta y desagregada el estatus de los fondos correspondientes a los cheques recibidos a través de ventanilla, dispositivo móvil o cajero automático.</w:t>
      </w:r>
    </w:p>
    <w:p w14:paraId="5EE1EFE9" w14:textId="0CAA85F4" w:rsidR="008F1ED6" w:rsidRPr="0015138B" w:rsidRDefault="008F1ED6" w:rsidP="00CB4994">
      <w:pPr>
        <w:pStyle w:val="Prrafodelista"/>
        <w:numPr>
          <w:ilvl w:val="0"/>
          <w:numId w:val="11"/>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r w:rsidRPr="00E26490">
        <w:rPr>
          <w:rFonts w:ascii="Times New Roman" w:eastAsiaTheme="minorHAnsi" w:hAnsi="Times New Roman"/>
          <w:color w:val="767171"/>
          <w:spacing w:val="20"/>
          <w:sz w:val="24"/>
          <w:szCs w:val="24"/>
          <w:u w:color="000000"/>
        </w:rPr>
        <w:t xml:space="preserve">Circular SB: Núm. 010/23 del 16 de octubre de 2023 “Extensión del plazo para la implementación del sello de identificación de los subagentes bancarios y de cambio de las entidades de intermediación financiera e intermediarios cambiarios registrados </w:t>
      </w:r>
      <w:r w:rsidRPr="00E26490">
        <w:rPr>
          <w:rFonts w:ascii="Times New Roman" w:eastAsiaTheme="minorHAnsi" w:hAnsi="Times New Roman"/>
          <w:color w:val="767171"/>
          <w:spacing w:val="20"/>
          <w:sz w:val="24"/>
          <w:szCs w:val="24"/>
          <w:u w:color="000000"/>
        </w:rPr>
        <w:lastRenderedPageBreak/>
        <w:t xml:space="preserve">en la Superintendencia de Bancos puesta en vigencia mediante la Circular SB: CSB-REG-2002300006”. Esta circular extiende hasta el veintiuno (21) de diciembre de 2023 el plazo otorgado a las entidades de intermediación financiera y los intermediarios cambiarios para la correcta descarga del sello de identificación y </w:t>
      </w:r>
      <w:r w:rsidR="00590BA0">
        <w:rPr>
          <w:rFonts w:ascii="Times New Roman" w:eastAsiaTheme="minorHAnsi" w:hAnsi="Times New Roman"/>
          <w:color w:val="767171"/>
          <w:spacing w:val="20"/>
          <w:sz w:val="24"/>
          <w:szCs w:val="24"/>
          <w:u w:color="000000"/>
        </w:rPr>
        <w:t>su colocación</w:t>
      </w:r>
      <w:r w:rsidRPr="00E26490">
        <w:rPr>
          <w:rFonts w:ascii="Times New Roman" w:eastAsiaTheme="minorHAnsi" w:hAnsi="Times New Roman"/>
          <w:color w:val="767171"/>
          <w:spacing w:val="20"/>
          <w:sz w:val="24"/>
          <w:szCs w:val="24"/>
          <w:u w:color="000000"/>
        </w:rPr>
        <w:t xml:space="preserve"> de manera visible en los establecimientos de los subagentes bancarios y de los subagentes de cambio.</w:t>
      </w:r>
    </w:p>
    <w:p w14:paraId="1D299970" w14:textId="796ABD3F" w:rsidR="008F1ED6" w:rsidRPr="008B7DCC" w:rsidRDefault="008F1ED6" w:rsidP="00CB4994">
      <w:pPr>
        <w:pStyle w:val="Prrafodelista"/>
        <w:numPr>
          <w:ilvl w:val="0"/>
          <w:numId w:val="11"/>
        </w:numPr>
        <w:pBdr>
          <w:top w:val="nil"/>
          <w:left w:val="nil"/>
          <w:bottom w:val="nil"/>
          <w:right w:val="nil"/>
          <w:between w:val="nil"/>
          <w:bar w:val="nil"/>
        </w:pBdr>
        <w:suppressAutoHyphens/>
        <w:spacing w:line="360" w:lineRule="auto"/>
        <w:contextualSpacing w:val="0"/>
        <w:jc w:val="both"/>
        <w:rPr>
          <w:rFonts w:ascii="Times New Roman" w:hAnsi="Times New Roman"/>
          <w:color w:val="767171"/>
          <w:spacing w:val="20"/>
          <w:szCs w:val="24"/>
          <w:u w:color="000000"/>
        </w:rPr>
      </w:pPr>
      <w:r w:rsidRPr="0015138B">
        <w:rPr>
          <w:rFonts w:ascii="Times New Roman" w:eastAsiaTheme="minorHAnsi" w:hAnsi="Times New Roman"/>
          <w:color w:val="767171"/>
          <w:spacing w:val="20"/>
          <w:sz w:val="24"/>
          <w:szCs w:val="24"/>
          <w:u w:color="000000"/>
        </w:rPr>
        <w:t>Circular SB: Núm. 011/23 del 15 de noviembre de 2023 “Modificación del “Manual de Contabilidad para Entidades Supervisadas”, para adecuar la clasificación de los equivalentes de efectivo a los estándares contables de las Normas Internacionales de Información Financiera (NIIF). Esta Circular dispone modificar el “Manual de Contabilidad para Entidades Supervisadas” para adecuar el criterio que deben aplicar las entidades para determinar que activos cumplen con la definición de “Equivalentes de Efectivo”, conforme a las Normas Internacionales de Información Financiera (NIIF).</w:t>
      </w:r>
    </w:p>
    <w:p w14:paraId="19421940" w14:textId="4A333AA8" w:rsidR="008F1ED6" w:rsidRPr="0015138B" w:rsidRDefault="008F1ED6" w:rsidP="00CB4994">
      <w:pPr>
        <w:pStyle w:val="Prrafodelista"/>
        <w:numPr>
          <w:ilvl w:val="0"/>
          <w:numId w:val="11"/>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r w:rsidRPr="00E26490">
        <w:rPr>
          <w:rFonts w:ascii="Times New Roman" w:eastAsiaTheme="minorHAnsi" w:hAnsi="Times New Roman"/>
          <w:color w:val="767171"/>
          <w:spacing w:val="20"/>
          <w:sz w:val="24"/>
          <w:szCs w:val="24"/>
          <w:u w:color="000000"/>
        </w:rPr>
        <w:t>Circular SB: Núm. 012/23 del 17 de noviembre de 2023 “Modificación del Instructivo sobre Planes de Regularización”. Este establece los aspectos mínimos que deberán considerar las EIF en la elaboración y presentación de los planes de regularización cuando estos sean requeridos por la Superintendencia de Bancos por incumplimientos a las regulaciones vigentes.</w:t>
      </w:r>
    </w:p>
    <w:p w14:paraId="0A58CB95" w14:textId="5ABE084A" w:rsidR="008F1ED6" w:rsidRPr="0015138B" w:rsidRDefault="008F1ED6" w:rsidP="00CB4994">
      <w:pPr>
        <w:pStyle w:val="Prrafodelista"/>
        <w:numPr>
          <w:ilvl w:val="0"/>
          <w:numId w:val="11"/>
        </w:numPr>
        <w:pBdr>
          <w:top w:val="nil"/>
          <w:left w:val="nil"/>
          <w:bottom w:val="nil"/>
          <w:right w:val="nil"/>
          <w:between w:val="nil"/>
          <w:bar w:val="nil"/>
        </w:pBdr>
        <w:suppressAutoHyphens/>
        <w:spacing w:line="360" w:lineRule="auto"/>
        <w:contextualSpacing w:val="0"/>
        <w:jc w:val="both"/>
        <w:rPr>
          <w:rFonts w:ascii="Times New Roman" w:eastAsiaTheme="minorEastAsia" w:hAnsi="Times New Roman"/>
          <w:color w:val="767171"/>
          <w:spacing w:val="20"/>
          <w:sz w:val="24"/>
          <w:szCs w:val="24"/>
        </w:rPr>
      </w:pPr>
      <w:r w:rsidRPr="7F757E9A">
        <w:rPr>
          <w:rFonts w:ascii="Times New Roman" w:eastAsiaTheme="minorEastAsia" w:hAnsi="Times New Roman"/>
          <w:color w:val="767171"/>
          <w:spacing w:val="20"/>
          <w:sz w:val="24"/>
          <w:szCs w:val="24"/>
        </w:rPr>
        <w:t xml:space="preserve">Circular SB: Núm. 013/23 del 22 de noviembre de 2023 “Actualizar el algoritmo que generará el </w:t>
      </w:r>
      <w:r w:rsidR="003706DD">
        <w:rPr>
          <w:rFonts w:ascii="Times New Roman" w:eastAsiaTheme="minorEastAsia" w:hAnsi="Times New Roman"/>
          <w:color w:val="767171"/>
          <w:spacing w:val="20"/>
          <w:sz w:val="24"/>
          <w:szCs w:val="24"/>
        </w:rPr>
        <w:t>c</w:t>
      </w:r>
      <w:r w:rsidRPr="7F757E9A">
        <w:rPr>
          <w:rFonts w:ascii="Times New Roman" w:eastAsiaTheme="minorEastAsia" w:hAnsi="Times New Roman"/>
          <w:color w:val="767171"/>
          <w:spacing w:val="20"/>
          <w:sz w:val="24"/>
          <w:szCs w:val="24"/>
        </w:rPr>
        <w:t xml:space="preserve">ódigo de verificación, que se asignará al momento de contratar un instrumento de captación, exceptuando las cuentas de ahorro, corrientes y los </w:t>
      </w:r>
      <w:r w:rsidRPr="7F757E9A">
        <w:rPr>
          <w:rFonts w:ascii="Times New Roman" w:eastAsiaTheme="minorEastAsia" w:hAnsi="Times New Roman"/>
          <w:color w:val="767171"/>
          <w:spacing w:val="20"/>
          <w:sz w:val="24"/>
          <w:szCs w:val="24"/>
        </w:rPr>
        <w:lastRenderedPageBreak/>
        <w:t>instrumentos de oferta pública”. Esta Carta Circular dispone la actualización del algoritmo de encriptación seguro -</w:t>
      </w:r>
      <w:bookmarkStart w:id="46" w:name="_Int_3D8LQYrq"/>
      <w:proofErr w:type="spellStart"/>
      <w:r w:rsidRPr="7F757E9A">
        <w:rPr>
          <w:rFonts w:ascii="Times New Roman" w:eastAsiaTheme="minorEastAsia" w:hAnsi="Times New Roman"/>
          <w:color w:val="767171"/>
          <w:spacing w:val="20"/>
          <w:sz w:val="24"/>
          <w:szCs w:val="24"/>
        </w:rPr>
        <w:t>Secure</w:t>
      </w:r>
      <w:bookmarkEnd w:id="46"/>
      <w:proofErr w:type="spellEnd"/>
      <w:r w:rsidRPr="7F757E9A">
        <w:rPr>
          <w:rFonts w:ascii="Times New Roman" w:eastAsiaTheme="minorEastAsia" w:hAnsi="Times New Roman"/>
          <w:color w:val="767171"/>
          <w:spacing w:val="20"/>
          <w:sz w:val="24"/>
          <w:szCs w:val="24"/>
        </w:rPr>
        <w:t xml:space="preserve"> Hash </w:t>
      </w:r>
      <w:bookmarkStart w:id="47" w:name="_Int_5MDZ0coW"/>
      <w:proofErr w:type="spellStart"/>
      <w:r w:rsidRPr="7F757E9A">
        <w:rPr>
          <w:rFonts w:ascii="Times New Roman" w:eastAsiaTheme="minorEastAsia" w:hAnsi="Times New Roman"/>
          <w:color w:val="767171"/>
          <w:spacing w:val="20"/>
          <w:sz w:val="24"/>
          <w:szCs w:val="24"/>
        </w:rPr>
        <w:t>Algorith</w:t>
      </w:r>
      <w:bookmarkEnd w:id="47"/>
      <w:proofErr w:type="spellEnd"/>
      <w:r w:rsidRPr="7F757E9A">
        <w:rPr>
          <w:rFonts w:ascii="Times New Roman" w:eastAsiaTheme="minorEastAsia" w:hAnsi="Times New Roman"/>
          <w:color w:val="767171"/>
          <w:spacing w:val="20"/>
          <w:sz w:val="24"/>
          <w:szCs w:val="24"/>
        </w:rPr>
        <w:t xml:space="preserve"> (SHA, por sus siglas en inglés) SHA1, por el “SHA3-256”, para generar el código hash (Código de Verificación) al momento de contratar un instrumento de captación. Requiere a las entidades remitir con el nuevo algoritmo la base de datos completa de los instrumentos de captación emitidos a la fecha del reporte. </w:t>
      </w:r>
    </w:p>
    <w:p w14:paraId="5D0635BA" w14:textId="40D1EC57" w:rsidR="0015138B" w:rsidRPr="0015138B" w:rsidRDefault="008F1ED6" w:rsidP="00CB4994">
      <w:pPr>
        <w:pStyle w:val="Prrafodelista"/>
        <w:numPr>
          <w:ilvl w:val="0"/>
          <w:numId w:val="11"/>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r w:rsidRPr="00E26490">
        <w:rPr>
          <w:rFonts w:ascii="Times New Roman" w:eastAsiaTheme="minorHAnsi" w:hAnsi="Times New Roman"/>
          <w:color w:val="767171"/>
          <w:spacing w:val="20"/>
          <w:sz w:val="24"/>
          <w:szCs w:val="24"/>
          <w:u w:color="000000"/>
        </w:rPr>
        <w:t>Circular SB: Núm. 014/23 del 23 de noviembre de 2023 “Lineamientos y reiteraciones para el cumplimiento de las disposiciones contenidas en la Ley núm. 172-13, que tiene por objeto la protección integral de los datos personales asentados en archivos, registros públicos, bancos de datos u otros medios técnicos de tratamiento de datos destinados a dar informes, sean estos públicos o privados”.</w:t>
      </w:r>
    </w:p>
    <w:p w14:paraId="219B8B0B" w14:textId="19150B81" w:rsidR="00CA473C" w:rsidRPr="00CA473C" w:rsidRDefault="008F1ED6" w:rsidP="00CA473C">
      <w:pPr>
        <w:pStyle w:val="Prrafodelista"/>
        <w:numPr>
          <w:ilvl w:val="0"/>
          <w:numId w:val="11"/>
        </w:numPr>
        <w:pBdr>
          <w:top w:val="nil"/>
          <w:left w:val="nil"/>
          <w:bottom w:val="nil"/>
          <w:right w:val="nil"/>
          <w:between w:val="nil"/>
          <w:bar w:val="nil"/>
        </w:pBdr>
        <w:suppressAutoHyphens/>
        <w:spacing w:line="360" w:lineRule="auto"/>
        <w:ind w:left="357" w:hanging="357"/>
        <w:contextualSpacing w:val="0"/>
        <w:jc w:val="both"/>
        <w:rPr>
          <w:rFonts w:ascii="Times New Roman" w:eastAsiaTheme="minorHAnsi" w:hAnsi="Times New Roman"/>
          <w:color w:val="767171"/>
          <w:spacing w:val="20"/>
          <w:sz w:val="24"/>
          <w:szCs w:val="24"/>
          <w:u w:color="000000"/>
        </w:rPr>
      </w:pPr>
      <w:r w:rsidRPr="005B6D4F">
        <w:rPr>
          <w:rFonts w:ascii="Times New Roman" w:eastAsiaTheme="minorHAnsi" w:hAnsi="Times New Roman"/>
          <w:color w:val="767171"/>
          <w:spacing w:val="20"/>
          <w:sz w:val="24"/>
          <w:szCs w:val="24"/>
          <w:u w:color="000000"/>
        </w:rPr>
        <w:t>Circular SB: Núm. 015/23 del 23 de noviembre de 2023 “Lineamientos para las entidades dar cumplimiento a las solicitudes de exclusión realizadas por los usuarios, en los procesos de venta y mercadeo de productos y servicios financieros”. Esta Circular habilita un canal digital a través de la herramienta ProUsuario Digital para que los usuarios puedan solicitar ser contactados o no para el ofrecimiento de productos o servicios bancarios. Dispone que las entidades deben acceder diariamente al Portal del SB Interactivo, en la sección “Lista de Exclusión” (</w:t>
      </w:r>
      <w:hyperlink r:id="rId19" w:history="1">
        <w:r w:rsidRPr="005B6D4F">
          <w:rPr>
            <w:rFonts w:ascii="Times New Roman" w:eastAsiaTheme="minorHAnsi" w:hAnsi="Times New Roman"/>
            <w:color w:val="767171"/>
            <w:sz w:val="24"/>
            <w:u w:color="000000"/>
          </w:rPr>
          <w:t>https://sbinteractivo.sb.gob.do/Account/Signin</w:t>
        </w:r>
      </w:hyperlink>
      <w:r w:rsidRPr="005B6D4F">
        <w:rPr>
          <w:rFonts w:ascii="Times New Roman" w:eastAsiaTheme="minorHAnsi" w:hAnsi="Times New Roman"/>
          <w:color w:val="767171"/>
          <w:spacing w:val="20"/>
          <w:sz w:val="24"/>
          <w:szCs w:val="24"/>
          <w:u w:color="000000"/>
        </w:rPr>
        <w:t>), para descargar las solicitudes de inclusión/exclusión de los usuarios en el ofrecimiento de productos o servicios bancarios.</w:t>
      </w:r>
    </w:p>
    <w:p w14:paraId="1897BB0E" w14:textId="5C40E234" w:rsidR="008F1ED6" w:rsidRPr="00E26490" w:rsidRDefault="001E3A59" w:rsidP="004372EE">
      <w:pPr>
        <w:pStyle w:val="Prrafodelista"/>
        <w:pBdr>
          <w:top w:val="nil"/>
          <w:left w:val="nil"/>
          <w:bottom w:val="nil"/>
          <w:right w:val="nil"/>
          <w:between w:val="nil"/>
          <w:bar w:val="nil"/>
        </w:pBdr>
        <w:suppressAutoHyphens/>
        <w:spacing w:line="360" w:lineRule="auto"/>
        <w:ind w:left="0"/>
        <w:contextualSpacing w:val="0"/>
        <w:jc w:val="both"/>
        <w:rPr>
          <w:u w:color="000000"/>
        </w:rPr>
      </w:pPr>
      <w:r w:rsidRPr="005B6D4F">
        <w:rPr>
          <w:rFonts w:ascii="Times New Roman" w:eastAsiaTheme="minorHAnsi" w:hAnsi="Times New Roman"/>
          <w:color w:val="767171"/>
          <w:spacing w:val="20"/>
          <w:sz w:val="24"/>
          <w:szCs w:val="24"/>
          <w:u w:color="000000"/>
        </w:rPr>
        <w:t>En otro orden, s</w:t>
      </w:r>
      <w:r w:rsidR="008F1ED6" w:rsidRPr="000C3D28">
        <w:rPr>
          <w:rFonts w:ascii="Times New Roman" w:eastAsiaTheme="minorHAnsi" w:hAnsi="Times New Roman"/>
          <w:color w:val="767171"/>
          <w:spacing w:val="20"/>
          <w:sz w:val="24"/>
          <w:szCs w:val="24"/>
          <w:u w:color="000000"/>
        </w:rPr>
        <w:t>e han emitido las siguientes Cartas Circulares:</w:t>
      </w:r>
    </w:p>
    <w:p w14:paraId="4C440852" w14:textId="31D47E56" w:rsidR="008F1ED6" w:rsidRPr="00E26490" w:rsidRDefault="008F1ED6" w:rsidP="00CB4994">
      <w:pPr>
        <w:pStyle w:val="Prrafodelista"/>
        <w:numPr>
          <w:ilvl w:val="0"/>
          <w:numId w:val="12"/>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r w:rsidRPr="00E26490">
        <w:rPr>
          <w:rFonts w:ascii="Times New Roman" w:eastAsiaTheme="minorHAnsi" w:hAnsi="Times New Roman"/>
          <w:color w:val="767171"/>
          <w:spacing w:val="20"/>
          <w:sz w:val="24"/>
          <w:szCs w:val="24"/>
          <w:u w:color="000000"/>
        </w:rPr>
        <w:lastRenderedPageBreak/>
        <w:t>Carta Circular SB: Núm. 001/23 del 27 de enero de 2023 “Publicación del Balance de Comprobación Analítico 2023 (Versión 3)”. En esta versión se incluyen determinadas cuentas contingentes y de orden para el registro de las operaciones de derivados a los fines de la determinación de la Posición Neta en Moneda Extranjera (PNME) de las EIF; se eliminan determinadas cuentas del analítico, y se incluye el dígito 2 para el registro en moneda extranjera en cuentas específicas.</w:t>
      </w:r>
    </w:p>
    <w:p w14:paraId="698BAD16" w14:textId="4F4137EA" w:rsidR="008F1ED6" w:rsidRPr="0015138B" w:rsidRDefault="008F1ED6" w:rsidP="00CB4994">
      <w:pPr>
        <w:pStyle w:val="Prrafodelista"/>
        <w:numPr>
          <w:ilvl w:val="0"/>
          <w:numId w:val="12"/>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r w:rsidRPr="00E26490">
        <w:rPr>
          <w:rFonts w:ascii="Times New Roman" w:eastAsiaTheme="minorHAnsi" w:hAnsi="Times New Roman"/>
          <w:color w:val="767171"/>
          <w:spacing w:val="20"/>
          <w:sz w:val="24"/>
          <w:szCs w:val="24"/>
          <w:u w:color="000000"/>
        </w:rPr>
        <w:t xml:space="preserve">Carta Circular SB: Núm. 002/23 del 2 de marzo de 2023 “Informar sobre las disposiciones establecidas en la Ley núm. 45-20 de Garantías Mobiliarias e implementación del Sistema Electrónico de Garantías Mobiliarias (SEGM)”. </w:t>
      </w:r>
      <w:bookmarkStart w:id="48" w:name="_Hlk136427786"/>
      <w:r w:rsidRPr="00E26490">
        <w:rPr>
          <w:rFonts w:ascii="Times New Roman" w:eastAsiaTheme="minorHAnsi" w:hAnsi="Times New Roman"/>
          <w:color w:val="767171"/>
          <w:spacing w:val="20"/>
          <w:sz w:val="24"/>
          <w:szCs w:val="24"/>
          <w:u w:color="000000"/>
        </w:rPr>
        <w:t>Mediante</w:t>
      </w:r>
      <w:r w:rsidR="00175F55">
        <w:rPr>
          <w:rFonts w:ascii="Times New Roman" w:eastAsiaTheme="minorHAnsi" w:hAnsi="Times New Roman"/>
          <w:color w:val="767171"/>
          <w:spacing w:val="20"/>
          <w:sz w:val="24"/>
          <w:szCs w:val="24"/>
          <w:u w:color="000000"/>
        </w:rPr>
        <w:t xml:space="preserve"> esta</w:t>
      </w:r>
      <w:r w:rsidRPr="00E26490">
        <w:rPr>
          <w:rFonts w:ascii="Times New Roman" w:eastAsiaTheme="minorHAnsi" w:hAnsi="Times New Roman"/>
          <w:color w:val="767171"/>
          <w:spacing w:val="20"/>
          <w:sz w:val="24"/>
          <w:szCs w:val="24"/>
          <w:u w:color="000000"/>
        </w:rPr>
        <w:t xml:space="preserve"> Carta Circular </w:t>
      </w:r>
      <w:bookmarkEnd w:id="48"/>
      <w:r w:rsidRPr="00E26490">
        <w:rPr>
          <w:rFonts w:ascii="Times New Roman" w:eastAsiaTheme="minorHAnsi" w:hAnsi="Times New Roman"/>
          <w:color w:val="767171"/>
          <w:spacing w:val="20"/>
          <w:sz w:val="24"/>
          <w:szCs w:val="24"/>
          <w:u w:color="000000"/>
        </w:rPr>
        <w:t>se exhorta a las EIF a que tomen conocimiento del nuevo proceso de constitución, publicidad, prelación y ejecución de las garantías mobiliarias, en virtud de la entrada en vigor de la citada Ley; y que formalicen su inscripción como usuario dentro del sistema. También se exhorta a las EIF realizar el proceso de migración de las garantías vigentes contratadas y registradas previo al 20 de enero de 2023, en un plazo de noventa (90) días a partir de la puesta en marcha del sistema y a dar cumplimiento a las disposiciones que emitan las instituciones competentes sobre los temas concernientes a la citada Ley y al SEGM.</w:t>
      </w:r>
    </w:p>
    <w:p w14:paraId="2E7C0760" w14:textId="01CE3700" w:rsidR="008F1ED6" w:rsidRPr="00E26490" w:rsidRDefault="008F1ED6" w:rsidP="00CB4994">
      <w:pPr>
        <w:pStyle w:val="Prrafodelista"/>
        <w:numPr>
          <w:ilvl w:val="0"/>
          <w:numId w:val="12"/>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r w:rsidRPr="00E26490">
        <w:rPr>
          <w:rFonts w:ascii="Times New Roman" w:eastAsiaTheme="minorHAnsi" w:hAnsi="Times New Roman"/>
          <w:color w:val="767171"/>
          <w:spacing w:val="20"/>
          <w:sz w:val="24"/>
          <w:szCs w:val="24"/>
          <w:u w:color="000000"/>
        </w:rPr>
        <w:t>Carta Circular SB: Núm. 003/23 del 22 de marzo de 2023 “Nota aclaratoria sobre el Reporte PEP1 – Personas Expuestas Políticamente del Manual de Requerimientos de Información de la Administración Monetaria y Financiera”. Las consideraciones referidas en la Carta Circular aclara</w:t>
      </w:r>
      <w:r w:rsidR="00A34CEC">
        <w:rPr>
          <w:rFonts w:ascii="Times New Roman" w:eastAsiaTheme="minorHAnsi" w:hAnsi="Times New Roman"/>
          <w:color w:val="767171"/>
          <w:spacing w:val="20"/>
          <w:sz w:val="24"/>
          <w:szCs w:val="24"/>
          <w:u w:color="000000"/>
        </w:rPr>
        <w:t>n</w:t>
      </w:r>
      <w:r w:rsidRPr="00E26490">
        <w:rPr>
          <w:rFonts w:ascii="Times New Roman" w:eastAsiaTheme="minorHAnsi" w:hAnsi="Times New Roman"/>
          <w:color w:val="767171"/>
          <w:spacing w:val="20"/>
          <w:sz w:val="24"/>
          <w:szCs w:val="24"/>
          <w:u w:color="000000"/>
        </w:rPr>
        <w:t xml:space="preserve"> que el Reporte PEP1-Personas Expuestas Políticamente permite la inclusión tanto de personas físicas como jurídicas</w:t>
      </w:r>
      <w:r w:rsidR="00F314FD">
        <w:rPr>
          <w:rFonts w:ascii="Times New Roman" w:eastAsiaTheme="minorHAnsi" w:hAnsi="Times New Roman"/>
          <w:color w:val="767171"/>
          <w:spacing w:val="20"/>
          <w:sz w:val="24"/>
          <w:szCs w:val="24"/>
          <w:u w:color="000000"/>
        </w:rPr>
        <w:t>,</w:t>
      </w:r>
      <w:r w:rsidRPr="00E26490">
        <w:rPr>
          <w:rFonts w:ascii="Times New Roman" w:eastAsiaTheme="minorHAnsi" w:hAnsi="Times New Roman"/>
          <w:color w:val="767171"/>
          <w:spacing w:val="20"/>
          <w:sz w:val="24"/>
          <w:szCs w:val="24"/>
          <w:u w:color="000000"/>
        </w:rPr>
        <w:t xml:space="preserve"> sobre las cuales recae la </w:t>
      </w:r>
      <w:r w:rsidRPr="00E26490">
        <w:rPr>
          <w:rFonts w:ascii="Times New Roman" w:eastAsiaTheme="minorHAnsi" w:hAnsi="Times New Roman"/>
          <w:color w:val="767171"/>
          <w:spacing w:val="20"/>
          <w:sz w:val="24"/>
          <w:szCs w:val="24"/>
          <w:u w:color="000000"/>
        </w:rPr>
        <w:lastRenderedPageBreak/>
        <w:t>condición de PEP por elección o nombramientos ejecutivos, así como los relacionados a este por vinculación o como asociado cercano, incluyendo estos, los patrimonios separados en los cuales el PEP mantenga control social o accionario igual o superior al 20%, sea beneficiario final de este, o se haya constituido en su beneficio. Los reportes también permiten establecer la distinción entre la PEP y sus vinculados, así como, aplicar procedimientos de debida diligencia basados en riesgo, de conformidad con el párrafo contenido en el artículo 46 de la Ley Núm. 155-17 Contra el Lavado de Activos y el Financiamiento del Terrorismo.</w:t>
      </w:r>
    </w:p>
    <w:p w14:paraId="45990AA6" w14:textId="3683932D" w:rsidR="008F1ED6" w:rsidRPr="0015138B" w:rsidRDefault="008F1ED6" w:rsidP="00CB4994">
      <w:pPr>
        <w:pStyle w:val="Prrafodelista"/>
        <w:numPr>
          <w:ilvl w:val="0"/>
          <w:numId w:val="12"/>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r w:rsidRPr="00E26490">
        <w:rPr>
          <w:rFonts w:ascii="Times New Roman" w:eastAsiaTheme="minorHAnsi" w:hAnsi="Times New Roman"/>
          <w:color w:val="767171"/>
          <w:spacing w:val="20"/>
          <w:sz w:val="24"/>
          <w:szCs w:val="24"/>
          <w:u w:color="000000"/>
        </w:rPr>
        <w:t>Carta Circular SB: Núm. 004/23 del 31 de marzo de 2023 “Remisión de los Planes Estratégicos a través del Portal de la Administración Monetaria y Financiera (PAMF) para el año 2023”. Esta Carta Circular notifica que el envío de los Planes Estratégicos con sus proyecciones financieras correspondientes a este año 2023 se hará en formato PDF mediante el Reporte “AP01 - Planes Estratégicos”, hasta tanto se realicen los cambios para hacer posible la recepción automatizada a través del Portal de la Administración Monetaria y Financiera (PAMF).</w:t>
      </w:r>
    </w:p>
    <w:p w14:paraId="27D6F5A9" w14:textId="00864E76" w:rsidR="008F1ED6" w:rsidRPr="0015138B" w:rsidRDefault="008F1ED6" w:rsidP="00CB4994">
      <w:pPr>
        <w:pStyle w:val="Prrafodelista"/>
        <w:numPr>
          <w:ilvl w:val="0"/>
          <w:numId w:val="12"/>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bookmarkStart w:id="49" w:name="_Hlk152750245"/>
      <w:r w:rsidRPr="00E26490">
        <w:rPr>
          <w:rFonts w:ascii="Times New Roman" w:eastAsiaTheme="minorHAnsi" w:hAnsi="Times New Roman"/>
          <w:color w:val="767171"/>
          <w:spacing w:val="20"/>
          <w:sz w:val="24"/>
          <w:szCs w:val="24"/>
          <w:u w:color="000000"/>
        </w:rPr>
        <w:t xml:space="preserve">Carta Circular SB: Núm. 006/23 del 8 de mayo de 2023 “Puesta en vistas públicas la propuesta del “Instructivo para realizar Pruebas de Estrés en las Entidades de Intermediación Financiera (EIF)”. </w:t>
      </w:r>
      <w:bookmarkEnd w:id="49"/>
      <w:r w:rsidRPr="00E26490">
        <w:rPr>
          <w:rFonts w:ascii="Times New Roman" w:eastAsiaTheme="minorHAnsi" w:hAnsi="Times New Roman"/>
          <w:color w:val="767171"/>
          <w:spacing w:val="20"/>
          <w:sz w:val="24"/>
          <w:szCs w:val="24"/>
          <w:u w:color="000000"/>
        </w:rPr>
        <w:t>Las pruebas de estrés son fundamentales para que las EIF tengan una visión prospectiva de los riesgos que enfrentan. El citado Instructivo amplía los lineamientos ya provistos en el Reglamento de Gestión Integral de Riesgos del 16 de marzo de 2017, acorde a las mejores prácticas en materia de pruebas de estrés vigentes internacionalmente</w:t>
      </w:r>
      <w:r w:rsidR="002E3B56">
        <w:rPr>
          <w:rFonts w:ascii="Times New Roman" w:eastAsiaTheme="minorHAnsi" w:hAnsi="Times New Roman"/>
          <w:color w:val="767171"/>
          <w:spacing w:val="20"/>
          <w:sz w:val="24"/>
          <w:szCs w:val="24"/>
          <w:u w:color="000000"/>
        </w:rPr>
        <w:t>.</w:t>
      </w:r>
    </w:p>
    <w:p w14:paraId="7C9B1787" w14:textId="6D67F3DF" w:rsidR="008F1ED6" w:rsidRPr="00E26490" w:rsidRDefault="008F1ED6" w:rsidP="00CB4994">
      <w:pPr>
        <w:pStyle w:val="Prrafodelista"/>
        <w:numPr>
          <w:ilvl w:val="0"/>
          <w:numId w:val="12"/>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r w:rsidRPr="00E26490">
        <w:rPr>
          <w:rFonts w:ascii="Times New Roman" w:eastAsiaTheme="minorHAnsi" w:hAnsi="Times New Roman"/>
          <w:color w:val="767171"/>
          <w:spacing w:val="20"/>
          <w:sz w:val="24"/>
          <w:szCs w:val="24"/>
          <w:u w:color="000000"/>
        </w:rPr>
        <w:lastRenderedPageBreak/>
        <w:t xml:space="preserve">Carta Circular SB: Núm. 007/23 del 11 de mayo de 2023 “Puesta en vistas públicas propuesta del “Instructivo sobre el Proceso de Evaluación de la Adecuación de Capital Interno (ICAAP por sus siglas en inglés)”. El Reglamento sobre Lineamientos para la Gestión Integral de Riesgos exige que las EIF deben contar con un proceso interno, integrado y global para evaluar la adecuación de su capital en función de su perfil y apetito de riesgo (ICAAP, por sus siglas en inglés) y con una estrategia para mantener sus niveles de capital a lo largo del tiempo. </w:t>
      </w:r>
      <w:r w:rsidR="006D5C36">
        <w:rPr>
          <w:rFonts w:ascii="Times New Roman" w:eastAsiaTheme="minorHAnsi" w:hAnsi="Times New Roman"/>
          <w:color w:val="767171"/>
          <w:spacing w:val="20"/>
          <w:sz w:val="24"/>
          <w:szCs w:val="24"/>
          <w:u w:color="000000"/>
        </w:rPr>
        <w:t>En adición, l</w:t>
      </w:r>
      <w:r w:rsidRPr="00E26490">
        <w:rPr>
          <w:rFonts w:ascii="Times New Roman" w:eastAsiaTheme="minorHAnsi" w:hAnsi="Times New Roman"/>
          <w:color w:val="767171"/>
          <w:spacing w:val="20"/>
          <w:sz w:val="24"/>
          <w:szCs w:val="24"/>
          <w:u w:color="000000"/>
        </w:rPr>
        <w:t>a propuesta establece los lineamientos básicos no limitativos que deberán ser tomados en consideración en el proceso interno de evaluación y planificación de las necesidades presentes y futuras de capital y las pautas a seguir en la elaboración del Informe de Autoevaluación de Capital (IAC), acorde al modelo de negocios, estrategias y apetito de riesgo definido por cada entidad</w:t>
      </w:r>
      <w:r w:rsidR="00BA3AE9">
        <w:rPr>
          <w:rFonts w:ascii="Times New Roman" w:eastAsiaTheme="minorHAnsi" w:hAnsi="Times New Roman"/>
          <w:color w:val="767171"/>
          <w:spacing w:val="20"/>
          <w:sz w:val="24"/>
          <w:szCs w:val="24"/>
          <w:u w:color="000000"/>
        </w:rPr>
        <w:t xml:space="preserve">. El apetito de riesgo </w:t>
      </w:r>
      <w:r w:rsidR="006951EC">
        <w:rPr>
          <w:rFonts w:ascii="Times New Roman" w:eastAsiaTheme="minorHAnsi" w:hAnsi="Times New Roman"/>
          <w:color w:val="767171"/>
          <w:spacing w:val="20"/>
          <w:sz w:val="24"/>
          <w:szCs w:val="24"/>
          <w:u w:color="000000"/>
        </w:rPr>
        <w:t>definido</w:t>
      </w:r>
      <w:r w:rsidR="00BA3AE9">
        <w:rPr>
          <w:rFonts w:ascii="Times New Roman" w:eastAsiaTheme="minorHAnsi" w:hAnsi="Times New Roman"/>
          <w:color w:val="767171"/>
          <w:spacing w:val="20"/>
          <w:sz w:val="24"/>
          <w:szCs w:val="24"/>
          <w:u w:color="000000"/>
        </w:rPr>
        <w:t xml:space="preserve"> ha de</w:t>
      </w:r>
      <w:r w:rsidRPr="00E26490">
        <w:rPr>
          <w:rFonts w:ascii="Times New Roman" w:eastAsiaTheme="minorHAnsi" w:hAnsi="Times New Roman"/>
          <w:color w:val="767171"/>
          <w:spacing w:val="20"/>
          <w:sz w:val="24"/>
          <w:szCs w:val="24"/>
          <w:u w:color="000000"/>
        </w:rPr>
        <w:t xml:space="preserve"> proporcional a su naturaleza, tamaño, importancia sistémica y perfil de riegos. Este </w:t>
      </w:r>
      <w:r w:rsidR="00BA3AE9">
        <w:rPr>
          <w:rFonts w:ascii="Times New Roman" w:eastAsiaTheme="minorHAnsi" w:hAnsi="Times New Roman"/>
          <w:color w:val="767171"/>
          <w:spacing w:val="20"/>
          <w:sz w:val="24"/>
          <w:szCs w:val="24"/>
          <w:u w:color="000000"/>
        </w:rPr>
        <w:t>i</w:t>
      </w:r>
      <w:r w:rsidRPr="00E26490">
        <w:rPr>
          <w:rFonts w:ascii="Times New Roman" w:eastAsiaTheme="minorHAnsi" w:hAnsi="Times New Roman"/>
          <w:color w:val="767171"/>
          <w:spacing w:val="20"/>
          <w:sz w:val="24"/>
          <w:szCs w:val="24"/>
          <w:u w:color="000000"/>
        </w:rPr>
        <w:t>nstructivo contribuye a facilitar la implementación del sistema de información y evaluación de capital requerido en el Reglamento.</w:t>
      </w:r>
    </w:p>
    <w:p w14:paraId="64E28CA7" w14:textId="3FE769E4" w:rsidR="008F1ED6" w:rsidRPr="00E26490" w:rsidRDefault="008F1ED6" w:rsidP="00CB4994">
      <w:pPr>
        <w:pStyle w:val="Prrafodelista"/>
        <w:numPr>
          <w:ilvl w:val="0"/>
          <w:numId w:val="12"/>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r w:rsidRPr="00E26490">
        <w:rPr>
          <w:rFonts w:ascii="Times New Roman" w:eastAsiaTheme="minorHAnsi" w:hAnsi="Times New Roman"/>
          <w:color w:val="767171"/>
          <w:spacing w:val="20"/>
          <w:sz w:val="24"/>
          <w:szCs w:val="24"/>
          <w:u w:color="000000"/>
        </w:rPr>
        <w:t>Carta Circular SB: Núm. 008/23 del 19 de mayo de 2023 “Actualización del salario mínimo nacional para la determinación del nivel de endeudamiento en el otorgamiento de Microcréditos”. La citada Circular dispone que la escala mayor del salario mínimo privado será de referencia para establecer el máximo nivel de endeudamiento consolidado en el sistema financiero de una persona física o jurídica</w:t>
      </w:r>
      <w:r w:rsidR="00C93AD5">
        <w:rPr>
          <w:rFonts w:ascii="Times New Roman" w:eastAsiaTheme="minorHAnsi" w:hAnsi="Times New Roman"/>
          <w:color w:val="767171"/>
          <w:spacing w:val="20"/>
          <w:sz w:val="24"/>
          <w:szCs w:val="24"/>
          <w:u w:color="000000"/>
        </w:rPr>
        <w:t>.</w:t>
      </w:r>
      <w:r w:rsidRPr="00E26490">
        <w:rPr>
          <w:rFonts w:ascii="Times New Roman" w:eastAsiaTheme="minorHAnsi" w:hAnsi="Times New Roman"/>
          <w:color w:val="767171"/>
          <w:spacing w:val="20"/>
          <w:sz w:val="24"/>
          <w:szCs w:val="24"/>
          <w:u w:color="000000"/>
        </w:rPr>
        <w:t xml:space="preserve"> </w:t>
      </w:r>
      <w:r w:rsidR="00154FF8">
        <w:rPr>
          <w:rFonts w:ascii="Times New Roman" w:eastAsiaTheme="minorHAnsi" w:hAnsi="Times New Roman"/>
          <w:color w:val="767171"/>
          <w:spacing w:val="20"/>
          <w:sz w:val="24"/>
          <w:szCs w:val="24"/>
          <w:u w:color="000000"/>
        </w:rPr>
        <w:t>El</w:t>
      </w:r>
      <w:r w:rsidR="000A6CEB">
        <w:rPr>
          <w:rFonts w:ascii="Times New Roman" w:eastAsiaTheme="minorHAnsi" w:hAnsi="Times New Roman"/>
          <w:color w:val="767171"/>
          <w:spacing w:val="20"/>
          <w:sz w:val="24"/>
          <w:szCs w:val="24"/>
          <w:u w:color="000000"/>
        </w:rPr>
        <w:t xml:space="preserve"> nivel</w:t>
      </w:r>
      <w:r w:rsidR="00154FF8">
        <w:rPr>
          <w:rFonts w:ascii="Times New Roman" w:eastAsiaTheme="minorHAnsi" w:hAnsi="Times New Roman"/>
          <w:color w:val="767171"/>
          <w:spacing w:val="20"/>
          <w:sz w:val="24"/>
          <w:szCs w:val="24"/>
          <w:u w:color="000000"/>
        </w:rPr>
        <w:t xml:space="preserve"> </w:t>
      </w:r>
      <w:r w:rsidR="00D077AF">
        <w:rPr>
          <w:rFonts w:ascii="Times New Roman" w:eastAsiaTheme="minorHAnsi" w:hAnsi="Times New Roman"/>
          <w:color w:val="767171"/>
          <w:spacing w:val="20"/>
          <w:sz w:val="24"/>
          <w:szCs w:val="24"/>
          <w:u w:color="000000"/>
        </w:rPr>
        <w:t>máximo</w:t>
      </w:r>
      <w:r w:rsidR="000A6CEB">
        <w:rPr>
          <w:rFonts w:ascii="Times New Roman" w:eastAsiaTheme="minorHAnsi" w:hAnsi="Times New Roman"/>
          <w:color w:val="767171"/>
          <w:spacing w:val="20"/>
          <w:sz w:val="24"/>
          <w:szCs w:val="24"/>
          <w:u w:color="000000"/>
        </w:rPr>
        <w:t xml:space="preserve"> de </w:t>
      </w:r>
      <w:r w:rsidR="00154FF8">
        <w:rPr>
          <w:rFonts w:ascii="Times New Roman" w:eastAsiaTheme="minorHAnsi" w:hAnsi="Times New Roman"/>
          <w:color w:val="767171"/>
          <w:spacing w:val="20"/>
          <w:sz w:val="24"/>
          <w:szCs w:val="24"/>
          <w:u w:color="000000"/>
        </w:rPr>
        <w:t>endeudamiento</w:t>
      </w:r>
      <w:r w:rsidRPr="00E26490">
        <w:rPr>
          <w:rFonts w:ascii="Times New Roman" w:eastAsiaTheme="minorHAnsi" w:hAnsi="Times New Roman"/>
          <w:color w:val="767171"/>
          <w:spacing w:val="20"/>
          <w:sz w:val="24"/>
          <w:szCs w:val="24"/>
          <w:u w:color="000000"/>
        </w:rPr>
        <w:t xml:space="preserve"> no deberá exceder los cincuenta (50) salarios mínimos para clasificar la operación como microcrédito.</w:t>
      </w:r>
      <w:bookmarkStart w:id="50" w:name="_Hlk151544647"/>
    </w:p>
    <w:p w14:paraId="623AD12F" w14:textId="77777777" w:rsidR="008F1ED6" w:rsidRPr="00E26490" w:rsidRDefault="008F1ED6" w:rsidP="00CB4994">
      <w:pPr>
        <w:pStyle w:val="Prrafodelista"/>
        <w:numPr>
          <w:ilvl w:val="0"/>
          <w:numId w:val="12"/>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r w:rsidRPr="00E26490">
        <w:rPr>
          <w:rFonts w:ascii="Times New Roman" w:eastAsiaTheme="minorHAnsi" w:hAnsi="Times New Roman"/>
          <w:color w:val="767171"/>
          <w:spacing w:val="20"/>
          <w:sz w:val="24"/>
          <w:szCs w:val="24"/>
          <w:u w:color="000000"/>
        </w:rPr>
        <w:lastRenderedPageBreak/>
        <w:t>Carta Circular SB: Núm. 009/23 del 19 de mayo de 2023 “</w:t>
      </w:r>
      <w:bookmarkEnd w:id="50"/>
      <w:r w:rsidRPr="00E26490">
        <w:rPr>
          <w:rFonts w:ascii="Times New Roman" w:eastAsiaTheme="minorHAnsi" w:hAnsi="Times New Roman"/>
          <w:color w:val="767171"/>
          <w:spacing w:val="20"/>
          <w:sz w:val="24"/>
          <w:szCs w:val="24"/>
          <w:u w:color="000000"/>
        </w:rPr>
        <w:t>Informar sobre el proyecto de radicación de los documentos emitidos por la Superintendencia de Bancos”. Esta disposición tiene la finalidad de aumentar la eficiencia y eficacia de los procesos internos, para agilizar las respuestas a los supervisados y al público en general, en cumplimiento a los ejes estratégicos sobre “Digitalización, innovación y nuevas tecnologías” y “Eficiencia y fortalecimiento institucional”.</w:t>
      </w:r>
      <w:bookmarkStart w:id="51" w:name="_Hlk151545514"/>
    </w:p>
    <w:p w14:paraId="0577F535" w14:textId="11126ACB" w:rsidR="008F1ED6" w:rsidRPr="00E26490" w:rsidRDefault="008F1ED6" w:rsidP="00CB4994">
      <w:pPr>
        <w:pStyle w:val="Prrafodelista"/>
        <w:numPr>
          <w:ilvl w:val="0"/>
          <w:numId w:val="12"/>
        </w:numPr>
        <w:pBdr>
          <w:top w:val="nil"/>
          <w:left w:val="nil"/>
          <w:bottom w:val="nil"/>
          <w:right w:val="nil"/>
          <w:between w:val="nil"/>
          <w:bar w:val="nil"/>
        </w:pBdr>
        <w:suppressAutoHyphens/>
        <w:spacing w:line="360" w:lineRule="auto"/>
        <w:contextualSpacing w:val="0"/>
        <w:jc w:val="both"/>
        <w:rPr>
          <w:rFonts w:ascii="Times New Roman" w:eastAsiaTheme="minorEastAsia" w:hAnsi="Times New Roman"/>
          <w:color w:val="767171"/>
          <w:spacing w:val="20"/>
          <w:sz w:val="24"/>
          <w:szCs w:val="24"/>
        </w:rPr>
      </w:pPr>
      <w:r w:rsidRPr="7F757E9A">
        <w:rPr>
          <w:rFonts w:ascii="Times New Roman" w:eastAsiaTheme="minorEastAsia" w:hAnsi="Times New Roman"/>
          <w:color w:val="767171"/>
          <w:spacing w:val="20"/>
          <w:sz w:val="24"/>
          <w:szCs w:val="24"/>
        </w:rPr>
        <w:t>Carta Circular SB: Núm. 010/23 del 27 de junio de 2023 “</w:t>
      </w:r>
      <w:bookmarkEnd w:id="51"/>
      <w:r w:rsidRPr="7F757E9A">
        <w:rPr>
          <w:rFonts w:ascii="Times New Roman" w:eastAsiaTheme="minorEastAsia" w:hAnsi="Times New Roman"/>
          <w:color w:val="767171"/>
          <w:spacing w:val="20"/>
          <w:sz w:val="24"/>
          <w:szCs w:val="24"/>
        </w:rPr>
        <w:t xml:space="preserve">Informar sobre la ubicación temporal de las instalaciones de la sede de la Superintendencia de Bancos”. Esta Carta Circular informa que en el interés de adaptar el edificio sede de la Superintendencia de Bancos a estándares de seguridad estructural y normativas urbanas, se estarán realizando trabajos de readecuación en su infraestructura. Por tanto, a partir del primero (1ero) de julio del presente año la sede de la Superintendencia de Bancos estará ubicada de manera temporal en la av. Máximo Gómez núm. 92, casi esquina av. John </w:t>
      </w:r>
      <w:bookmarkStart w:id="52" w:name="_Int_o8Ni7vGs"/>
      <w:proofErr w:type="spellStart"/>
      <w:proofErr w:type="gramStart"/>
      <w:r w:rsidRPr="7F757E9A">
        <w:rPr>
          <w:rFonts w:ascii="Times New Roman" w:eastAsiaTheme="minorEastAsia" w:hAnsi="Times New Roman"/>
          <w:color w:val="767171"/>
          <w:spacing w:val="20"/>
          <w:sz w:val="24"/>
          <w:szCs w:val="24"/>
        </w:rPr>
        <w:t>F.Kennedy</w:t>
      </w:r>
      <w:bookmarkEnd w:id="52"/>
      <w:proofErr w:type="spellEnd"/>
      <w:proofErr w:type="gramEnd"/>
      <w:r w:rsidRPr="7F757E9A">
        <w:rPr>
          <w:rFonts w:ascii="Times New Roman" w:eastAsiaTheme="minorEastAsia" w:hAnsi="Times New Roman"/>
          <w:color w:val="767171"/>
          <w:spacing w:val="20"/>
          <w:sz w:val="24"/>
          <w:szCs w:val="24"/>
        </w:rPr>
        <w:t>, Ensanche Kennedy. Además, los servicios que se ofrecen en la sede, ubicada en la av. México núm. 52, esquina Leopoldo Navarro, estarán disponibles de forma habitual en la ubicación temporal indicada y que las entidades supervisadas deberán seguir utilizando los medios digitales habituales para la remisión de informaciones y documentos.</w:t>
      </w:r>
      <w:bookmarkStart w:id="53" w:name="_Hlk151546053"/>
    </w:p>
    <w:p w14:paraId="6606B2C4" w14:textId="77777777" w:rsidR="008F1ED6" w:rsidRPr="00E26490" w:rsidRDefault="008F1ED6" w:rsidP="00CB4994">
      <w:pPr>
        <w:pStyle w:val="Prrafodelista"/>
        <w:numPr>
          <w:ilvl w:val="0"/>
          <w:numId w:val="12"/>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r w:rsidRPr="00E26490">
        <w:rPr>
          <w:rFonts w:ascii="Times New Roman" w:eastAsiaTheme="minorHAnsi" w:hAnsi="Times New Roman"/>
          <w:color w:val="767171"/>
          <w:spacing w:val="20"/>
          <w:sz w:val="24"/>
          <w:szCs w:val="24"/>
          <w:u w:color="000000"/>
        </w:rPr>
        <w:t xml:space="preserve">Carta Circular SB: Núm. 011/23 del 21 de agosto de 2023 </w:t>
      </w:r>
      <w:bookmarkEnd w:id="53"/>
      <w:r w:rsidRPr="00E26490">
        <w:rPr>
          <w:rFonts w:ascii="Times New Roman" w:eastAsiaTheme="minorHAnsi" w:hAnsi="Times New Roman"/>
          <w:color w:val="767171"/>
          <w:spacing w:val="20"/>
          <w:sz w:val="24"/>
          <w:szCs w:val="24"/>
          <w:u w:color="000000"/>
        </w:rPr>
        <w:t xml:space="preserve">“Establecimiento horario especial por el paso de la Tormenta Tropical Franklin”. Esta Carta Circular notifica que las EIF e intermediarios cambiarios podrán establecer un horario especial de servicios de atención al público en función de las condiciones climatológicas, a partir del martes veintidós (22) de agosto de </w:t>
      </w:r>
      <w:r w:rsidRPr="00E26490">
        <w:rPr>
          <w:rFonts w:ascii="Times New Roman" w:eastAsiaTheme="minorHAnsi" w:hAnsi="Times New Roman"/>
          <w:color w:val="767171"/>
          <w:spacing w:val="20"/>
          <w:sz w:val="24"/>
          <w:szCs w:val="24"/>
          <w:u w:color="000000"/>
        </w:rPr>
        <w:lastRenderedPageBreak/>
        <w:t>2023 y mientras persistan las mismas, como medida de precaución por el paso de la Tormenta Tropical Franklin.</w:t>
      </w:r>
    </w:p>
    <w:p w14:paraId="2A04F21B" w14:textId="77777777" w:rsidR="008F1ED6" w:rsidRPr="00E26490" w:rsidRDefault="008F1ED6" w:rsidP="00CB4994">
      <w:pPr>
        <w:pStyle w:val="Prrafodelista"/>
        <w:numPr>
          <w:ilvl w:val="0"/>
          <w:numId w:val="12"/>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r w:rsidRPr="00E26490">
        <w:rPr>
          <w:rFonts w:ascii="Times New Roman" w:eastAsiaTheme="minorHAnsi" w:hAnsi="Times New Roman"/>
          <w:color w:val="767171"/>
          <w:spacing w:val="20"/>
          <w:sz w:val="24"/>
          <w:szCs w:val="24"/>
          <w:u w:color="000000"/>
        </w:rPr>
        <w:t>Carta Circular SB: Núm. 012/23 del 18 de septiembre de 2023 “Puesta en vistas públicas la propuesta de modificación del “Instructivo sobre Planes de Regularización”. Esta Carta Circular informa que: En la página web de la Superintendencia de Bancos &lt;www.sb.gob.do&gt; se encuentra disponible para fines de consulta pública la propuesta de modificación del “Instructivo sobre Planes de Regularización”, la cual se realiza en cumplimiento a lo dispuesto en los artículos 59, 60 y 61 de la Ley Núm. 183-02 Monetaria y Financiera, del 21 de noviembre de 2002, que establecen el proceso de regularización desde las causales hasta la conclusión del plan.</w:t>
      </w:r>
      <w:bookmarkStart w:id="54" w:name="_Hlk151547769"/>
    </w:p>
    <w:p w14:paraId="1AC8B4AD" w14:textId="4EE4E350" w:rsidR="008F1ED6" w:rsidRPr="00E26490" w:rsidRDefault="00FD19AD" w:rsidP="00CB4994">
      <w:pPr>
        <w:pStyle w:val="Prrafodelista"/>
        <w:numPr>
          <w:ilvl w:val="0"/>
          <w:numId w:val="12"/>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r>
        <w:rPr>
          <w:rFonts w:ascii="Times New Roman" w:eastAsiaTheme="minorHAnsi" w:hAnsi="Times New Roman"/>
          <w:color w:val="767171"/>
          <w:spacing w:val="20"/>
          <w:sz w:val="24"/>
          <w:szCs w:val="24"/>
          <w:u w:color="000000"/>
        </w:rPr>
        <w:t xml:space="preserve">Carta </w:t>
      </w:r>
      <w:r w:rsidR="008F1ED6" w:rsidRPr="00E26490">
        <w:rPr>
          <w:rFonts w:ascii="Times New Roman" w:eastAsiaTheme="minorHAnsi" w:hAnsi="Times New Roman"/>
          <w:color w:val="767171"/>
          <w:spacing w:val="20"/>
          <w:sz w:val="24"/>
          <w:szCs w:val="24"/>
          <w:u w:color="000000"/>
        </w:rPr>
        <w:t xml:space="preserve">Circular SB: Núm. 014/23 del 2 de noviembre de 2023 </w:t>
      </w:r>
      <w:bookmarkEnd w:id="54"/>
      <w:r w:rsidR="008F1ED6" w:rsidRPr="00E26490">
        <w:rPr>
          <w:rFonts w:ascii="Times New Roman" w:eastAsiaTheme="minorHAnsi" w:hAnsi="Times New Roman"/>
          <w:color w:val="767171"/>
          <w:spacing w:val="20"/>
          <w:sz w:val="24"/>
          <w:szCs w:val="24"/>
          <w:u w:color="000000"/>
        </w:rPr>
        <w:t>“Puesta en vistas públicas la propuesta del “Instructivo de aplicación del reglamento de protección al usuario de los productos y servicios financieros”. El Instructivo tiene por finalidad establecer los lineamientos, requerimientos y procedimientos operativos y de control que deberán aplicar las entidades de intermediación financiera y los intermediarios cambiarios, a fin de dar cumplimiento a lo establecido en la Ley núm. 183-02 Monetaria y Financiera del 21 de noviembre de 2002 y de las disposiciones contenidas en el Reglamento de Protección al Usuario de los Productos y Servicios Financieros aprobado por la Junta Monetaria mediante Primera Resolución del 5 de febrero de 2015 y su modificación.</w:t>
      </w:r>
    </w:p>
    <w:p w14:paraId="20C81389" w14:textId="5395DCDA" w:rsidR="008F1ED6" w:rsidRPr="00E26490" w:rsidRDefault="008F1ED6" w:rsidP="00CB4994">
      <w:pPr>
        <w:pStyle w:val="Prrafodelista"/>
        <w:numPr>
          <w:ilvl w:val="0"/>
          <w:numId w:val="13"/>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bookmarkStart w:id="55" w:name="_Hlk151548155"/>
      <w:r w:rsidRPr="00E26490">
        <w:rPr>
          <w:rFonts w:ascii="Times New Roman" w:eastAsiaTheme="minorHAnsi" w:hAnsi="Times New Roman"/>
          <w:color w:val="767171"/>
          <w:spacing w:val="20"/>
          <w:sz w:val="24"/>
          <w:szCs w:val="24"/>
          <w:u w:color="000000"/>
        </w:rPr>
        <w:t xml:space="preserve">Carta Circular SB: Núm. 015/23 del 14 de noviembre de 2023 </w:t>
      </w:r>
      <w:bookmarkEnd w:id="55"/>
      <w:r w:rsidRPr="00E26490">
        <w:rPr>
          <w:rFonts w:ascii="Times New Roman" w:eastAsiaTheme="minorHAnsi" w:hAnsi="Times New Roman"/>
          <w:color w:val="767171"/>
          <w:spacing w:val="20"/>
          <w:sz w:val="24"/>
          <w:szCs w:val="24"/>
          <w:u w:color="000000"/>
        </w:rPr>
        <w:t xml:space="preserve">“Puesta en vistas públicas la propuesta de modificación del </w:t>
      </w:r>
      <w:r w:rsidRPr="00E26490">
        <w:rPr>
          <w:rFonts w:ascii="Times New Roman" w:eastAsiaTheme="minorHAnsi" w:hAnsi="Times New Roman"/>
          <w:color w:val="767171"/>
          <w:spacing w:val="20"/>
          <w:sz w:val="24"/>
          <w:szCs w:val="24"/>
          <w:u w:color="000000"/>
        </w:rPr>
        <w:lastRenderedPageBreak/>
        <w:t>“Instructivo sobre prevención del lavado de activos, financiamiento del terrorismo y de la proliferación de armas de destrucción masiva”. Con la emisión de este Instructivo se pretende ampliar los lineamientos establecidos en la Circular SIB: No. 003/18 sobre los requerimientos mínimos que deben cumplir las entidades para la implementación de un sistema de gestión de los riesgos de lavado de activos, financiamiento de terrorismo y la proliferación de armas de destrucción masiva “LAFTPADM”, acorde a la naturaleza, tamaño, organización, estructura, recursos, perfil de riesgo, importancia sistémica y complejidad de las operaciones</w:t>
      </w:r>
      <w:r w:rsidR="00317581">
        <w:rPr>
          <w:rFonts w:ascii="Times New Roman" w:eastAsiaTheme="minorHAnsi" w:hAnsi="Times New Roman"/>
          <w:color w:val="767171"/>
          <w:spacing w:val="20"/>
          <w:sz w:val="24"/>
          <w:szCs w:val="24"/>
          <w:u w:color="000000"/>
        </w:rPr>
        <w:t xml:space="preserve"> de la entidad</w:t>
      </w:r>
      <w:r w:rsidRPr="00E26490">
        <w:rPr>
          <w:rFonts w:ascii="Times New Roman" w:eastAsiaTheme="minorHAnsi" w:hAnsi="Times New Roman"/>
          <w:color w:val="767171"/>
          <w:spacing w:val="20"/>
          <w:sz w:val="24"/>
          <w:szCs w:val="24"/>
          <w:u w:color="000000"/>
        </w:rPr>
        <w:t xml:space="preserve">. </w:t>
      </w:r>
    </w:p>
    <w:p w14:paraId="08D430DA" w14:textId="72E7DBFA" w:rsidR="008F1ED6" w:rsidRPr="00E26490" w:rsidRDefault="008F1ED6" w:rsidP="00CB4994">
      <w:pPr>
        <w:pStyle w:val="Prrafodelista"/>
        <w:numPr>
          <w:ilvl w:val="0"/>
          <w:numId w:val="13"/>
        </w:numPr>
        <w:pBdr>
          <w:top w:val="nil"/>
          <w:left w:val="nil"/>
          <w:bottom w:val="nil"/>
          <w:right w:val="nil"/>
          <w:between w:val="nil"/>
          <w:bar w:val="nil"/>
        </w:pBdr>
        <w:suppressAutoHyphens/>
        <w:spacing w:line="360" w:lineRule="auto"/>
        <w:contextualSpacing w:val="0"/>
        <w:jc w:val="both"/>
        <w:rPr>
          <w:rFonts w:ascii="Times New Roman" w:eastAsiaTheme="minorHAnsi" w:hAnsi="Times New Roman"/>
          <w:color w:val="767171"/>
          <w:spacing w:val="20"/>
          <w:sz w:val="24"/>
          <w:szCs w:val="24"/>
          <w:u w:color="000000"/>
        </w:rPr>
      </w:pPr>
      <w:bookmarkStart w:id="56" w:name="_Hlk152339441"/>
      <w:r w:rsidRPr="00E26490">
        <w:rPr>
          <w:rFonts w:ascii="Times New Roman" w:eastAsiaTheme="minorHAnsi" w:hAnsi="Times New Roman"/>
          <w:color w:val="767171"/>
          <w:spacing w:val="20"/>
          <w:sz w:val="24"/>
          <w:szCs w:val="24"/>
          <w:u w:color="000000"/>
        </w:rPr>
        <w:t>Carta Circular SB: Núm. 017/23 del 23 de noviembre de 2023</w:t>
      </w:r>
      <w:bookmarkEnd w:id="56"/>
      <w:r w:rsidRPr="00E26490">
        <w:rPr>
          <w:rFonts w:ascii="Times New Roman" w:eastAsiaTheme="minorHAnsi" w:hAnsi="Times New Roman"/>
          <w:color w:val="767171"/>
          <w:spacing w:val="20"/>
          <w:sz w:val="24"/>
          <w:szCs w:val="24"/>
          <w:u w:color="000000"/>
        </w:rPr>
        <w:t xml:space="preserve"> “Informar sobre la disponibilidad de canales de denuncia de soborno, conflictos de interés e incumplimiento normativo de la Superintendencia de Bancos”. Esta Carta Circular notifica que la Superintendencia de Bancos aprobó en el mes de septiembre de 2023 una Política de Gestión Integrada</w:t>
      </w:r>
      <w:r w:rsidR="00773C2F">
        <w:rPr>
          <w:rFonts w:ascii="Times New Roman" w:eastAsiaTheme="minorHAnsi" w:hAnsi="Times New Roman"/>
          <w:color w:val="767171"/>
          <w:spacing w:val="20"/>
          <w:sz w:val="24"/>
          <w:szCs w:val="24"/>
          <w:u w:color="000000"/>
        </w:rPr>
        <w:t xml:space="preserve"> y pone a </w:t>
      </w:r>
      <w:r w:rsidR="00D824D2">
        <w:rPr>
          <w:rFonts w:ascii="Times New Roman" w:eastAsiaTheme="minorHAnsi" w:hAnsi="Times New Roman"/>
          <w:color w:val="767171"/>
          <w:spacing w:val="20"/>
          <w:sz w:val="24"/>
          <w:szCs w:val="24"/>
          <w:u w:color="000000"/>
        </w:rPr>
        <w:t xml:space="preserve">disposición del público canales para denunciar </w:t>
      </w:r>
      <w:r w:rsidR="00D93BE1">
        <w:rPr>
          <w:rFonts w:ascii="Times New Roman" w:eastAsiaTheme="minorHAnsi" w:hAnsi="Times New Roman"/>
          <w:color w:val="767171"/>
          <w:spacing w:val="20"/>
          <w:sz w:val="24"/>
          <w:szCs w:val="24"/>
          <w:u w:color="000000"/>
        </w:rPr>
        <w:t>sob</w:t>
      </w:r>
      <w:r w:rsidR="00C44CAD">
        <w:rPr>
          <w:rFonts w:ascii="Times New Roman" w:eastAsiaTheme="minorHAnsi" w:hAnsi="Times New Roman"/>
          <w:color w:val="767171"/>
          <w:spacing w:val="20"/>
          <w:sz w:val="24"/>
          <w:szCs w:val="24"/>
          <w:u w:color="000000"/>
        </w:rPr>
        <w:t xml:space="preserve">ornos, conflictos de interese e incumplimiento por parte </w:t>
      </w:r>
      <w:r w:rsidR="00C2485B">
        <w:rPr>
          <w:rFonts w:ascii="Times New Roman" w:eastAsiaTheme="minorHAnsi" w:hAnsi="Times New Roman"/>
          <w:color w:val="767171"/>
          <w:spacing w:val="20"/>
          <w:sz w:val="24"/>
          <w:szCs w:val="24"/>
          <w:u w:color="000000"/>
        </w:rPr>
        <w:t xml:space="preserve">del personal que </w:t>
      </w:r>
      <w:r w:rsidR="00AF0BD6">
        <w:rPr>
          <w:rFonts w:ascii="Times New Roman" w:eastAsiaTheme="minorHAnsi" w:hAnsi="Times New Roman"/>
          <w:color w:val="767171"/>
          <w:spacing w:val="20"/>
          <w:sz w:val="24"/>
          <w:szCs w:val="24"/>
          <w:u w:color="000000"/>
        </w:rPr>
        <w:t>actúa en su nombre</w:t>
      </w:r>
      <w:r w:rsidR="00C2485B">
        <w:rPr>
          <w:rFonts w:ascii="Times New Roman" w:eastAsiaTheme="minorHAnsi" w:hAnsi="Times New Roman"/>
          <w:color w:val="767171"/>
          <w:spacing w:val="20"/>
          <w:sz w:val="24"/>
          <w:szCs w:val="24"/>
          <w:u w:color="000000"/>
        </w:rPr>
        <w:t>.</w:t>
      </w:r>
      <w:r w:rsidRPr="00E26490">
        <w:rPr>
          <w:rFonts w:ascii="Times New Roman" w:eastAsiaTheme="minorHAnsi" w:hAnsi="Times New Roman"/>
          <w:color w:val="767171"/>
          <w:spacing w:val="20"/>
          <w:sz w:val="24"/>
          <w:szCs w:val="24"/>
          <w:u w:color="000000"/>
        </w:rPr>
        <w:t xml:space="preserve"> </w:t>
      </w:r>
      <w:r w:rsidR="00AF0BD6">
        <w:rPr>
          <w:rFonts w:ascii="Times New Roman" w:eastAsiaTheme="minorHAnsi" w:hAnsi="Times New Roman"/>
          <w:color w:val="767171"/>
          <w:spacing w:val="20"/>
          <w:sz w:val="24"/>
          <w:szCs w:val="24"/>
          <w:u w:color="000000"/>
        </w:rPr>
        <w:t xml:space="preserve">Esto </w:t>
      </w:r>
      <w:r w:rsidR="00EA68A4">
        <w:rPr>
          <w:rFonts w:ascii="Times New Roman" w:eastAsiaTheme="minorHAnsi" w:hAnsi="Times New Roman"/>
          <w:color w:val="767171"/>
          <w:spacing w:val="20"/>
          <w:sz w:val="24"/>
          <w:szCs w:val="24"/>
          <w:u w:color="000000"/>
        </w:rPr>
        <w:t>manifiesta</w:t>
      </w:r>
      <w:r w:rsidRPr="00E26490">
        <w:rPr>
          <w:rFonts w:ascii="Times New Roman" w:eastAsiaTheme="minorHAnsi" w:hAnsi="Times New Roman"/>
          <w:color w:val="767171"/>
          <w:spacing w:val="20"/>
          <w:sz w:val="24"/>
          <w:szCs w:val="24"/>
          <w:u w:color="000000"/>
        </w:rPr>
        <w:t xml:space="preserve"> el compromiso de la organización respecto a los estándares de las normas ISO 9001: 2015 / ISO 37001: 2016 sobre Sistemas de Gestión Antisoborno.</w:t>
      </w:r>
    </w:p>
    <w:p w14:paraId="4F62C262" w14:textId="2B862373" w:rsidR="008F1ED6" w:rsidRPr="00E26490" w:rsidRDefault="008F1ED6" w:rsidP="00CB4994">
      <w:pPr>
        <w:pStyle w:val="Prrafodelista"/>
        <w:numPr>
          <w:ilvl w:val="0"/>
          <w:numId w:val="13"/>
        </w:numPr>
        <w:pBdr>
          <w:top w:val="nil"/>
          <w:left w:val="nil"/>
          <w:bottom w:val="nil"/>
          <w:right w:val="nil"/>
          <w:between w:val="nil"/>
          <w:bar w:val="nil"/>
        </w:pBdr>
        <w:suppressAutoHyphens/>
        <w:spacing w:after="0" w:line="360" w:lineRule="auto"/>
        <w:contextualSpacing w:val="0"/>
        <w:jc w:val="both"/>
        <w:rPr>
          <w:rFonts w:ascii="Times New Roman" w:eastAsiaTheme="minorHAnsi" w:hAnsi="Times New Roman"/>
          <w:color w:val="767171"/>
          <w:spacing w:val="20"/>
          <w:sz w:val="24"/>
          <w:szCs w:val="24"/>
          <w:u w:color="000000"/>
        </w:rPr>
      </w:pPr>
      <w:r w:rsidRPr="00E26490">
        <w:rPr>
          <w:rFonts w:ascii="Times New Roman" w:eastAsiaTheme="minorHAnsi" w:hAnsi="Times New Roman"/>
          <w:color w:val="767171"/>
          <w:spacing w:val="20"/>
          <w:sz w:val="24"/>
          <w:szCs w:val="24"/>
          <w:u w:color="000000"/>
        </w:rPr>
        <w:t xml:space="preserve">Carta Circular SB: Núm. 018/23 del 29 de noviembre de 2023 “Puesta en vistas públicas de la propuesta de modificación del Instructivo sobre Cuentas Inactivas y/o Abandonadas en las Entidades de Intermediación Financiera”. La citada propuesta establece los criterios y procedimientos que rige el procedimiento establecido en el Reglamento sobre Cuentas Inactivas y/o Abandonadas en las Entidades de Intermediación Financiera, </w:t>
      </w:r>
      <w:r w:rsidRPr="00E26490">
        <w:rPr>
          <w:rFonts w:ascii="Times New Roman" w:eastAsiaTheme="minorHAnsi" w:hAnsi="Times New Roman"/>
          <w:color w:val="767171"/>
          <w:spacing w:val="20"/>
          <w:sz w:val="24"/>
          <w:szCs w:val="24"/>
          <w:u w:color="000000"/>
        </w:rPr>
        <w:lastRenderedPageBreak/>
        <w:t>aprobado mediante la Segunda Resolución de la Junta Monetaria del 12 de Julio del 2012.</w:t>
      </w:r>
    </w:p>
    <w:p w14:paraId="35E77281" w14:textId="7C0E28EC" w:rsidR="00E52ED4" w:rsidRPr="008B7DCC" w:rsidRDefault="00E52ED4" w:rsidP="006B204A">
      <w:pPr>
        <w:pStyle w:val="CuerpoSB"/>
        <w:spacing w:line="360" w:lineRule="auto"/>
        <w:ind w:left="0"/>
        <w:contextualSpacing w:val="0"/>
        <w:rPr>
          <w:rFonts w:ascii="Times New Roman" w:hAnsi="Times New Roman" w:cs="Times New Roman"/>
        </w:rPr>
      </w:pPr>
    </w:p>
    <w:p w14:paraId="78E8CD17" w14:textId="4D7E796E" w:rsidR="00E52ED4" w:rsidRPr="00C865B6" w:rsidRDefault="00C94DAB" w:rsidP="006B204A">
      <w:pPr>
        <w:pStyle w:val="Estilo3"/>
        <w:spacing w:before="0" w:after="160" w:line="360" w:lineRule="auto"/>
        <w:rPr>
          <w:b/>
          <w:szCs w:val="24"/>
        </w:rPr>
      </w:pPr>
      <w:bookmarkStart w:id="57" w:name="_Toc122435011"/>
      <w:bookmarkStart w:id="58" w:name="_Toc123046916"/>
      <w:bookmarkStart w:id="59" w:name="_Toc155354614"/>
      <w:r>
        <w:rPr>
          <w:b/>
          <w:szCs w:val="24"/>
        </w:rPr>
        <w:t>3</w:t>
      </w:r>
      <w:r w:rsidR="00E52ED4" w:rsidRPr="00C865B6">
        <w:rPr>
          <w:b/>
          <w:szCs w:val="24"/>
        </w:rPr>
        <w:t>.7 Promoción de la Innovación Financiera</w:t>
      </w:r>
      <w:bookmarkEnd w:id="57"/>
      <w:bookmarkEnd w:id="58"/>
      <w:bookmarkEnd w:id="59"/>
    </w:p>
    <w:p w14:paraId="65A45137" w14:textId="74788199" w:rsidR="00953E23" w:rsidRDefault="00E52ED4" w:rsidP="006B204A">
      <w:pPr>
        <w:pStyle w:val="CuerpoSB"/>
        <w:spacing w:line="360" w:lineRule="auto"/>
        <w:ind w:left="0"/>
        <w:contextualSpacing w:val="0"/>
        <w:rPr>
          <w:rFonts w:ascii="Times New Roman" w:hAnsi="Times New Roman" w:cs="Times New Roman"/>
          <w:color w:val="767171"/>
          <w:spacing w:val="20"/>
          <w:sz w:val="24"/>
          <w:szCs w:val="24"/>
        </w:rPr>
      </w:pPr>
      <w:r w:rsidRPr="00C865B6">
        <w:rPr>
          <w:rFonts w:ascii="Times New Roman" w:hAnsi="Times New Roman" w:cs="Times New Roman"/>
          <w:color w:val="767171"/>
          <w:spacing w:val="20"/>
          <w:sz w:val="24"/>
          <w:szCs w:val="24"/>
        </w:rPr>
        <w:t>Durante el año 202</w:t>
      </w:r>
      <w:r w:rsidR="00953E23">
        <w:rPr>
          <w:rFonts w:ascii="Times New Roman" w:hAnsi="Times New Roman" w:cs="Times New Roman"/>
          <w:color w:val="767171"/>
          <w:spacing w:val="20"/>
          <w:sz w:val="24"/>
          <w:szCs w:val="24"/>
        </w:rPr>
        <w:t>3</w:t>
      </w:r>
      <w:r w:rsidRPr="00C865B6">
        <w:rPr>
          <w:rFonts w:ascii="Times New Roman" w:hAnsi="Times New Roman" w:cs="Times New Roman"/>
          <w:color w:val="767171"/>
          <w:spacing w:val="20"/>
          <w:sz w:val="24"/>
          <w:szCs w:val="24"/>
        </w:rPr>
        <w:t>, la Superintendencia de Bancos realizó los siguientes proyectos con el objetivo de promover la innovación dentro del mercado bancario</w:t>
      </w:r>
      <w:r w:rsidR="00252453">
        <w:rPr>
          <w:rFonts w:ascii="Times New Roman" w:hAnsi="Times New Roman" w:cs="Times New Roman"/>
          <w:color w:val="767171"/>
          <w:spacing w:val="20"/>
          <w:sz w:val="24"/>
          <w:szCs w:val="24"/>
        </w:rPr>
        <w:t>.</w:t>
      </w:r>
    </w:p>
    <w:p w14:paraId="3CFB884C" w14:textId="75898511" w:rsidR="00B221FC" w:rsidRPr="00C772E3" w:rsidRDefault="001234E9" w:rsidP="006B204A">
      <w:pPr>
        <w:pStyle w:val="CuerpoSB"/>
        <w:spacing w:line="360" w:lineRule="auto"/>
        <w:ind w:left="0"/>
        <w:contextualSpacing w:val="0"/>
        <w:jc w:val="left"/>
        <w:rPr>
          <w:rFonts w:ascii="Times New Roman" w:hAnsi="Times New Roman" w:cs="Times New Roman"/>
          <w:b/>
          <w:bCs/>
          <w:color w:val="767171"/>
          <w:spacing w:val="20"/>
          <w:sz w:val="24"/>
          <w:szCs w:val="24"/>
        </w:rPr>
      </w:pPr>
      <w:r>
        <w:rPr>
          <w:rFonts w:ascii="Times New Roman" w:hAnsi="Times New Roman" w:cs="Times New Roman"/>
          <w:b/>
          <w:bCs/>
          <w:color w:val="767171"/>
          <w:spacing w:val="20"/>
          <w:sz w:val="24"/>
          <w:szCs w:val="24"/>
        </w:rPr>
        <w:t xml:space="preserve">Sobre la </w:t>
      </w:r>
      <w:r w:rsidR="00B221FC" w:rsidRPr="00B221FC">
        <w:rPr>
          <w:rFonts w:ascii="Times New Roman" w:hAnsi="Times New Roman" w:cs="Times New Roman"/>
          <w:b/>
          <w:bCs/>
          <w:color w:val="767171"/>
          <w:spacing w:val="20"/>
          <w:sz w:val="24"/>
          <w:szCs w:val="24"/>
        </w:rPr>
        <w:t>Alianza para la Inclusión Financiera (AFI)</w:t>
      </w:r>
    </w:p>
    <w:p w14:paraId="18A89D82" w14:textId="6152B2EE" w:rsidR="00B221FC" w:rsidRPr="00B221FC" w:rsidRDefault="00B221FC" w:rsidP="006B204A">
      <w:pPr>
        <w:pStyle w:val="CuerpoSB"/>
        <w:spacing w:line="360" w:lineRule="auto"/>
        <w:ind w:left="0"/>
        <w:contextualSpacing w:val="0"/>
        <w:rPr>
          <w:rFonts w:ascii="Times New Roman" w:hAnsi="Times New Roman" w:cs="Times New Roman"/>
          <w:color w:val="767171"/>
          <w:spacing w:val="20"/>
          <w:sz w:val="24"/>
          <w:szCs w:val="24"/>
        </w:rPr>
      </w:pPr>
      <w:r w:rsidRPr="00B221FC">
        <w:rPr>
          <w:rFonts w:ascii="Times New Roman" w:hAnsi="Times New Roman" w:cs="Times New Roman"/>
          <w:color w:val="767171"/>
          <w:spacing w:val="20"/>
          <w:sz w:val="24"/>
          <w:szCs w:val="24"/>
        </w:rPr>
        <w:t>Durante los meses de febrero, marzo y septiembre 2023, la Superintendencia de Bancos participó en 5 mesas de trabajo sobre: (1) Servicios Financieros Digitales, (2) Estándares Globales e Integridad. (3) Financiamiento para Pequeñas y Medianas Empresas, (4) Definición de Estrategias Nacionales de Inclusión Financiera y (5) Empoderamiento del Consumidor y Conducta del Mercado, en donde</w:t>
      </w:r>
      <w:r w:rsidR="001B1FF4">
        <w:rPr>
          <w:rFonts w:ascii="Times New Roman" w:hAnsi="Times New Roman" w:cs="Times New Roman"/>
          <w:color w:val="767171"/>
          <w:spacing w:val="20"/>
          <w:sz w:val="24"/>
          <w:szCs w:val="24"/>
        </w:rPr>
        <w:t xml:space="preserve"> se</w:t>
      </w:r>
      <w:r w:rsidRPr="00B221FC">
        <w:rPr>
          <w:rFonts w:ascii="Times New Roman" w:hAnsi="Times New Roman" w:cs="Times New Roman"/>
          <w:color w:val="767171"/>
          <w:spacing w:val="20"/>
          <w:sz w:val="24"/>
          <w:szCs w:val="24"/>
        </w:rPr>
        <w:t xml:space="preserve"> pudieron compartir buenas prácticas de políticas que apoyan el avance de la inclusión financiera en los países participantes. En el marco de estas mesas de trabajo, esta SB recibió varios reconocimientos:</w:t>
      </w:r>
    </w:p>
    <w:p w14:paraId="17AF4C29" w14:textId="77777777" w:rsidR="00B221FC" w:rsidRPr="00B221FC" w:rsidRDefault="00B221FC" w:rsidP="00CB4994">
      <w:pPr>
        <w:pStyle w:val="CuerpoSB"/>
        <w:numPr>
          <w:ilvl w:val="0"/>
          <w:numId w:val="9"/>
        </w:numPr>
        <w:spacing w:line="360" w:lineRule="auto"/>
        <w:contextualSpacing w:val="0"/>
        <w:rPr>
          <w:rFonts w:ascii="Times New Roman" w:hAnsi="Times New Roman" w:cs="Times New Roman"/>
          <w:color w:val="767171"/>
          <w:spacing w:val="20"/>
          <w:sz w:val="24"/>
          <w:szCs w:val="24"/>
        </w:rPr>
      </w:pPr>
      <w:r w:rsidRPr="00B221FC">
        <w:rPr>
          <w:rFonts w:ascii="Times New Roman" w:hAnsi="Times New Roman" w:cs="Times New Roman"/>
          <w:color w:val="767171"/>
          <w:spacing w:val="20"/>
          <w:sz w:val="24"/>
          <w:szCs w:val="24"/>
        </w:rPr>
        <w:t>Premio a nuevo miembro más activo en Grupo de Trabajo AFI, y reconocimiento por diseminación de actividades y productos AFI. </w:t>
      </w:r>
    </w:p>
    <w:p w14:paraId="3B0982C2" w14:textId="77777777" w:rsidR="00B221FC" w:rsidRPr="00B221FC" w:rsidRDefault="00B221FC" w:rsidP="00CB4994">
      <w:pPr>
        <w:pStyle w:val="CuerpoSB"/>
        <w:numPr>
          <w:ilvl w:val="0"/>
          <w:numId w:val="9"/>
        </w:numPr>
        <w:spacing w:line="360" w:lineRule="auto"/>
        <w:contextualSpacing w:val="0"/>
        <w:rPr>
          <w:rFonts w:ascii="Times New Roman" w:hAnsi="Times New Roman" w:cs="Times New Roman"/>
          <w:color w:val="767171"/>
          <w:spacing w:val="20"/>
          <w:sz w:val="24"/>
          <w:szCs w:val="24"/>
        </w:rPr>
      </w:pPr>
      <w:r w:rsidRPr="00B221FC">
        <w:rPr>
          <w:rFonts w:ascii="Times New Roman" w:hAnsi="Times New Roman" w:cs="Times New Roman"/>
          <w:color w:val="767171"/>
          <w:spacing w:val="20"/>
          <w:sz w:val="24"/>
          <w:szCs w:val="24"/>
        </w:rPr>
        <w:t xml:space="preserve">Reconocimiento como Peer </w:t>
      </w:r>
      <w:bookmarkStart w:id="60" w:name="_Int_n13DYW1r"/>
      <w:proofErr w:type="spellStart"/>
      <w:r w:rsidRPr="00B221FC">
        <w:rPr>
          <w:rFonts w:ascii="Times New Roman" w:hAnsi="Times New Roman" w:cs="Times New Roman"/>
          <w:color w:val="767171"/>
          <w:spacing w:val="20"/>
          <w:sz w:val="24"/>
          <w:szCs w:val="24"/>
        </w:rPr>
        <w:t>Reviewer</w:t>
      </w:r>
      <w:bookmarkEnd w:id="60"/>
      <w:proofErr w:type="spellEnd"/>
      <w:r w:rsidRPr="00B221FC">
        <w:rPr>
          <w:rFonts w:ascii="Times New Roman" w:hAnsi="Times New Roman" w:cs="Times New Roman"/>
          <w:color w:val="767171"/>
          <w:spacing w:val="20"/>
          <w:sz w:val="24"/>
          <w:szCs w:val="24"/>
        </w:rPr>
        <w:t xml:space="preserve"> o miembro revisor entre pares. </w:t>
      </w:r>
    </w:p>
    <w:p w14:paraId="76EA195A" w14:textId="77777777" w:rsidR="00B221FC" w:rsidRPr="00B221FC" w:rsidRDefault="00B221FC" w:rsidP="00CB4994">
      <w:pPr>
        <w:pStyle w:val="CuerpoSB"/>
        <w:numPr>
          <w:ilvl w:val="0"/>
          <w:numId w:val="9"/>
        </w:numPr>
        <w:spacing w:line="360" w:lineRule="auto"/>
        <w:contextualSpacing w:val="0"/>
        <w:rPr>
          <w:rFonts w:ascii="Times New Roman" w:hAnsi="Times New Roman" w:cs="Times New Roman"/>
          <w:color w:val="767171"/>
          <w:spacing w:val="20"/>
          <w:sz w:val="24"/>
          <w:szCs w:val="24"/>
        </w:rPr>
      </w:pPr>
      <w:r w:rsidRPr="00B221FC">
        <w:rPr>
          <w:rFonts w:ascii="Times New Roman" w:hAnsi="Times New Roman" w:cs="Times New Roman"/>
          <w:color w:val="767171"/>
          <w:spacing w:val="20"/>
          <w:sz w:val="24"/>
          <w:szCs w:val="24"/>
        </w:rPr>
        <w:t>Por primera vez, se incorporan casos de la Superintendencia de Bancos de la República Dominicana entre los Casos de Estudio publicados por la AFI. </w:t>
      </w:r>
    </w:p>
    <w:p w14:paraId="0DDB7979" w14:textId="77777777" w:rsidR="00B221FC" w:rsidRPr="00B221FC" w:rsidRDefault="00B221FC" w:rsidP="00CB4994">
      <w:pPr>
        <w:pStyle w:val="CuerpoSB"/>
        <w:numPr>
          <w:ilvl w:val="0"/>
          <w:numId w:val="9"/>
        </w:numPr>
        <w:spacing w:line="360" w:lineRule="auto"/>
        <w:contextualSpacing w:val="0"/>
        <w:rPr>
          <w:rFonts w:ascii="Times New Roman" w:hAnsi="Times New Roman" w:cs="Times New Roman"/>
          <w:color w:val="767171"/>
          <w:spacing w:val="20"/>
          <w:sz w:val="24"/>
          <w:szCs w:val="24"/>
        </w:rPr>
      </w:pPr>
      <w:r w:rsidRPr="00B221FC">
        <w:rPr>
          <w:rFonts w:ascii="Times New Roman" w:hAnsi="Times New Roman" w:cs="Times New Roman"/>
          <w:color w:val="767171"/>
          <w:spacing w:val="20"/>
          <w:sz w:val="24"/>
          <w:szCs w:val="24"/>
        </w:rPr>
        <w:t>Colaboración con el producto de conocimiento de AFI más consultado durante el año 2022. </w:t>
      </w:r>
    </w:p>
    <w:p w14:paraId="558292CD" w14:textId="4359F7CB" w:rsidR="00B221FC" w:rsidRPr="00B221FC" w:rsidRDefault="003C7A9C" w:rsidP="006B204A">
      <w:pPr>
        <w:pStyle w:val="CuerpoSB"/>
        <w:spacing w:line="360" w:lineRule="auto"/>
        <w:ind w:left="0"/>
        <w:contextualSpacing w:val="0"/>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lastRenderedPageBreak/>
        <w:t>Asimismo, fueron recibidos</w:t>
      </w:r>
      <w:r w:rsidR="00B221FC" w:rsidRPr="00B221FC">
        <w:rPr>
          <w:rFonts w:ascii="Times New Roman" w:hAnsi="Times New Roman" w:cs="Times New Roman"/>
          <w:color w:val="767171"/>
          <w:spacing w:val="20"/>
          <w:sz w:val="24"/>
          <w:szCs w:val="24"/>
        </w:rPr>
        <w:t xml:space="preserve"> en el país </w:t>
      </w:r>
      <w:r w:rsidR="00A20C44">
        <w:rPr>
          <w:rFonts w:ascii="Times New Roman" w:hAnsi="Times New Roman" w:cs="Times New Roman"/>
          <w:color w:val="767171"/>
          <w:spacing w:val="20"/>
          <w:sz w:val="24"/>
          <w:szCs w:val="24"/>
        </w:rPr>
        <w:t>18</w:t>
      </w:r>
      <w:r w:rsidR="00A20C44" w:rsidRPr="00B221FC">
        <w:rPr>
          <w:rFonts w:ascii="Times New Roman" w:hAnsi="Times New Roman" w:cs="Times New Roman"/>
          <w:color w:val="767171"/>
          <w:spacing w:val="20"/>
          <w:sz w:val="24"/>
          <w:szCs w:val="24"/>
        </w:rPr>
        <w:t xml:space="preserve"> expertos en Inclusión Financiera para Latinoamérica y el Caribe (FILAC), de la Alianza para la Inclusión Financiera (AFI)</w:t>
      </w:r>
      <w:r w:rsidR="00B221FC" w:rsidRPr="00B221FC">
        <w:rPr>
          <w:rFonts w:ascii="Times New Roman" w:hAnsi="Times New Roman" w:cs="Times New Roman"/>
          <w:color w:val="767171"/>
          <w:spacing w:val="20"/>
          <w:sz w:val="24"/>
          <w:szCs w:val="24"/>
        </w:rPr>
        <w:t xml:space="preserve">, quienes participaron en </w:t>
      </w:r>
      <w:r w:rsidR="00A20C44">
        <w:rPr>
          <w:rFonts w:ascii="Times New Roman" w:hAnsi="Times New Roman" w:cs="Times New Roman"/>
          <w:color w:val="767171"/>
          <w:spacing w:val="20"/>
          <w:sz w:val="24"/>
          <w:szCs w:val="24"/>
        </w:rPr>
        <w:t>una</w:t>
      </w:r>
      <w:r w:rsidR="00B221FC" w:rsidRPr="00B221FC">
        <w:rPr>
          <w:rFonts w:ascii="Times New Roman" w:hAnsi="Times New Roman" w:cs="Times New Roman"/>
          <w:color w:val="767171"/>
          <w:spacing w:val="20"/>
          <w:sz w:val="24"/>
          <w:szCs w:val="24"/>
        </w:rPr>
        <w:t xml:space="preserve"> mesa regional </w:t>
      </w:r>
      <w:r w:rsidR="00E15DD9">
        <w:rPr>
          <w:rFonts w:ascii="Times New Roman" w:hAnsi="Times New Roman" w:cs="Times New Roman"/>
          <w:color w:val="767171"/>
          <w:spacing w:val="20"/>
          <w:sz w:val="24"/>
          <w:szCs w:val="24"/>
        </w:rPr>
        <w:t>con el objet</w:t>
      </w:r>
      <w:r w:rsidR="00FE503E">
        <w:rPr>
          <w:rFonts w:ascii="Times New Roman" w:hAnsi="Times New Roman" w:cs="Times New Roman"/>
          <w:color w:val="767171"/>
          <w:spacing w:val="20"/>
          <w:sz w:val="24"/>
          <w:szCs w:val="24"/>
        </w:rPr>
        <w:t>ivo de</w:t>
      </w:r>
      <w:r w:rsidR="00B221FC" w:rsidRPr="00B221FC">
        <w:rPr>
          <w:rFonts w:ascii="Times New Roman" w:hAnsi="Times New Roman" w:cs="Times New Roman"/>
          <w:color w:val="767171"/>
          <w:spacing w:val="20"/>
          <w:sz w:val="24"/>
          <w:szCs w:val="24"/>
        </w:rPr>
        <w:t xml:space="preserve"> promover el crecimiento inclusivo y la reducción de la pobreza a través de políticas sostenibles de inclusión financiera. Esta plataforma </w:t>
      </w:r>
      <w:r w:rsidR="00D02CD1">
        <w:rPr>
          <w:rFonts w:ascii="Times New Roman" w:hAnsi="Times New Roman" w:cs="Times New Roman"/>
          <w:color w:val="767171"/>
          <w:spacing w:val="20"/>
          <w:sz w:val="24"/>
          <w:szCs w:val="24"/>
        </w:rPr>
        <w:t xml:space="preserve">es la </w:t>
      </w:r>
      <w:r w:rsidR="00B221FC" w:rsidRPr="00B221FC">
        <w:rPr>
          <w:rFonts w:ascii="Times New Roman" w:hAnsi="Times New Roman" w:cs="Times New Roman"/>
          <w:color w:val="767171"/>
          <w:spacing w:val="20"/>
          <w:sz w:val="24"/>
          <w:szCs w:val="24"/>
        </w:rPr>
        <w:t>primera en su tipo en América Latina y el Caribe (LAC)</w:t>
      </w:r>
      <w:r w:rsidR="00B162F6">
        <w:rPr>
          <w:rFonts w:ascii="Times New Roman" w:hAnsi="Times New Roman" w:cs="Times New Roman"/>
          <w:color w:val="767171"/>
          <w:spacing w:val="20"/>
          <w:sz w:val="24"/>
          <w:szCs w:val="24"/>
        </w:rPr>
        <w:t>,</w:t>
      </w:r>
    </w:p>
    <w:p w14:paraId="6D17AA7E" w14:textId="49B86DD2" w:rsidR="00B221FC" w:rsidRPr="00B221FC" w:rsidRDefault="00B221FC" w:rsidP="006B204A">
      <w:pPr>
        <w:pStyle w:val="CuerpoSB"/>
        <w:spacing w:line="360" w:lineRule="auto"/>
        <w:ind w:left="0"/>
        <w:contextualSpacing w:val="0"/>
        <w:rPr>
          <w:rFonts w:ascii="Times New Roman" w:hAnsi="Times New Roman" w:cs="Times New Roman"/>
          <w:color w:val="767171"/>
          <w:spacing w:val="20"/>
          <w:sz w:val="24"/>
          <w:szCs w:val="24"/>
        </w:rPr>
      </w:pPr>
      <w:r w:rsidRPr="00B221FC">
        <w:rPr>
          <w:rFonts w:ascii="Times New Roman" w:hAnsi="Times New Roman" w:cs="Times New Roman"/>
          <w:color w:val="767171"/>
          <w:spacing w:val="20"/>
          <w:sz w:val="24"/>
          <w:szCs w:val="24"/>
        </w:rPr>
        <w:t>Además, durante este encuentro, se realizó también, la Capacitación Regional sobre Política de Acceso a Financiamiento para Mujeres propietarias de MiPymes a través de Servicios Financieros Digitales en la región LAC. El objetivo de esta capacitación fue permitir que los participantes identifiquen políticas apropiadas para que las MiPymes dirigidas por mujeres o que sean propiedad de mujeres puedan aprovechar las innovaciones de los servicios financieros digitales para acceder con mayor facilidad a los productos y servicio de financiamiento. </w:t>
      </w:r>
    </w:p>
    <w:p w14:paraId="6A71BAF3" w14:textId="19D996A7" w:rsidR="00B221FC" w:rsidRPr="00B221FC" w:rsidRDefault="00B221FC" w:rsidP="006B204A">
      <w:pPr>
        <w:pStyle w:val="CuerpoSB"/>
        <w:spacing w:line="360" w:lineRule="auto"/>
        <w:ind w:left="0"/>
        <w:contextualSpacing w:val="0"/>
        <w:rPr>
          <w:rFonts w:ascii="Times New Roman" w:hAnsi="Times New Roman" w:cs="Times New Roman"/>
          <w:b/>
          <w:bCs/>
          <w:color w:val="767171"/>
          <w:spacing w:val="20"/>
          <w:sz w:val="24"/>
          <w:szCs w:val="24"/>
        </w:rPr>
      </w:pPr>
      <w:r w:rsidRPr="00B221FC">
        <w:rPr>
          <w:rFonts w:ascii="Times New Roman" w:hAnsi="Times New Roman" w:cs="Times New Roman"/>
          <w:b/>
          <w:bCs/>
          <w:color w:val="767171"/>
          <w:spacing w:val="20"/>
          <w:sz w:val="24"/>
          <w:szCs w:val="24"/>
        </w:rPr>
        <w:t>Laboratorio de Economía Conductual (SB-LAB)</w:t>
      </w:r>
    </w:p>
    <w:p w14:paraId="1E105307" w14:textId="691AF1BA" w:rsidR="00B221FC" w:rsidRPr="00B221FC" w:rsidRDefault="005E2052" w:rsidP="006B204A">
      <w:pPr>
        <w:pStyle w:val="CuerpoSB"/>
        <w:spacing w:line="360" w:lineRule="auto"/>
        <w:ind w:left="0"/>
        <w:contextualSpacing w:val="0"/>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En el</w:t>
      </w:r>
      <w:r w:rsidR="00B221FC" w:rsidRPr="00B221FC">
        <w:rPr>
          <w:rFonts w:ascii="Times New Roman" w:hAnsi="Times New Roman" w:cs="Times New Roman"/>
          <w:color w:val="767171"/>
          <w:spacing w:val="20"/>
          <w:sz w:val="24"/>
          <w:szCs w:val="24"/>
        </w:rPr>
        <w:t xml:space="preserve"> </w:t>
      </w:r>
      <w:r w:rsidR="002A61E2">
        <w:rPr>
          <w:rFonts w:ascii="Times New Roman" w:hAnsi="Times New Roman" w:cs="Times New Roman"/>
          <w:color w:val="767171"/>
          <w:spacing w:val="20"/>
          <w:sz w:val="24"/>
          <w:szCs w:val="24"/>
        </w:rPr>
        <w:t xml:space="preserve">año </w:t>
      </w:r>
      <w:r w:rsidR="00B221FC" w:rsidRPr="00B221FC">
        <w:rPr>
          <w:rFonts w:ascii="Times New Roman" w:hAnsi="Times New Roman" w:cs="Times New Roman"/>
          <w:color w:val="767171"/>
          <w:spacing w:val="20"/>
          <w:sz w:val="24"/>
          <w:szCs w:val="24"/>
        </w:rPr>
        <w:t xml:space="preserve">2023, el Laboratorio de Economía Conductual </w:t>
      </w:r>
      <w:r w:rsidR="002A61E2">
        <w:rPr>
          <w:rFonts w:ascii="Times New Roman" w:hAnsi="Times New Roman" w:cs="Times New Roman"/>
          <w:color w:val="767171"/>
          <w:spacing w:val="20"/>
          <w:sz w:val="24"/>
          <w:szCs w:val="24"/>
        </w:rPr>
        <w:t>fue</w:t>
      </w:r>
      <w:r w:rsidR="00B221FC" w:rsidRPr="00B221FC">
        <w:rPr>
          <w:rFonts w:ascii="Times New Roman" w:hAnsi="Times New Roman" w:cs="Times New Roman"/>
          <w:color w:val="767171"/>
          <w:spacing w:val="20"/>
          <w:sz w:val="24"/>
          <w:szCs w:val="24"/>
        </w:rPr>
        <w:t xml:space="preserve"> reconocido con una mención de honor en la tercera edición del Premio Nacional a la Innovación Pública, organizado por el Viceministerio de Innovación de la Presidencia. Este reconocimiento subraya la contribución significativa del SB</w:t>
      </w:r>
      <w:r w:rsidR="00380F18">
        <w:rPr>
          <w:rFonts w:ascii="Times New Roman" w:hAnsi="Times New Roman" w:cs="Times New Roman"/>
          <w:color w:val="767171"/>
          <w:spacing w:val="20"/>
          <w:sz w:val="24"/>
          <w:szCs w:val="24"/>
        </w:rPr>
        <w:t>-</w:t>
      </w:r>
      <w:r w:rsidR="00B221FC" w:rsidRPr="00B221FC">
        <w:rPr>
          <w:rFonts w:ascii="Times New Roman" w:hAnsi="Times New Roman" w:cs="Times New Roman"/>
          <w:color w:val="767171"/>
          <w:spacing w:val="20"/>
          <w:sz w:val="24"/>
          <w:szCs w:val="24"/>
        </w:rPr>
        <w:t>LAB y consolida su posición como referente consultado tanto a nivel nacional como internacional para la implementación de unidades de economía conductual. </w:t>
      </w:r>
    </w:p>
    <w:p w14:paraId="0F429561" w14:textId="70FC5E60" w:rsidR="00B221FC" w:rsidRPr="00C772E3" w:rsidRDefault="00B221FC" w:rsidP="006B204A">
      <w:pPr>
        <w:pStyle w:val="CuerpoSB"/>
        <w:spacing w:line="360" w:lineRule="auto"/>
        <w:ind w:left="0"/>
        <w:contextualSpacing w:val="0"/>
        <w:rPr>
          <w:rFonts w:ascii="Times New Roman" w:hAnsi="Times New Roman" w:cs="Times New Roman"/>
          <w:color w:val="767171"/>
          <w:spacing w:val="20"/>
          <w:sz w:val="24"/>
          <w:szCs w:val="24"/>
        </w:rPr>
      </w:pPr>
      <w:r w:rsidRPr="00B221FC">
        <w:rPr>
          <w:rFonts w:ascii="Times New Roman" w:hAnsi="Times New Roman" w:cs="Times New Roman"/>
          <w:color w:val="767171"/>
          <w:spacing w:val="20"/>
          <w:sz w:val="24"/>
          <w:szCs w:val="24"/>
        </w:rPr>
        <w:t xml:space="preserve"> Desde </w:t>
      </w:r>
      <w:r w:rsidR="00D73FF7">
        <w:rPr>
          <w:rFonts w:ascii="Times New Roman" w:hAnsi="Times New Roman" w:cs="Times New Roman"/>
          <w:color w:val="767171"/>
          <w:spacing w:val="20"/>
          <w:sz w:val="24"/>
          <w:szCs w:val="24"/>
        </w:rPr>
        <w:t>la Superintendencia</w:t>
      </w:r>
      <w:r w:rsidRPr="00B221FC">
        <w:rPr>
          <w:rFonts w:ascii="Times New Roman" w:hAnsi="Times New Roman" w:cs="Times New Roman"/>
          <w:color w:val="767171"/>
          <w:spacing w:val="20"/>
          <w:sz w:val="24"/>
          <w:szCs w:val="24"/>
        </w:rPr>
        <w:t xml:space="preserve"> de </w:t>
      </w:r>
      <w:r w:rsidR="00D73FF7">
        <w:rPr>
          <w:rFonts w:ascii="Times New Roman" w:hAnsi="Times New Roman" w:cs="Times New Roman"/>
          <w:color w:val="767171"/>
          <w:spacing w:val="20"/>
          <w:sz w:val="24"/>
          <w:szCs w:val="24"/>
        </w:rPr>
        <w:t>Bancos</w:t>
      </w:r>
      <w:r w:rsidRPr="00B221FC">
        <w:rPr>
          <w:rFonts w:ascii="Times New Roman" w:hAnsi="Times New Roman" w:cs="Times New Roman"/>
          <w:color w:val="767171"/>
          <w:spacing w:val="20"/>
          <w:sz w:val="24"/>
          <w:szCs w:val="24"/>
        </w:rPr>
        <w:t xml:space="preserve">, </w:t>
      </w:r>
      <w:r w:rsidR="00B94EE7">
        <w:rPr>
          <w:rFonts w:ascii="Times New Roman" w:hAnsi="Times New Roman" w:cs="Times New Roman"/>
          <w:color w:val="767171"/>
          <w:spacing w:val="20"/>
          <w:sz w:val="24"/>
          <w:szCs w:val="24"/>
        </w:rPr>
        <w:t>se han</w:t>
      </w:r>
      <w:r w:rsidRPr="00B221FC">
        <w:rPr>
          <w:rFonts w:ascii="Times New Roman" w:hAnsi="Times New Roman" w:cs="Times New Roman"/>
          <w:color w:val="767171"/>
          <w:spacing w:val="20"/>
          <w:sz w:val="24"/>
          <w:szCs w:val="24"/>
        </w:rPr>
        <w:t xml:space="preserve"> establecido acuerdos de cooperación con </w:t>
      </w:r>
      <w:r w:rsidR="002031C0">
        <w:rPr>
          <w:rFonts w:ascii="Times New Roman" w:hAnsi="Times New Roman" w:cs="Times New Roman"/>
          <w:color w:val="767171"/>
          <w:spacing w:val="20"/>
          <w:sz w:val="24"/>
          <w:szCs w:val="24"/>
        </w:rPr>
        <w:t>el instituto</w:t>
      </w:r>
      <w:r w:rsidRPr="00B221FC">
        <w:rPr>
          <w:rFonts w:ascii="Times New Roman" w:hAnsi="Times New Roman" w:cs="Times New Roman"/>
          <w:color w:val="767171"/>
          <w:spacing w:val="20"/>
          <w:sz w:val="24"/>
          <w:szCs w:val="24"/>
        </w:rPr>
        <w:t xml:space="preserve"> “Innovación en Acción contra la Pobreza” (</w:t>
      </w:r>
      <w:proofErr w:type="spellStart"/>
      <w:r w:rsidRPr="00B221FC">
        <w:rPr>
          <w:rFonts w:ascii="Times New Roman" w:hAnsi="Times New Roman" w:cs="Times New Roman"/>
          <w:color w:val="767171"/>
          <w:spacing w:val="20"/>
          <w:sz w:val="24"/>
          <w:szCs w:val="24"/>
        </w:rPr>
        <w:t>Innovation</w:t>
      </w:r>
      <w:proofErr w:type="spellEnd"/>
      <w:r w:rsidRPr="00B221FC">
        <w:rPr>
          <w:rFonts w:ascii="Times New Roman" w:hAnsi="Times New Roman" w:cs="Times New Roman"/>
          <w:color w:val="767171"/>
          <w:spacing w:val="20"/>
          <w:sz w:val="24"/>
          <w:szCs w:val="24"/>
        </w:rPr>
        <w:t xml:space="preserve"> </w:t>
      </w:r>
      <w:proofErr w:type="spellStart"/>
      <w:r w:rsidRPr="00B221FC">
        <w:rPr>
          <w:rFonts w:ascii="Times New Roman" w:hAnsi="Times New Roman" w:cs="Times New Roman"/>
          <w:color w:val="767171"/>
          <w:spacing w:val="20"/>
          <w:sz w:val="24"/>
          <w:szCs w:val="24"/>
        </w:rPr>
        <w:t>on</w:t>
      </w:r>
      <w:proofErr w:type="spellEnd"/>
      <w:r w:rsidRPr="00B221FC">
        <w:rPr>
          <w:rFonts w:ascii="Times New Roman" w:hAnsi="Times New Roman" w:cs="Times New Roman"/>
          <w:color w:val="767171"/>
          <w:spacing w:val="20"/>
          <w:sz w:val="24"/>
          <w:szCs w:val="24"/>
        </w:rPr>
        <w:t xml:space="preserve"> </w:t>
      </w:r>
      <w:proofErr w:type="spellStart"/>
      <w:r w:rsidRPr="00B221FC">
        <w:rPr>
          <w:rFonts w:ascii="Times New Roman" w:hAnsi="Times New Roman" w:cs="Times New Roman"/>
          <w:color w:val="767171"/>
          <w:spacing w:val="20"/>
          <w:sz w:val="24"/>
          <w:szCs w:val="24"/>
        </w:rPr>
        <w:t>Poverty</w:t>
      </w:r>
      <w:proofErr w:type="spellEnd"/>
      <w:r w:rsidRPr="00B221FC">
        <w:rPr>
          <w:rFonts w:ascii="Times New Roman" w:hAnsi="Times New Roman" w:cs="Times New Roman"/>
          <w:color w:val="767171"/>
          <w:spacing w:val="20"/>
          <w:sz w:val="24"/>
          <w:szCs w:val="24"/>
        </w:rPr>
        <w:t xml:space="preserve"> </w:t>
      </w:r>
      <w:proofErr w:type="spellStart"/>
      <w:r w:rsidRPr="00B221FC">
        <w:rPr>
          <w:rFonts w:ascii="Times New Roman" w:hAnsi="Times New Roman" w:cs="Times New Roman"/>
          <w:color w:val="767171"/>
          <w:spacing w:val="20"/>
          <w:sz w:val="24"/>
          <w:szCs w:val="24"/>
        </w:rPr>
        <w:t>Action</w:t>
      </w:r>
      <w:proofErr w:type="spellEnd"/>
      <w:r w:rsidRPr="00B221FC">
        <w:rPr>
          <w:rFonts w:ascii="Times New Roman" w:hAnsi="Times New Roman" w:cs="Times New Roman"/>
          <w:color w:val="767171"/>
          <w:spacing w:val="20"/>
          <w:sz w:val="24"/>
          <w:szCs w:val="24"/>
        </w:rPr>
        <w:t xml:space="preserve">) con el fin de impulsar iniciativas del SB-LAB, iniciando con la intervención “Dile No al </w:t>
      </w:r>
      <w:r w:rsidRPr="00B221FC">
        <w:rPr>
          <w:rFonts w:ascii="Times New Roman" w:hAnsi="Times New Roman" w:cs="Times New Roman"/>
          <w:color w:val="767171"/>
          <w:spacing w:val="20"/>
          <w:sz w:val="24"/>
          <w:szCs w:val="24"/>
        </w:rPr>
        <w:lastRenderedPageBreak/>
        <w:t>Mínimo”. Esta busca, a través de la aplicación de remedios conductuales, que los usuarios cumplan con la totalidad de sus compromisos en sus tarjetas de crédito al corte de cada mes, evitando la generación de cargos por interés y las comisiones que apliquen en caso de optar por financiamiento. La iniciativa está concebida para ser trabajada dentro de un piloto controlado con el apoyo de entidades de intermediación financiera para validar la eficacia de los mensajes y determinar si las medidas producen los cambios esperados en el comportamiento de los usuarios.  </w:t>
      </w:r>
    </w:p>
    <w:p w14:paraId="5C3DD006" w14:textId="274777D4" w:rsidR="00B221FC" w:rsidRPr="00B221FC" w:rsidRDefault="00BF31E1" w:rsidP="00A45484">
      <w:pPr>
        <w:pStyle w:val="CuerpoSB"/>
        <w:spacing w:line="360" w:lineRule="auto"/>
        <w:ind w:left="0"/>
        <w:contextualSpacing w:val="0"/>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Así mismo, e</w:t>
      </w:r>
      <w:r w:rsidR="00B221FC" w:rsidRPr="00B221FC">
        <w:rPr>
          <w:rFonts w:ascii="Times New Roman" w:hAnsi="Times New Roman" w:cs="Times New Roman"/>
          <w:color w:val="767171"/>
          <w:spacing w:val="20"/>
          <w:sz w:val="24"/>
          <w:szCs w:val="24"/>
        </w:rPr>
        <w:t>n el período enero – diciembre 2024 la Superintendencia de Bancos h</w:t>
      </w:r>
      <w:r w:rsidR="004C127A" w:rsidRPr="00C772E3">
        <w:rPr>
          <w:rFonts w:ascii="Times New Roman" w:hAnsi="Times New Roman" w:cs="Times New Roman"/>
          <w:color w:val="767171"/>
          <w:spacing w:val="20"/>
          <w:sz w:val="24"/>
          <w:szCs w:val="24"/>
        </w:rPr>
        <w:t>a</w:t>
      </w:r>
      <w:r w:rsidR="00B221FC" w:rsidRPr="00B221FC">
        <w:rPr>
          <w:rFonts w:ascii="Times New Roman" w:hAnsi="Times New Roman" w:cs="Times New Roman"/>
          <w:color w:val="767171"/>
          <w:spacing w:val="20"/>
          <w:sz w:val="24"/>
          <w:szCs w:val="24"/>
        </w:rPr>
        <w:t xml:space="preserve"> elaborado y presentado los siguientes informes: </w:t>
      </w:r>
    </w:p>
    <w:p w14:paraId="4A624B00" w14:textId="77777777" w:rsidR="00B221FC" w:rsidRPr="00B221FC" w:rsidRDefault="00B221FC" w:rsidP="00CB4994">
      <w:pPr>
        <w:pStyle w:val="CuerpoSB"/>
        <w:numPr>
          <w:ilvl w:val="0"/>
          <w:numId w:val="10"/>
        </w:numPr>
        <w:spacing w:line="360" w:lineRule="auto"/>
        <w:contextualSpacing w:val="0"/>
        <w:rPr>
          <w:rFonts w:ascii="Times New Roman" w:hAnsi="Times New Roman" w:cs="Times New Roman"/>
          <w:color w:val="767171"/>
          <w:spacing w:val="20"/>
          <w:sz w:val="24"/>
          <w:szCs w:val="24"/>
        </w:rPr>
      </w:pPr>
      <w:r w:rsidRPr="00B221FC">
        <w:rPr>
          <w:rFonts w:ascii="Times New Roman" w:hAnsi="Times New Roman" w:cs="Times New Roman"/>
          <w:color w:val="767171"/>
          <w:spacing w:val="20"/>
          <w:sz w:val="24"/>
          <w:szCs w:val="24"/>
        </w:rPr>
        <w:t>Informe sobre portabilidad financiera que presenta los resultados de una encuesta realizada por la Superintendencia de Bancos (SB), con el propósito de conocer y comunicar la situación actual del sector financiero dominicano en relación con la portabilidad financiera y explorar la posibilidad de su habilitación en el país como un caso práctico de banca abierta. Dicho informe fue presentado a los gremios bancarios. a mediados de octubre. La iniciativa contempla la implementación de una normativa de portabilidad financiera que permita a los usuarios transferir productos y servicios entre entidades, definiendo también el periodo de implementación y adaptación que conllevaría para las entidades reguladas. Un borrador de esta normativa ha sido creado por el equipo de Innovación Financiera, ofreciendo una base valiosa para la elaboración de futuras regulaciones en este ámbito. </w:t>
      </w:r>
    </w:p>
    <w:p w14:paraId="42665B20" w14:textId="32F35A6D" w:rsidR="00B221FC" w:rsidRPr="00B221FC" w:rsidRDefault="00B221FC" w:rsidP="00CB4994">
      <w:pPr>
        <w:pStyle w:val="CuerpoSB"/>
        <w:numPr>
          <w:ilvl w:val="0"/>
          <w:numId w:val="10"/>
        </w:numPr>
        <w:spacing w:line="360" w:lineRule="auto"/>
        <w:contextualSpacing w:val="0"/>
        <w:rPr>
          <w:rFonts w:ascii="Times New Roman" w:hAnsi="Times New Roman" w:cs="Times New Roman"/>
          <w:color w:val="767171"/>
          <w:spacing w:val="20"/>
          <w:sz w:val="24"/>
          <w:szCs w:val="24"/>
        </w:rPr>
      </w:pPr>
      <w:r w:rsidRPr="00B221FC">
        <w:rPr>
          <w:rFonts w:ascii="Times New Roman" w:hAnsi="Times New Roman" w:cs="Times New Roman"/>
          <w:color w:val="767171"/>
          <w:spacing w:val="20"/>
          <w:sz w:val="24"/>
          <w:szCs w:val="24"/>
        </w:rPr>
        <w:t xml:space="preserve">Ranking de Digitalización: se publicó la tercera edición del Ranking de Digitalización del sector dominicano, correspondiente al año 2023. Este informe está enfocado en evaluar todos los </w:t>
      </w:r>
      <w:r w:rsidRPr="00B221FC">
        <w:rPr>
          <w:rFonts w:ascii="Times New Roman" w:hAnsi="Times New Roman" w:cs="Times New Roman"/>
          <w:color w:val="767171"/>
          <w:spacing w:val="20"/>
          <w:sz w:val="24"/>
          <w:szCs w:val="24"/>
        </w:rPr>
        <w:lastRenderedPageBreak/>
        <w:t xml:space="preserve">canales alternos ofrecidos por las </w:t>
      </w:r>
      <w:bookmarkStart w:id="61" w:name="_Int_RDEaCvGK"/>
      <w:proofErr w:type="spellStart"/>
      <w:r w:rsidRPr="00B221FC">
        <w:rPr>
          <w:rFonts w:ascii="Times New Roman" w:hAnsi="Times New Roman" w:cs="Times New Roman"/>
          <w:color w:val="767171"/>
          <w:spacing w:val="20"/>
          <w:sz w:val="24"/>
          <w:szCs w:val="24"/>
        </w:rPr>
        <w:t>EIFs</w:t>
      </w:r>
      <w:bookmarkEnd w:id="61"/>
      <w:proofErr w:type="spellEnd"/>
      <w:r w:rsidRPr="00B221FC">
        <w:rPr>
          <w:rFonts w:ascii="Times New Roman" w:hAnsi="Times New Roman" w:cs="Times New Roman"/>
          <w:color w:val="767171"/>
          <w:spacing w:val="20"/>
          <w:sz w:val="24"/>
          <w:szCs w:val="24"/>
        </w:rPr>
        <w:t xml:space="preserve">, con especial foco en los canales digitales y sus funcionalidades, cómo las entidades implementan las tecnologías exponenciales en sus procesos y cómo integran las herramientas digitales para mejorar la experiencia de usuarios. Con este informe se busca impulsar la innovación en los procesos de las </w:t>
      </w:r>
      <w:proofErr w:type="spellStart"/>
      <w:r w:rsidRPr="00B221FC">
        <w:rPr>
          <w:rFonts w:ascii="Times New Roman" w:hAnsi="Times New Roman" w:cs="Times New Roman"/>
          <w:color w:val="767171"/>
          <w:spacing w:val="20"/>
          <w:sz w:val="24"/>
          <w:szCs w:val="24"/>
        </w:rPr>
        <w:t>EIFs</w:t>
      </w:r>
      <w:proofErr w:type="spellEnd"/>
      <w:r w:rsidRPr="00B221FC">
        <w:rPr>
          <w:rFonts w:ascii="Times New Roman" w:hAnsi="Times New Roman" w:cs="Times New Roman"/>
          <w:color w:val="767171"/>
          <w:spacing w:val="20"/>
          <w:sz w:val="24"/>
          <w:szCs w:val="24"/>
        </w:rPr>
        <w:t>, así como darle a conocer a los usuarios cómo ha ido evolucionando la digitalización en el sector financiero.</w:t>
      </w:r>
    </w:p>
    <w:p w14:paraId="27D1480F" w14:textId="77777777" w:rsidR="00B221FC" w:rsidRPr="00B221FC" w:rsidRDefault="00B221FC" w:rsidP="00CB4994">
      <w:pPr>
        <w:pStyle w:val="CuerpoSB"/>
        <w:numPr>
          <w:ilvl w:val="0"/>
          <w:numId w:val="10"/>
        </w:numPr>
        <w:spacing w:line="360" w:lineRule="auto"/>
        <w:contextualSpacing w:val="0"/>
        <w:rPr>
          <w:rFonts w:ascii="Times New Roman" w:hAnsi="Times New Roman" w:cs="Times New Roman"/>
          <w:color w:val="767171"/>
          <w:spacing w:val="20"/>
          <w:sz w:val="24"/>
          <w:szCs w:val="24"/>
        </w:rPr>
      </w:pPr>
      <w:r w:rsidRPr="00B221FC">
        <w:rPr>
          <w:rFonts w:ascii="Times New Roman" w:hAnsi="Times New Roman" w:cs="Times New Roman"/>
          <w:color w:val="767171"/>
          <w:spacing w:val="20"/>
          <w:sz w:val="24"/>
          <w:szCs w:val="24"/>
        </w:rPr>
        <w:t>Informe de Sostenibilidad e Inclusión de Segmentos Vulnerables, en su segunda edición, con el objetivo de continuar generando conocimientos que puedan aportar a la creación de políticas públicas que propicien la equidad de género en el país.  </w:t>
      </w:r>
    </w:p>
    <w:p w14:paraId="289B9E63" w14:textId="77777777" w:rsidR="00B221FC" w:rsidRDefault="00B221FC" w:rsidP="00CB4994">
      <w:pPr>
        <w:pStyle w:val="CuerpoSB"/>
        <w:numPr>
          <w:ilvl w:val="0"/>
          <w:numId w:val="10"/>
        </w:numPr>
        <w:spacing w:line="360" w:lineRule="auto"/>
        <w:contextualSpacing w:val="0"/>
        <w:rPr>
          <w:rFonts w:ascii="Times New Roman" w:hAnsi="Times New Roman" w:cs="Times New Roman"/>
          <w:color w:val="767171"/>
          <w:spacing w:val="20"/>
          <w:sz w:val="24"/>
          <w:szCs w:val="24"/>
        </w:rPr>
      </w:pPr>
      <w:r w:rsidRPr="00B221FC">
        <w:rPr>
          <w:rFonts w:ascii="Times New Roman" w:hAnsi="Times New Roman" w:cs="Times New Roman"/>
          <w:color w:val="767171"/>
          <w:spacing w:val="20"/>
          <w:sz w:val="24"/>
          <w:szCs w:val="24"/>
        </w:rPr>
        <w:t xml:space="preserve">Informe de Desiertos Bancarios con el objetivo de identificar zonas financieramente desatendidas en el territorio nacional. Este informe está en proceso y clasifica las zonas en tres categorías distintas: altamente bancarizado, medianamente bancarizado y </w:t>
      </w:r>
      <w:bookmarkStart w:id="62" w:name="_Int_x3e5cfiJ"/>
      <w:proofErr w:type="spellStart"/>
      <w:r w:rsidRPr="00B221FC">
        <w:rPr>
          <w:rFonts w:ascii="Times New Roman" w:hAnsi="Times New Roman" w:cs="Times New Roman"/>
          <w:color w:val="767171"/>
          <w:spacing w:val="20"/>
          <w:sz w:val="24"/>
          <w:szCs w:val="24"/>
        </w:rPr>
        <w:t>sub-bancarizados</w:t>
      </w:r>
      <w:bookmarkEnd w:id="62"/>
      <w:proofErr w:type="spellEnd"/>
      <w:r w:rsidRPr="00B221FC">
        <w:rPr>
          <w:rFonts w:ascii="Times New Roman" w:hAnsi="Times New Roman" w:cs="Times New Roman"/>
          <w:color w:val="767171"/>
          <w:spacing w:val="20"/>
          <w:sz w:val="24"/>
          <w:szCs w:val="24"/>
        </w:rPr>
        <w:t>; y proporciona un panorama enfocado en el incremento del acceso al sector bancario a través de los últimos años además busca arrojar luz sobre los avances en materia de bancarización a nivel nacional y explorar las posibles vías para su continuo progreso, fomentando así estrategias más efectivas para mejorar la inclusión financiera en todo el país. </w:t>
      </w:r>
    </w:p>
    <w:p w14:paraId="0E12DB45" w14:textId="29315180" w:rsidR="00B221FC" w:rsidRPr="00C772E3" w:rsidRDefault="00B221FC" w:rsidP="003E735A">
      <w:pPr>
        <w:pStyle w:val="CuerpoSB"/>
        <w:spacing w:line="360" w:lineRule="auto"/>
        <w:ind w:left="0"/>
        <w:contextualSpacing w:val="0"/>
        <w:jc w:val="left"/>
        <w:rPr>
          <w:rFonts w:ascii="Times New Roman" w:hAnsi="Times New Roman" w:cs="Times New Roman"/>
          <w:b/>
          <w:bCs/>
          <w:color w:val="767171"/>
          <w:spacing w:val="20"/>
          <w:sz w:val="24"/>
          <w:szCs w:val="24"/>
        </w:rPr>
      </w:pPr>
      <w:r w:rsidRPr="00B221FC">
        <w:rPr>
          <w:rFonts w:ascii="Times New Roman" w:hAnsi="Times New Roman" w:cs="Times New Roman"/>
          <w:b/>
          <w:bCs/>
          <w:color w:val="767171"/>
          <w:spacing w:val="20"/>
          <w:sz w:val="24"/>
          <w:szCs w:val="24"/>
        </w:rPr>
        <w:t xml:space="preserve">Tablero de Inclusión financiera de </w:t>
      </w:r>
      <w:bookmarkStart w:id="63" w:name="_Int_VNEGhkxu"/>
      <w:proofErr w:type="spellStart"/>
      <w:r w:rsidRPr="00B221FC">
        <w:rPr>
          <w:rFonts w:ascii="Times New Roman" w:hAnsi="Times New Roman" w:cs="Times New Roman"/>
          <w:b/>
          <w:bCs/>
          <w:color w:val="767171"/>
          <w:spacing w:val="20"/>
          <w:sz w:val="24"/>
          <w:szCs w:val="24"/>
        </w:rPr>
        <w:t>MiPYMEs</w:t>
      </w:r>
      <w:bookmarkEnd w:id="63"/>
      <w:proofErr w:type="spellEnd"/>
    </w:p>
    <w:p w14:paraId="0472907B" w14:textId="706C50EE" w:rsidR="00B221FC" w:rsidRPr="00C772E3" w:rsidRDefault="00234A67" w:rsidP="006B204A">
      <w:pPr>
        <w:pStyle w:val="CuerpoSB"/>
        <w:spacing w:line="360" w:lineRule="auto"/>
        <w:ind w:left="0"/>
        <w:contextualSpacing w:val="0"/>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C</w:t>
      </w:r>
      <w:r w:rsidR="00EB4CAC">
        <w:rPr>
          <w:rFonts w:ascii="Times New Roman" w:hAnsi="Times New Roman" w:cs="Times New Roman"/>
          <w:color w:val="767171"/>
          <w:spacing w:val="20"/>
          <w:sz w:val="24"/>
          <w:szCs w:val="24"/>
        </w:rPr>
        <w:t>on el fin de analizar y visualizar el acceso al crédito de las micro, pequeñas y medianas empresa</w:t>
      </w:r>
      <w:r w:rsidR="00FF2196">
        <w:rPr>
          <w:rFonts w:ascii="Times New Roman" w:hAnsi="Times New Roman" w:cs="Times New Roman"/>
          <w:color w:val="767171"/>
          <w:spacing w:val="20"/>
          <w:sz w:val="24"/>
          <w:szCs w:val="24"/>
        </w:rPr>
        <w:t xml:space="preserve">, así como identificar </w:t>
      </w:r>
      <w:r w:rsidR="00B82781">
        <w:rPr>
          <w:rFonts w:ascii="Times New Roman" w:hAnsi="Times New Roman" w:cs="Times New Roman"/>
          <w:color w:val="767171"/>
          <w:spacing w:val="20"/>
          <w:sz w:val="24"/>
          <w:szCs w:val="24"/>
        </w:rPr>
        <w:t>el género de quienes las lideran</w:t>
      </w:r>
      <w:r w:rsidR="00E95775">
        <w:rPr>
          <w:rFonts w:ascii="Times New Roman" w:hAnsi="Times New Roman" w:cs="Times New Roman"/>
          <w:color w:val="767171"/>
          <w:spacing w:val="20"/>
          <w:sz w:val="24"/>
          <w:szCs w:val="24"/>
        </w:rPr>
        <w:t>, s</w:t>
      </w:r>
      <w:r w:rsidR="00B221FC" w:rsidRPr="00B221FC">
        <w:rPr>
          <w:rFonts w:ascii="Times New Roman" w:hAnsi="Times New Roman" w:cs="Times New Roman"/>
          <w:color w:val="767171"/>
          <w:spacing w:val="20"/>
          <w:sz w:val="24"/>
          <w:szCs w:val="24"/>
        </w:rPr>
        <w:t>e cre</w:t>
      </w:r>
      <w:r w:rsidR="00E95775">
        <w:rPr>
          <w:rFonts w:ascii="Times New Roman" w:hAnsi="Times New Roman" w:cs="Times New Roman"/>
          <w:color w:val="767171"/>
          <w:spacing w:val="20"/>
          <w:sz w:val="24"/>
          <w:szCs w:val="24"/>
        </w:rPr>
        <w:t>ó</w:t>
      </w:r>
      <w:r w:rsidR="00B221FC" w:rsidRPr="00B221FC">
        <w:rPr>
          <w:rFonts w:ascii="Times New Roman" w:hAnsi="Times New Roman" w:cs="Times New Roman"/>
          <w:color w:val="767171"/>
          <w:spacing w:val="20"/>
          <w:sz w:val="24"/>
          <w:szCs w:val="24"/>
        </w:rPr>
        <w:t xml:space="preserve"> un tablero de indicadores de inclusión financiera de las </w:t>
      </w:r>
      <w:proofErr w:type="spellStart"/>
      <w:r w:rsidR="00B221FC" w:rsidRPr="00B221FC">
        <w:rPr>
          <w:rFonts w:ascii="Times New Roman" w:hAnsi="Times New Roman" w:cs="Times New Roman"/>
          <w:color w:val="767171"/>
          <w:spacing w:val="20"/>
          <w:sz w:val="24"/>
          <w:szCs w:val="24"/>
        </w:rPr>
        <w:t>MiPYMEs</w:t>
      </w:r>
      <w:proofErr w:type="spellEnd"/>
      <w:r w:rsidR="00B221FC" w:rsidRPr="00B221FC">
        <w:rPr>
          <w:rFonts w:ascii="Times New Roman" w:hAnsi="Times New Roman" w:cs="Times New Roman"/>
          <w:color w:val="767171"/>
          <w:spacing w:val="20"/>
          <w:sz w:val="24"/>
          <w:szCs w:val="24"/>
        </w:rPr>
        <w:t>. Este tablero</w:t>
      </w:r>
      <w:r w:rsidR="00C0352F">
        <w:rPr>
          <w:rFonts w:ascii="Times New Roman" w:hAnsi="Times New Roman" w:cs="Times New Roman"/>
          <w:color w:val="767171"/>
          <w:spacing w:val="20"/>
          <w:sz w:val="24"/>
          <w:szCs w:val="24"/>
        </w:rPr>
        <w:t xml:space="preserve"> </w:t>
      </w:r>
      <w:r w:rsidR="00C0352F" w:rsidRPr="00B221FC">
        <w:rPr>
          <w:rFonts w:ascii="Times New Roman" w:hAnsi="Times New Roman" w:cs="Times New Roman"/>
          <w:color w:val="767171"/>
          <w:spacing w:val="20"/>
          <w:sz w:val="24"/>
          <w:szCs w:val="24"/>
        </w:rPr>
        <w:t>será actualizado de forma periódica</w:t>
      </w:r>
      <w:r w:rsidR="000232BD">
        <w:rPr>
          <w:rFonts w:ascii="Times New Roman" w:hAnsi="Times New Roman" w:cs="Times New Roman"/>
          <w:color w:val="767171"/>
          <w:spacing w:val="20"/>
          <w:sz w:val="24"/>
          <w:szCs w:val="24"/>
        </w:rPr>
        <w:t xml:space="preserve"> y</w:t>
      </w:r>
      <w:r w:rsidR="00B221FC" w:rsidRPr="00B221FC">
        <w:rPr>
          <w:rFonts w:ascii="Times New Roman" w:hAnsi="Times New Roman" w:cs="Times New Roman"/>
          <w:color w:val="767171"/>
          <w:spacing w:val="20"/>
          <w:sz w:val="24"/>
          <w:szCs w:val="24"/>
        </w:rPr>
        <w:t xml:space="preserve"> permitirá identificar las brechas que puedan existir entre </w:t>
      </w:r>
      <w:r w:rsidR="00B221FC" w:rsidRPr="00B221FC">
        <w:rPr>
          <w:rFonts w:ascii="Times New Roman" w:hAnsi="Times New Roman" w:cs="Times New Roman"/>
          <w:color w:val="767171"/>
          <w:spacing w:val="20"/>
          <w:sz w:val="24"/>
          <w:szCs w:val="24"/>
        </w:rPr>
        <w:lastRenderedPageBreak/>
        <w:t>los tipos de empresas en cuanto al acceso y los montos de crédito adeudados. </w:t>
      </w:r>
    </w:p>
    <w:p w14:paraId="3A1D6AD1" w14:textId="255ABC7B" w:rsidR="00B221FC" w:rsidRPr="00B221FC" w:rsidRDefault="00ED310C" w:rsidP="006B204A">
      <w:pPr>
        <w:pStyle w:val="CuerpoSB"/>
        <w:spacing w:line="360" w:lineRule="auto"/>
        <w:ind w:left="0"/>
        <w:contextualSpacing w:val="0"/>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E</w:t>
      </w:r>
      <w:r w:rsidR="001157E1">
        <w:rPr>
          <w:rFonts w:ascii="Times New Roman" w:hAnsi="Times New Roman" w:cs="Times New Roman"/>
          <w:color w:val="767171"/>
          <w:spacing w:val="20"/>
          <w:sz w:val="24"/>
          <w:szCs w:val="24"/>
        </w:rPr>
        <w:t>n este se incluyen</w:t>
      </w:r>
      <w:r w:rsidR="00B221FC" w:rsidRPr="00B221FC">
        <w:rPr>
          <w:rFonts w:ascii="Times New Roman" w:hAnsi="Times New Roman" w:cs="Times New Roman"/>
          <w:color w:val="767171"/>
          <w:spacing w:val="20"/>
          <w:sz w:val="24"/>
          <w:szCs w:val="24"/>
        </w:rPr>
        <w:t xml:space="preserve"> indicadores como la cantidad de </w:t>
      </w:r>
      <w:proofErr w:type="spellStart"/>
      <w:r w:rsidR="00B221FC" w:rsidRPr="00B221FC">
        <w:rPr>
          <w:rFonts w:ascii="Times New Roman" w:hAnsi="Times New Roman" w:cs="Times New Roman"/>
          <w:color w:val="767171"/>
          <w:spacing w:val="20"/>
          <w:sz w:val="24"/>
          <w:szCs w:val="24"/>
        </w:rPr>
        <w:t>MiPYMEs</w:t>
      </w:r>
      <w:proofErr w:type="spellEnd"/>
      <w:r w:rsidR="00B221FC" w:rsidRPr="00B221FC">
        <w:rPr>
          <w:rFonts w:ascii="Times New Roman" w:hAnsi="Times New Roman" w:cs="Times New Roman"/>
          <w:color w:val="767171"/>
          <w:spacing w:val="20"/>
          <w:sz w:val="24"/>
          <w:szCs w:val="24"/>
        </w:rPr>
        <w:t xml:space="preserve"> según clasificación por tipo de liderazgo, cantidad de créditos, promedios de cantidades adeudadas, entre otros.</w:t>
      </w:r>
    </w:p>
    <w:p w14:paraId="62A77A78" w14:textId="77777777" w:rsidR="00953E23" w:rsidRPr="00C865B6" w:rsidRDefault="00953E23" w:rsidP="006B204A">
      <w:pPr>
        <w:pStyle w:val="CuerpoSB"/>
        <w:spacing w:line="360" w:lineRule="auto"/>
        <w:ind w:left="0"/>
        <w:contextualSpacing w:val="0"/>
        <w:rPr>
          <w:rFonts w:ascii="Times New Roman" w:hAnsi="Times New Roman" w:cs="Times New Roman"/>
          <w:color w:val="767171"/>
          <w:spacing w:val="20"/>
          <w:sz w:val="24"/>
          <w:szCs w:val="24"/>
        </w:rPr>
      </w:pPr>
    </w:p>
    <w:p w14:paraId="43DC7585" w14:textId="4D2D767D" w:rsidR="00E52ED4" w:rsidRPr="00C865B6" w:rsidRDefault="00C94DAB" w:rsidP="006B204A">
      <w:pPr>
        <w:pStyle w:val="Estilo3"/>
        <w:spacing w:before="0" w:after="160" w:line="360" w:lineRule="auto"/>
        <w:rPr>
          <w:b/>
        </w:rPr>
      </w:pPr>
      <w:bookmarkStart w:id="64" w:name="_Toc122435012"/>
      <w:bookmarkStart w:id="65" w:name="_Toc123046917"/>
      <w:bookmarkStart w:id="66" w:name="_Toc155354615"/>
      <w:r>
        <w:rPr>
          <w:b/>
        </w:rPr>
        <w:t>3</w:t>
      </w:r>
      <w:r w:rsidR="00E52ED4" w:rsidRPr="00C865B6">
        <w:rPr>
          <w:b/>
        </w:rPr>
        <w:t>.8 Protección y Atención al Usuario Financiero</w:t>
      </w:r>
      <w:bookmarkEnd w:id="64"/>
      <w:bookmarkEnd w:id="65"/>
      <w:bookmarkEnd w:id="66"/>
    </w:p>
    <w:p w14:paraId="59BCB4C9" w14:textId="2EB28A51" w:rsidR="005640F1" w:rsidRPr="005640F1" w:rsidRDefault="005640F1" w:rsidP="006B204A">
      <w:pPr>
        <w:spacing w:line="360" w:lineRule="auto"/>
        <w:jc w:val="both"/>
        <w:rPr>
          <w:rFonts w:eastAsia="Arial Unicode MS"/>
          <w:u w:color="000000"/>
          <w:bdr w:val="nil"/>
          <w:lang w:val="es-DO" w:eastAsia="es-DO"/>
        </w:rPr>
      </w:pPr>
      <w:bookmarkStart w:id="67" w:name="_Hlk88043296"/>
      <w:r w:rsidRPr="005640F1">
        <w:rPr>
          <w:rFonts w:eastAsia="Arial Unicode MS"/>
          <w:u w:color="000000"/>
          <w:bdr w:val="nil"/>
          <w:lang w:val="es-DO" w:eastAsia="es-DO"/>
        </w:rPr>
        <w:t>La protección de los derechos de los usuarios</w:t>
      </w:r>
      <w:r w:rsidR="00A606D2">
        <w:rPr>
          <w:rFonts w:eastAsia="Arial Unicode MS"/>
          <w:u w:color="000000"/>
          <w:bdr w:val="nil"/>
          <w:lang w:val="es-DO" w:eastAsia="es-DO"/>
        </w:rPr>
        <w:t xml:space="preserve"> </w:t>
      </w:r>
      <w:r w:rsidRPr="005640F1">
        <w:rPr>
          <w:rFonts w:eastAsia="Arial Unicode MS"/>
          <w:u w:color="000000"/>
          <w:bdr w:val="nil"/>
          <w:lang w:val="es-DO" w:eastAsia="es-DO"/>
        </w:rPr>
        <w:t xml:space="preserve">de los servicios financieros y cambiarios es una responsabilidad a cargo de la Superintendencia de Bancos, que se origina en los Artículos 52 y 53 de Ley Monetaria y Financiera, núm.183-02 (LMF). A tales propósitos, fue creada la Oficina de Servicios y Protección al Usuario de los Productos y Servicios Financieros (ProUsuario), con facultades establecidas para garantizar el cumplimiento de las normas que regulan la protección efectiva de los derechos de los usuarios usuarias y </w:t>
      </w:r>
      <w:r w:rsidR="00EB158D">
        <w:rPr>
          <w:rFonts w:eastAsia="Arial Unicode MS"/>
          <w:u w:color="000000"/>
          <w:bdr w:val="nil"/>
          <w:lang w:val="es-DO" w:eastAsia="es-DO"/>
        </w:rPr>
        <w:t xml:space="preserve">la </w:t>
      </w:r>
      <w:r w:rsidRPr="005640F1">
        <w:rPr>
          <w:rFonts w:eastAsia="Arial Unicode MS"/>
          <w:u w:color="000000"/>
          <w:bdr w:val="nil"/>
          <w:lang w:val="es-DO" w:eastAsia="es-DO"/>
        </w:rPr>
        <w:t>sanci</w:t>
      </w:r>
      <w:r w:rsidR="00EB158D">
        <w:rPr>
          <w:rFonts w:eastAsia="Arial Unicode MS"/>
          <w:u w:color="000000"/>
          <w:bdr w:val="nil"/>
          <w:lang w:val="es-DO" w:eastAsia="es-DO"/>
        </w:rPr>
        <w:t>ón</w:t>
      </w:r>
      <w:r w:rsidR="0094163A">
        <w:rPr>
          <w:rFonts w:eastAsia="Arial Unicode MS"/>
          <w:u w:color="000000"/>
          <w:bdr w:val="nil"/>
          <w:lang w:val="es-DO" w:eastAsia="es-DO"/>
        </w:rPr>
        <w:t xml:space="preserve"> de</w:t>
      </w:r>
      <w:r w:rsidR="000F5B48">
        <w:rPr>
          <w:rFonts w:eastAsia="Arial Unicode MS"/>
          <w:u w:color="000000"/>
          <w:bdr w:val="nil"/>
          <w:lang w:val="es-DO" w:eastAsia="es-DO"/>
        </w:rPr>
        <w:t>l</w:t>
      </w:r>
      <w:r w:rsidRPr="005640F1">
        <w:rPr>
          <w:rFonts w:eastAsia="Arial Unicode MS"/>
          <w:u w:color="000000"/>
          <w:bdr w:val="nil"/>
          <w:lang w:val="es-DO" w:eastAsia="es-DO"/>
        </w:rPr>
        <w:t xml:space="preserve"> incumplimiento, conforme lo dispone la Primera Resolución de la Junta Monetaria (JM) de fecha 05 de febrero de 2015 y sus modificaciones.  </w:t>
      </w:r>
    </w:p>
    <w:p w14:paraId="2A14F07F" w14:textId="197505AA" w:rsidR="000E1A7F" w:rsidRDefault="005640F1" w:rsidP="006B204A">
      <w:pPr>
        <w:spacing w:line="360" w:lineRule="auto"/>
        <w:jc w:val="both"/>
        <w:rPr>
          <w:rFonts w:eastAsia="Arial Unicode MS"/>
          <w:bdr w:val="nil"/>
          <w:lang w:val="es-DO" w:eastAsia="es-DO"/>
        </w:rPr>
      </w:pPr>
      <w:r w:rsidRPr="005640F1">
        <w:rPr>
          <w:rFonts w:eastAsia="Arial Unicode MS"/>
          <w:bdr w:val="nil"/>
          <w:lang w:val="es-DO" w:eastAsia="es-DO"/>
        </w:rPr>
        <w:t xml:space="preserve">Durante el 2023, la Superintendencia de Bancos, a través de ProUsuario, ha registrado ciento sesenta y cinco mil ciento treinta y ocho (165,138) contactos con usuarios, representando un incremento de un 28.25% con relación al mismo período del año 2022. Cabe destacar que, del total de contactos con </w:t>
      </w:r>
      <w:r w:rsidR="009562FA" w:rsidRPr="005640F1">
        <w:rPr>
          <w:rFonts w:eastAsia="Arial Unicode MS"/>
          <w:bdr w:val="nil"/>
          <w:lang w:val="es-DO" w:eastAsia="es-DO"/>
        </w:rPr>
        <w:t>usuarios</w:t>
      </w:r>
      <w:r w:rsidRPr="005640F1">
        <w:rPr>
          <w:rFonts w:eastAsia="Arial Unicode MS"/>
          <w:bdr w:val="nil"/>
          <w:lang w:val="es-DO" w:eastAsia="es-DO"/>
        </w:rPr>
        <w:t>, 45% fueron realizados a través de los canales presenciales y alternos (oficinas, teléfono, correo electrónico, redes sociales, APP ProUsuario, WhatsApp</w:t>
      </w:r>
      <w:r w:rsidRPr="005640F1">
        <w:rPr>
          <w:rFonts w:eastAsia="Arial Unicode MS"/>
          <w:b/>
          <w:bdr w:val="nil"/>
          <w:lang w:val="es-DO" w:eastAsia="es-DO"/>
        </w:rPr>
        <w:t>,</w:t>
      </w:r>
      <w:r w:rsidRPr="005640F1">
        <w:rPr>
          <w:rFonts w:eastAsia="Arial Unicode MS"/>
          <w:bdr w:val="nil"/>
          <w:lang w:val="es-DO" w:eastAsia="es-DO"/>
        </w:rPr>
        <w:t xml:space="preserve"> atención virtual y chat) mientras que un 55% fueron realizados a través de nuestros canales de autoservicio (Sistema de IVR, página web, </w:t>
      </w:r>
      <w:bookmarkStart w:id="68" w:name="_Int_Gq6LZPdr"/>
      <w:r w:rsidRPr="005640F1">
        <w:rPr>
          <w:rFonts w:eastAsia="Arial Unicode MS"/>
          <w:bdr w:val="nil"/>
          <w:lang w:val="es-DO" w:eastAsia="es-DO"/>
        </w:rPr>
        <w:t>ChatBot</w:t>
      </w:r>
      <w:bookmarkEnd w:id="68"/>
      <w:r w:rsidRPr="005640F1">
        <w:rPr>
          <w:rFonts w:eastAsia="Arial Unicode MS"/>
          <w:bdr w:val="nil"/>
          <w:lang w:val="es-DO" w:eastAsia="es-DO"/>
        </w:rPr>
        <w:t xml:space="preserve"> Lucía: web y WhatsApp).</w:t>
      </w:r>
    </w:p>
    <w:p w14:paraId="37706F11" w14:textId="11ADC1BB" w:rsidR="005640F1" w:rsidRPr="005640F1" w:rsidRDefault="005640F1" w:rsidP="006B204A">
      <w:pPr>
        <w:spacing w:line="360" w:lineRule="auto"/>
        <w:jc w:val="center"/>
        <w:rPr>
          <w:rFonts w:eastAsia="Arial Unicode MS"/>
          <w:bdr w:val="nil"/>
          <w:lang w:val="es-DO" w:eastAsia="es-DO"/>
        </w:rPr>
      </w:pPr>
      <w:r w:rsidRPr="005640F1">
        <w:rPr>
          <w:rFonts w:eastAsia="Arial Unicode MS"/>
          <w:u w:color="000000"/>
          <w:bdr w:val="nil"/>
          <w:lang w:val="es-DO" w:eastAsia="es-DO"/>
        </w:rPr>
        <w:lastRenderedPageBreak/>
        <w:br/>
      </w:r>
      <w:r w:rsidRPr="005640F1">
        <w:rPr>
          <w:rFonts w:eastAsia="Arial Unicode MS"/>
          <w:b/>
          <w:bdr w:val="nil"/>
          <w:lang w:val="es-DO" w:eastAsia="es-DO"/>
        </w:rPr>
        <w:t xml:space="preserve">Tabla </w:t>
      </w:r>
      <w:r w:rsidR="00635189">
        <w:rPr>
          <w:rFonts w:eastAsia="Arial Unicode MS"/>
          <w:b/>
          <w:bdr w:val="nil"/>
          <w:lang w:val="es-DO" w:eastAsia="es-DO"/>
        </w:rPr>
        <w:t>4</w:t>
      </w:r>
      <w:r w:rsidRPr="005640F1">
        <w:rPr>
          <w:rFonts w:eastAsia="Arial Unicode MS"/>
          <w:b/>
          <w:bdr w:val="nil"/>
          <w:lang w:val="es-DO" w:eastAsia="es-DO"/>
        </w:rPr>
        <w:t xml:space="preserve">. Usuarios atendidos por ProUsuario, según canal </w:t>
      </w:r>
      <w:r w:rsidR="00225F37">
        <w:rPr>
          <w:rFonts w:eastAsia="Arial Unicode MS"/>
          <w:b/>
          <w:bdr w:val="nil"/>
          <w:lang w:val="es-DO" w:eastAsia="es-DO"/>
        </w:rPr>
        <w:t>corte</w:t>
      </w:r>
      <w:r w:rsidRPr="005640F1">
        <w:rPr>
          <w:rFonts w:eastAsia="Arial Unicode MS"/>
          <w:b/>
          <w:bdr w:val="nil"/>
          <w:lang w:val="es-DO" w:eastAsia="es-DO"/>
        </w:rPr>
        <w:t xml:space="preserve"> 15 de noviembre 2023</w:t>
      </w:r>
    </w:p>
    <w:tbl>
      <w:tblPr>
        <w:tblW w:w="79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5"/>
        <w:gridCol w:w="2811"/>
      </w:tblGrid>
      <w:tr w:rsidR="005640F1" w:rsidRPr="005640F1" w14:paraId="2EAF0D2C" w14:textId="77777777" w:rsidTr="00AC7C33">
        <w:trPr>
          <w:trHeight w:val="300"/>
          <w:tblHeader/>
        </w:trPr>
        <w:tc>
          <w:tcPr>
            <w:tcW w:w="5095" w:type="dxa"/>
            <w:tcBorders>
              <w:top w:val="single" w:sz="6" w:space="0" w:color="auto"/>
              <w:left w:val="single" w:sz="6" w:space="0" w:color="auto"/>
              <w:bottom w:val="single" w:sz="6" w:space="0" w:color="auto"/>
              <w:right w:val="single" w:sz="6" w:space="0" w:color="000000"/>
            </w:tcBorders>
            <w:shd w:val="clear" w:color="auto" w:fill="1F3864"/>
            <w:vAlign w:val="center"/>
            <w:hideMark/>
          </w:tcPr>
          <w:p w14:paraId="6F61B62A" w14:textId="45E819CD" w:rsidR="005640F1" w:rsidRPr="00944068" w:rsidRDefault="005640F1" w:rsidP="006B204A">
            <w:pPr>
              <w:spacing w:after="0" w:line="360" w:lineRule="auto"/>
              <w:rPr>
                <w:rFonts w:eastAsia="Arial Unicode MS"/>
                <w:b/>
                <w:color w:val="FFFFFF" w:themeColor="background1"/>
                <w:u w:color="000000"/>
                <w:bdr w:val="nil"/>
                <w:lang w:val="es-DO" w:eastAsia="es-DO"/>
              </w:rPr>
            </w:pPr>
            <w:r w:rsidRPr="00944068">
              <w:rPr>
                <w:rFonts w:eastAsia="Arial Unicode MS"/>
                <w:b/>
                <w:color w:val="FFFFFF" w:themeColor="background1"/>
                <w:u w:color="000000"/>
                <w:bdr w:val="nil"/>
                <w:lang w:val="es-DO" w:eastAsia="es-DO"/>
              </w:rPr>
              <w:t>Canales alternos</w:t>
            </w:r>
          </w:p>
        </w:tc>
        <w:tc>
          <w:tcPr>
            <w:tcW w:w="2811" w:type="dxa"/>
            <w:tcBorders>
              <w:top w:val="single" w:sz="6" w:space="0" w:color="auto"/>
              <w:left w:val="single" w:sz="6" w:space="0" w:color="auto"/>
              <w:bottom w:val="single" w:sz="6" w:space="0" w:color="auto"/>
              <w:right w:val="single" w:sz="6" w:space="0" w:color="000000"/>
            </w:tcBorders>
            <w:shd w:val="clear" w:color="auto" w:fill="1F3864"/>
            <w:vAlign w:val="center"/>
            <w:hideMark/>
          </w:tcPr>
          <w:p w14:paraId="1296650B" w14:textId="7A6804F7" w:rsidR="005640F1" w:rsidRPr="00944068" w:rsidRDefault="005640F1" w:rsidP="006B204A">
            <w:pPr>
              <w:spacing w:after="0" w:line="360" w:lineRule="auto"/>
              <w:jc w:val="center"/>
              <w:rPr>
                <w:rFonts w:eastAsia="Arial Unicode MS"/>
                <w:b/>
                <w:color w:val="FFFFFF" w:themeColor="background1"/>
                <w:u w:color="000000"/>
                <w:bdr w:val="nil"/>
                <w:lang w:val="es-DO" w:eastAsia="es-DO"/>
              </w:rPr>
            </w:pPr>
            <w:r w:rsidRPr="00944068">
              <w:rPr>
                <w:rFonts w:eastAsia="Arial Unicode MS"/>
                <w:b/>
                <w:color w:val="FFFFFF" w:themeColor="background1"/>
                <w:u w:color="000000"/>
                <w:bdr w:val="nil"/>
                <w:lang w:val="es-DO" w:eastAsia="es-DO"/>
              </w:rPr>
              <w:t>Usuarios atendidos</w:t>
            </w:r>
          </w:p>
        </w:tc>
      </w:tr>
      <w:tr w:rsidR="005640F1" w:rsidRPr="005640F1" w14:paraId="443D3F43" w14:textId="77777777" w:rsidTr="00C63E5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9910FA" w14:textId="58EFDB36" w:rsidR="005640F1" w:rsidRPr="000E1A7F" w:rsidRDefault="005640F1" w:rsidP="006B204A">
            <w:pPr>
              <w:spacing w:after="0" w:line="360" w:lineRule="auto"/>
              <w:rPr>
                <w:rFonts w:eastAsia="Arial Unicode MS"/>
                <w:b/>
                <w:bCs/>
                <w:u w:color="000000"/>
                <w:bdr w:val="nil"/>
                <w:lang w:val="es-DO" w:eastAsia="es-DO"/>
              </w:rPr>
            </w:pPr>
            <w:r w:rsidRPr="000E1A7F">
              <w:rPr>
                <w:rFonts w:eastAsia="Arial Unicode MS"/>
                <w:b/>
                <w:bCs/>
                <w:u w:color="000000"/>
                <w:bdr w:val="nil"/>
                <w:lang w:val="es-DO" w:eastAsia="es-DO"/>
              </w:rPr>
              <w:t>Presencial</w:t>
            </w:r>
          </w:p>
        </w:tc>
        <w:tc>
          <w:tcPr>
            <w:tcW w:w="281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72CFEF1" w14:textId="04B99909" w:rsidR="005640F1" w:rsidRPr="005640F1" w:rsidRDefault="005640F1" w:rsidP="006B204A">
            <w:pPr>
              <w:spacing w:after="0" w:line="360" w:lineRule="auto"/>
              <w:jc w:val="center"/>
              <w:rPr>
                <w:rFonts w:eastAsia="Arial Unicode MS"/>
                <w:u w:color="000000"/>
                <w:bdr w:val="nil"/>
                <w:lang w:val="es-DO" w:eastAsia="es-DO"/>
              </w:rPr>
            </w:pPr>
            <w:r w:rsidRPr="005640F1">
              <w:rPr>
                <w:rFonts w:eastAsia="Arial Unicode MS"/>
                <w:u w:color="000000"/>
                <w:bdr w:val="nil"/>
                <w:lang w:val="es-DO" w:eastAsia="es-DO"/>
              </w:rPr>
              <w:t>12,146</w:t>
            </w:r>
          </w:p>
        </w:tc>
      </w:tr>
      <w:tr w:rsidR="005640F1" w:rsidRPr="005640F1" w14:paraId="1F3563C6" w14:textId="77777777" w:rsidTr="00C63E5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CB0D3C3" w14:textId="5F30AFC1" w:rsidR="005640F1" w:rsidRPr="000E1A7F" w:rsidRDefault="005640F1" w:rsidP="006B204A">
            <w:pPr>
              <w:spacing w:after="0" w:line="360" w:lineRule="auto"/>
              <w:rPr>
                <w:rFonts w:eastAsia="Arial Unicode MS"/>
                <w:b/>
                <w:bCs/>
                <w:u w:color="000000"/>
                <w:bdr w:val="nil"/>
                <w:lang w:val="es-DO" w:eastAsia="es-DO"/>
              </w:rPr>
            </w:pPr>
            <w:r w:rsidRPr="000E1A7F">
              <w:rPr>
                <w:rFonts w:eastAsia="Arial Unicode MS"/>
                <w:b/>
                <w:bCs/>
                <w:u w:color="000000"/>
                <w:bdr w:val="nil"/>
                <w:lang w:val="es-DO" w:eastAsia="es-DO"/>
              </w:rPr>
              <w:t>Teléfono</w:t>
            </w:r>
          </w:p>
        </w:tc>
        <w:tc>
          <w:tcPr>
            <w:tcW w:w="281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6B8EBA8" w14:textId="69D375DF" w:rsidR="005640F1" w:rsidRPr="005640F1" w:rsidRDefault="005640F1" w:rsidP="006B204A">
            <w:pPr>
              <w:spacing w:after="0" w:line="360" w:lineRule="auto"/>
              <w:jc w:val="center"/>
              <w:rPr>
                <w:rFonts w:eastAsia="Arial Unicode MS"/>
                <w:u w:color="000000"/>
                <w:bdr w:val="nil"/>
                <w:lang w:val="es-DO" w:eastAsia="es-DO"/>
              </w:rPr>
            </w:pPr>
            <w:r w:rsidRPr="005640F1">
              <w:rPr>
                <w:rFonts w:eastAsia="Arial Unicode MS"/>
                <w:u w:color="000000"/>
                <w:bdr w:val="nil"/>
                <w:lang w:val="es-DO" w:eastAsia="es-DO"/>
              </w:rPr>
              <w:t>26,793</w:t>
            </w:r>
          </w:p>
        </w:tc>
      </w:tr>
      <w:tr w:rsidR="005640F1" w:rsidRPr="005640F1" w14:paraId="3842AB47" w14:textId="77777777" w:rsidTr="00C63E5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41714E" w14:textId="705DE864" w:rsidR="005640F1" w:rsidRPr="000E1A7F" w:rsidRDefault="005640F1" w:rsidP="006B204A">
            <w:pPr>
              <w:spacing w:after="0" w:line="360" w:lineRule="auto"/>
              <w:rPr>
                <w:rFonts w:eastAsia="Arial Unicode MS"/>
                <w:b/>
                <w:bCs/>
                <w:u w:color="000000"/>
                <w:bdr w:val="nil"/>
                <w:lang w:val="es-DO" w:eastAsia="es-DO"/>
              </w:rPr>
            </w:pPr>
            <w:r w:rsidRPr="000E1A7F">
              <w:rPr>
                <w:rFonts w:eastAsia="Arial Unicode MS"/>
                <w:b/>
                <w:bCs/>
                <w:u w:color="000000"/>
                <w:bdr w:val="nil"/>
                <w:lang w:val="es-DO" w:eastAsia="es-DO"/>
              </w:rPr>
              <w:t>Correo electrónico (incluyendo APP ProUsuario)</w:t>
            </w:r>
          </w:p>
        </w:tc>
        <w:tc>
          <w:tcPr>
            <w:tcW w:w="281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FA49707" w14:textId="5DA9323F" w:rsidR="005640F1" w:rsidRPr="005640F1" w:rsidRDefault="005640F1" w:rsidP="006B204A">
            <w:pPr>
              <w:spacing w:after="0" w:line="360" w:lineRule="auto"/>
              <w:jc w:val="center"/>
              <w:rPr>
                <w:rFonts w:eastAsia="Arial Unicode MS"/>
                <w:u w:color="000000"/>
                <w:bdr w:val="nil"/>
                <w:lang w:val="es-DO" w:eastAsia="es-DO"/>
              </w:rPr>
            </w:pPr>
            <w:r w:rsidRPr="005640F1">
              <w:rPr>
                <w:rFonts w:eastAsia="Arial Unicode MS"/>
                <w:u w:color="000000"/>
                <w:bdr w:val="nil"/>
                <w:lang w:val="es-DO" w:eastAsia="es-DO"/>
              </w:rPr>
              <w:t>21,220</w:t>
            </w:r>
          </w:p>
        </w:tc>
      </w:tr>
      <w:tr w:rsidR="005640F1" w:rsidRPr="005640F1" w14:paraId="456526D9" w14:textId="77777777" w:rsidTr="00C63E5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B1A46C" w14:textId="3EF986B5" w:rsidR="005640F1" w:rsidRPr="000E1A7F" w:rsidRDefault="005640F1" w:rsidP="006B204A">
            <w:pPr>
              <w:spacing w:after="0" w:line="360" w:lineRule="auto"/>
              <w:rPr>
                <w:rFonts w:eastAsia="Arial Unicode MS"/>
                <w:b/>
                <w:bCs/>
                <w:u w:color="000000"/>
                <w:bdr w:val="nil"/>
                <w:lang w:val="es-DO" w:eastAsia="es-DO"/>
              </w:rPr>
            </w:pPr>
            <w:r w:rsidRPr="000E1A7F">
              <w:rPr>
                <w:rFonts w:eastAsia="Arial Unicode MS"/>
                <w:b/>
                <w:bCs/>
                <w:u w:color="000000"/>
                <w:bdr w:val="nil"/>
                <w:lang w:val="es-DO" w:eastAsia="es-DO"/>
              </w:rPr>
              <w:t>Chat</w:t>
            </w:r>
          </w:p>
        </w:tc>
        <w:tc>
          <w:tcPr>
            <w:tcW w:w="281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9FDB712" w14:textId="05B1B635" w:rsidR="005640F1" w:rsidRPr="005640F1" w:rsidRDefault="005640F1" w:rsidP="006B204A">
            <w:pPr>
              <w:spacing w:after="0" w:line="360" w:lineRule="auto"/>
              <w:jc w:val="center"/>
              <w:rPr>
                <w:rFonts w:eastAsia="Arial Unicode MS"/>
                <w:u w:color="000000"/>
                <w:bdr w:val="nil"/>
                <w:lang w:val="es-DO" w:eastAsia="es-DO"/>
              </w:rPr>
            </w:pPr>
            <w:r w:rsidRPr="005640F1">
              <w:rPr>
                <w:rFonts w:eastAsia="Arial Unicode MS"/>
                <w:u w:color="000000"/>
                <w:bdr w:val="nil"/>
                <w:lang w:val="es-DO" w:eastAsia="es-DO"/>
              </w:rPr>
              <w:t>8,796</w:t>
            </w:r>
          </w:p>
        </w:tc>
      </w:tr>
      <w:tr w:rsidR="005640F1" w:rsidRPr="005640F1" w14:paraId="2910BDA9" w14:textId="77777777" w:rsidTr="00C63E5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4902F98" w14:textId="0DA7CAAD" w:rsidR="005640F1" w:rsidRPr="000E1A7F" w:rsidRDefault="005640F1" w:rsidP="006B204A">
            <w:pPr>
              <w:spacing w:after="0" w:line="360" w:lineRule="auto"/>
              <w:rPr>
                <w:rFonts w:eastAsia="Arial Unicode MS"/>
                <w:b/>
                <w:bCs/>
                <w:u w:color="000000"/>
                <w:bdr w:val="nil"/>
                <w:lang w:val="es-DO" w:eastAsia="es-DO"/>
              </w:rPr>
            </w:pPr>
            <w:r w:rsidRPr="000E1A7F">
              <w:rPr>
                <w:rFonts w:eastAsia="Arial Unicode MS"/>
                <w:b/>
                <w:bCs/>
                <w:u w:color="000000"/>
                <w:bdr w:val="nil"/>
                <w:lang w:val="es-DO" w:eastAsia="es-DO"/>
              </w:rPr>
              <w:t>WhatsApp</w:t>
            </w:r>
          </w:p>
        </w:tc>
        <w:tc>
          <w:tcPr>
            <w:tcW w:w="281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A7EAF1D" w14:textId="791703E5" w:rsidR="005640F1" w:rsidRPr="005640F1" w:rsidRDefault="005640F1" w:rsidP="006B204A">
            <w:pPr>
              <w:spacing w:after="0" w:line="360" w:lineRule="auto"/>
              <w:jc w:val="center"/>
              <w:rPr>
                <w:rFonts w:eastAsia="Arial Unicode MS"/>
                <w:u w:color="000000"/>
                <w:bdr w:val="nil"/>
                <w:lang w:val="es-DO" w:eastAsia="es-DO"/>
              </w:rPr>
            </w:pPr>
            <w:r w:rsidRPr="005640F1">
              <w:rPr>
                <w:rFonts w:eastAsia="Arial Unicode MS"/>
                <w:u w:color="000000"/>
                <w:bdr w:val="nil"/>
                <w:lang w:val="es-DO" w:eastAsia="es-DO"/>
              </w:rPr>
              <w:t>1,798</w:t>
            </w:r>
          </w:p>
        </w:tc>
      </w:tr>
      <w:tr w:rsidR="005640F1" w:rsidRPr="005640F1" w14:paraId="181FD198" w14:textId="77777777" w:rsidTr="00C63E5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48B2DF" w14:textId="02FD591D" w:rsidR="005640F1" w:rsidRPr="000E1A7F" w:rsidRDefault="005640F1" w:rsidP="006B204A">
            <w:pPr>
              <w:spacing w:after="0" w:line="360" w:lineRule="auto"/>
              <w:rPr>
                <w:rFonts w:eastAsia="Arial Unicode MS"/>
                <w:b/>
                <w:bCs/>
                <w:u w:color="000000"/>
                <w:bdr w:val="nil"/>
                <w:lang w:val="es-DO" w:eastAsia="es-DO"/>
              </w:rPr>
            </w:pPr>
            <w:r w:rsidRPr="000E1A7F">
              <w:rPr>
                <w:rFonts w:eastAsia="Arial Unicode MS"/>
                <w:b/>
                <w:bCs/>
                <w:u w:color="000000"/>
                <w:bdr w:val="nil"/>
                <w:lang w:val="es-DO" w:eastAsia="es-DO"/>
              </w:rPr>
              <w:t>Redes Sociales</w:t>
            </w:r>
          </w:p>
        </w:tc>
        <w:tc>
          <w:tcPr>
            <w:tcW w:w="281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A02CA83" w14:textId="4C5056D2" w:rsidR="005640F1" w:rsidRPr="005640F1" w:rsidRDefault="005640F1" w:rsidP="006B204A">
            <w:pPr>
              <w:spacing w:after="0" w:line="360" w:lineRule="auto"/>
              <w:jc w:val="center"/>
              <w:rPr>
                <w:rFonts w:eastAsia="Arial Unicode MS"/>
                <w:u w:color="000000"/>
                <w:bdr w:val="nil"/>
                <w:lang w:val="es-DO" w:eastAsia="es-DO"/>
              </w:rPr>
            </w:pPr>
            <w:r w:rsidRPr="005640F1">
              <w:rPr>
                <w:rFonts w:eastAsia="Arial Unicode MS"/>
                <w:u w:color="000000"/>
                <w:bdr w:val="nil"/>
                <w:lang w:val="es-DO" w:eastAsia="es-DO"/>
              </w:rPr>
              <w:t>2,623</w:t>
            </w:r>
          </w:p>
        </w:tc>
      </w:tr>
      <w:tr w:rsidR="005640F1" w:rsidRPr="005640F1" w14:paraId="12CBFB26" w14:textId="77777777" w:rsidTr="00C63E5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7B88212" w14:textId="411F935A" w:rsidR="005640F1" w:rsidRPr="000E1A7F" w:rsidRDefault="005640F1" w:rsidP="006B204A">
            <w:pPr>
              <w:spacing w:after="0" w:line="360" w:lineRule="auto"/>
              <w:rPr>
                <w:rFonts w:eastAsia="Arial Unicode MS"/>
                <w:b/>
                <w:bCs/>
                <w:u w:color="000000"/>
                <w:bdr w:val="nil"/>
                <w:lang w:val="es-DO" w:eastAsia="es-DO"/>
              </w:rPr>
            </w:pPr>
            <w:r w:rsidRPr="000E1A7F">
              <w:rPr>
                <w:rFonts w:eastAsia="Arial Unicode MS"/>
                <w:b/>
                <w:bCs/>
                <w:u w:color="000000"/>
                <w:bdr w:val="nil"/>
                <w:lang w:val="es-DO" w:eastAsia="es-DO"/>
              </w:rPr>
              <w:t>Atención Virtual</w:t>
            </w:r>
          </w:p>
        </w:tc>
        <w:tc>
          <w:tcPr>
            <w:tcW w:w="281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C62BBD1" w14:textId="7364C519" w:rsidR="005640F1" w:rsidRPr="005640F1" w:rsidRDefault="005640F1" w:rsidP="006B204A">
            <w:pPr>
              <w:spacing w:after="0" w:line="360" w:lineRule="auto"/>
              <w:jc w:val="center"/>
              <w:rPr>
                <w:rFonts w:eastAsia="Arial Unicode MS"/>
                <w:u w:color="000000"/>
                <w:bdr w:val="nil"/>
                <w:lang w:val="es-DO" w:eastAsia="es-DO"/>
              </w:rPr>
            </w:pPr>
            <w:r w:rsidRPr="005640F1">
              <w:rPr>
                <w:rFonts w:eastAsia="Arial Unicode MS"/>
                <w:u w:color="000000"/>
                <w:bdr w:val="nil"/>
                <w:lang w:val="es-DO" w:eastAsia="es-DO"/>
              </w:rPr>
              <w:t>433</w:t>
            </w:r>
          </w:p>
        </w:tc>
      </w:tr>
      <w:tr w:rsidR="005640F1" w:rsidRPr="005640F1" w14:paraId="78D2ABDC" w14:textId="77777777" w:rsidTr="00C63E5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1F3864"/>
            <w:vAlign w:val="center"/>
            <w:hideMark/>
          </w:tcPr>
          <w:p w14:paraId="366E9974" w14:textId="26C7467E" w:rsidR="005640F1" w:rsidRPr="00944068" w:rsidRDefault="005640F1" w:rsidP="006B204A">
            <w:pPr>
              <w:spacing w:after="0" w:line="360" w:lineRule="auto"/>
              <w:rPr>
                <w:rFonts w:eastAsia="Arial Unicode MS"/>
                <w:b/>
                <w:color w:val="FFFFFF" w:themeColor="background1"/>
                <w:u w:color="000000"/>
                <w:bdr w:val="nil"/>
                <w:lang w:val="es-DO" w:eastAsia="es-DO"/>
              </w:rPr>
            </w:pPr>
            <w:r w:rsidRPr="00944068">
              <w:rPr>
                <w:rFonts w:eastAsia="Arial Unicode MS"/>
                <w:b/>
                <w:color w:val="FFFFFF" w:themeColor="background1"/>
                <w:u w:color="000000"/>
                <w:bdr w:val="nil"/>
                <w:lang w:val="es-DO" w:eastAsia="es-DO"/>
              </w:rPr>
              <w:t>Canales de autoservicio</w:t>
            </w:r>
          </w:p>
        </w:tc>
        <w:tc>
          <w:tcPr>
            <w:tcW w:w="2811" w:type="dxa"/>
            <w:tcBorders>
              <w:top w:val="single" w:sz="6" w:space="0" w:color="auto"/>
              <w:left w:val="single" w:sz="6" w:space="0" w:color="auto"/>
              <w:bottom w:val="single" w:sz="6" w:space="0" w:color="auto"/>
              <w:right w:val="single" w:sz="6" w:space="0" w:color="auto"/>
            </w:tcBorders>
            <w:shd w:val="clear" w:color="auto" w:fill="1F3864"/>
            <w:vAlign w:val="center"/>
            <w:hideMark/>
          </w:tcPr>
          <w:p w14:paraId="4C01B6E7" w14:textId="4A47279B" w:rsidR="005640F1" w:rsidRPr="00944068" w:rsidRDefault="005640F1" w:rsidP="006B204A">
            <w:pPr>
              <w:spacing w:after="0" w:line="360" w:lineRule="auto"/>
              <w:jc w:val="center"/>
              <w:rPr>
                <w:rFonts w:eastAsia="Arial Unicode MS"/>
                <w:b/>
                <w:color w:val="FFFFFF" w:themeColor="background1"/>
                <w:u w:color="000000"/>
                <w:bdr w:val="nil"/>
                <w:lang w:val="es-DO" w:eastAsia="es-DO"/>
              </w:rPr>
            </w:pPr>
            <w:r w:rsidRPr="00944068">
              <w:rPr>
                <w:rFonts w:eastAsia="Arial Unicode MS"/>
                <w:b/>
                <w:color w:val="FFFFFF" w:themeColor="background1"/>
                <w:u w:color="000000"/>
                <w:bdr w:val="nil"/>
                <w:lang w:val="es-DO" w:eastAsia="es-DO"/>
              </w:rPr>
              <w:t>Usuarios atendidos</w:t>
            </w:r>
          </w:p>
        </w:tc>
      </w:tr>
      <w:tr w:rsidR="005640F1" w:rsidRPr="005640F1" w14:paraId="0B230414" w14:textId="77777777" w:rsidTr="00C63E5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517FEFF" w14:textId="7BEA5560" w:rsidR="005640F1" w:rsidRPr="000E1A7F" w:rsidRDefault="005640F1" w:rsidP="006B204A">
            <w:pPr>
              <w:spacing w:after="0" w:line="360" w:lineRule="auto"/>
              <w:rPr>
                <w:rFonts w:eastAsia="Arial Unicode MS"/>
                <w:b/>
                <w:bCs/>
                <w:u w:color="000000"/>
                <w:bdr w:val="nil"/>
                <w:lang w:val="es-DO" w:eastAsia="es-DO"/>
              </w:rPr>
            </w:pPr>
            <w:r w:rsidRPr="000E1A7F">
              <w:rPr>
                <w:rFonts w:eastAsia="Arial Unicode MS"/>
                <w:b/>
                <w:bCs/>
                <w:u w:color="000000"/>
                <w:bdr w:val="nil"/>
                <w:lang w:val="es-DO" w:eastAsia="es-DO"/>
              </w:rPr>
              <w:t>Sistema de IVR (consulta estatus de caso)</w:t>
            </w:r>
          </w:p>
        </w:tc>
        <w:tc>
          <w:tcPr>
            <w:tcW w:w="281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49E6204" w14:textId="67DA4978" w:rsidR="005640F1" w:rsidRPr="005640F1" w:rsidRDefault="005640F1" w:rsidP="006B204A">
            <w:pPr>
              <w:spacing w:after="0" w:line="360" w:lineRule="auto"/>
              <w:jc w:val="center"/>
              <w:rPr>
                <w:rFonts w:eastAsia="Arial Unicode MS"/>
                <w:u w:color="000000"/>
                <w:bdr w:val="nil"/>
                <w:lang w:val="es-DO" w:eastAsia="es-DO"/>
              </w:rPr>
            </w:pPr>
            <w:r w:rsidRPr="005640F1">
              <w:rPr>
                <w:rFonts w:eastAsia="Arial Unicode MS"/>
                <w:u w:color="000000"/>
                <w:bdr w:val="nil"/>
                <w:lang w:val="es-DO" w:eastAsia="es-DO"/>
              </w:rPr>
              <w:t>6,261</w:t>
            </w:r>
          </w:p>
        </w:tc>
      </w:tr>
      <w:tr w:rsidR="005640F1" w:rsidRPr="005640F1" w14:paraId="53658D20" w14:textId="77777777" w:rsidTr="00C63E5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96037D3" w14:textId="3C417BB4" w:rsidR="005640F1" w:rsidRPr="000E1A7F" w:rsidRDefault="005640F1" w:rsidP="006B204A">
            <w:pPr>
              <w:spacing w:after="0" w:line="360" w:lineRule="auto"/>
              <w:rPr>
                <w:rFonts w:eastAsia="Arial Unicode MS"/>
                <w:b/>
                <w:bCs/>
                <w:u w:color="000000"/>
                <w:bdr w:val="nil"/>
                <w:lang w:val="es-DO" w:eastAsia="es-DO"/>
              </w:rPr>
            </w:pPr>
            <w:r w:rsidRPr="000E1A7F">
              <w:rPr>
                <w:rFonts w:eastAsia="Arial Unicode MS"/>
                <w:b/>
                <w:bCs/>
                <w:u w:color="000000"/>
                <w:bdr w:val="nil"/>
                <w:lang w:val="es-DO" w:eastAsia="es-DO"/>
              </w:rPr>
              <w:t>Página web (consulta estatus de caso)</w:t>
            </w:r>
          </w:p>
        </w:tc>
        <w:tc>
          <w:tcPr>
            <w:tcW w:w="281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B4A7B35" w14:textId="37336C94" w:rsidR="005640F1" w:rsidRPr="005640F1" w:rsidRDefault="005640F1" w:rsidP="006B204A">
            <w:pPr>
              <w:spacing w:after="0" w:line="360" w:lineRule="auto"/>
              <w:jc w:val="center"/>
              <w:rPr>
                <w:rFonts w:eastAsia="Arial Unicode MS"/>
                <w:u w:color="000000"/>
                <w:bdr w:val="nil"/>
                <w:lang w:val="es-DO" w:eastAsia="es-DO"/>
              </w:rPr>
            </w:pPr>
            <w:r w:rsidRPr="005640F1">
              <w:rPr>
                <w:rFonts w:eastAsia="Arial Unicode MS"/>
                <w:u w:color="000000"/>
                <w:bdr w:val="nil"/>
                <w:lang w:val="es-DO" w:eastAsia="es-DO"/>
              </w:rPr>
              <w:t>5,313</w:t>
            </w:r>
          </w:p>
        </w:tc>
      </w:tr>
      <w:tr w:rsidR="005640F1" w:rsidRPr="005640F1" w14:paraId="460AF1A5" w14:textId="77777777" w:rsidTr="00C63E59">
        <w:trPr>
          <w:trHeight w:val="300"/>
        </w:trPr>
        <w:tc>
          <w:tcPr>
            <w:tcW w:w="509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9E3DB8A" w14:textId="4AD9287B" w:rsidR="005640F1" w:rsidRPr="000E1A7F" w:rsidRDefault="005640F1" w:rsidP="006B204A">
            <w:pPr>
              <w:spacing w:after="0" w:line="360" w:lineRule="auto"/>
              <w:rPr>
                <w:rFonts w:eastAsia="Arial Unicode MS"/>
                <w:b/>
                <w:bCs/>
                <w:u w:color="000000"/>
                <w:bdr w:val="nil"/>
                <w:lang w:val="es-DO" w:eastAsia="es-DO"/>
              </w:rPr>
            </w:pPr>
            <w:r w:rsidRPr="000E1A7F">
              <w:rPr>
                <w:rFonts w:eastAsia="Arial Unicode MS"/>
                <w:b/>
                <w:bCs/>
                <w:u w:color="000000"/>
                <w:bdr w:val="nil"/>
                <w:lang w:val="es-DO" w:eastAsia="es-DO"/>
              </w:rPr>
              <w:t>ChatBot Lucía (página web y WhatsApp)</w:t>
            </w:r>
          </w:p>
        </w:tc>
        <w:tc>
          <w:tcPr>
            <w:tcW w:w="281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56A31F2" w14:textId="07F2D1CD" w:rsidR="005640F1" w:rsidRPr="005640F1" w:rsidRDefault="005640F1" w:rsidP="006B204A">
            <w:pPr>
              <w:spacing w:after="0" w:line="360" w:lineRule="auto"/>
              <w:jc w:val="center"/>
              <w:rPr>
                <w:rFonts w:eastAsia="Arial Unicode MS"/>
                <w:u w:color="000000"/>
                <w:bdr w:val="nil"/>
                <w:lang w:val="es-DO" w:eastAsia="es-DO"/>
              </w:rPr>
            </w:pPr>
            <w:r w:rsidRPr="005640F1">
              <w:rPr>
                <w:rFonts w:eastAsia="Arial Unicode MS"/>
                <w:u w:color="000000"/>
                <w:bdr w:val="nil"/>
                <w:lang w:val="es-DO" w:eastAsia="es-DO"/>
              </w:rPr>
              <w:t>79,755</w:t>
            </w:r>
          </w:p>
        </w:tc>
      </w:tr>
      <w:tr w:rsidR="005640F1" w:rsidRPr="005640F1" w14:paraId="744A6C05" w14:textId="77777777" w:rsidTr="00C63E59">
        <w:trPr>
          <w:trHeight w:val="300"/>
        </w:trPr>
        <w:tc>
          <w:tcPr>
            <w:tcW w:w="5095" w:type="dxa"/>
            <w:tcBorders>
              <w:top w:val="single" w:sz="6" w:space="0" w:color="auto"/>
              <w:left w:val="single" w:sz="6" w:space="0" w:color="auto"/>
              <w:bottom w:val="single" w:sz="6" w:space="0" w:color="auto"/>
              <w:right w:val="single" w:sz="6" w:space="0" w:color="000000"/>
            </w:tcBorders>
            <w:shd w:val="clear" w:color="auto" w:fill="1F3864"/>
            <w:vAlign w:val="center"/>
            <w:hideMark/>
          </w:tcPr>
          <w:p w14:paraId="2CE533E3" w14:textId="09675428" w:rsidR="005640F1" w:rsidRPr="00944068" w:rsidRDefault="005640F1" w:rsidP="006B204A">
            <w:pPr>
              <w:spacing w:after="0" w:line="360" w:lineRule="auto"/>
              <w:rPr>
                <w:rFonts w:eastAsia="Arial Unicode MS"/>
                <w:b/>
                <w:color w:val="FFFFFF" w:themeColor="background1"/>
                <w:u w:color="000000"/>
                <w:bdr w:val="nil"/>
                <w:lang w:val="es-DO" w:eastAsia="es-DO"/>
              </w:rPr>
            </w:pPr>
            <w:r w:rsidRPr="00944068">
              <w:rPr>
                <w:rFonts w:eastAsia="Arial Unicode MS"/>
                <w:b/>
                <w:color w:val="FFFFFF" w:themeColor="background1"/>
                <w:u w:color="000000"/>
                <w:bdr w:val="nil"/>
                <w:lang w:val="es-DO" w:eastAsia="es-DO"/>
              </w:rPr>
              <w:t>Total</w:t>
            </w:r>
          </w:p>
        </w:tc>
        <w:tc>
          <w:tcPr>
            <w:tcW w:w="2811" w:type="dxa"/>
            <w:tcBorders>
              <w:top w:val="single" w:sz="6" w:space="0" w:color="auto"/>
              <w:left w:val="single" w:sz="6" w:space="0" w:color="auto"/>
              <w:bottom w:val="single" w:sz="6" w:space="0" w:color="auto"/>
              <w:right w:val="single" w:sz="6" w:space="0" w:color="000000"/>
            </w:tcBorders>
            <w:shd w:val="clear" w:color="auto" w:fill="1F3864"/>
            <w:vAlign w:val="center"/>
            <w:hideMark/>
          </w:tcPr>
          <w:p w14:paraId="70046959" w14:textId="5C143C3A" w:rsidR="005640F1" w:rsidRPr="00944068" w:rsidRDefault="005640F1" w:rsidP="006B204A">
            <w:pPr>
              <w:spacing w:after="0" w:line="360" w:lineRule="auto"/>
              <w:jc w:val="center"/>
              <w:rPr>
                <w:rFonts w:eastAsia="Arial Unicode MS"/>
                <w:color w:val="FFFFFF" w:themeColor="background1"/>
                <w:u w:color="000000"/>
                <w:bdr w:val="nil"/>
                <w:lang w:val="es-DO" w:eastAsia="es-DO"/>
              </w:rPr>
            </w:pPr>
            <w:r w:rsidRPr="00944068">
              <w:rPr>
                <w:rFonts w:eastAsia="Arial Unicode MS"/>
                <w:b/>
                <w:color w:val="FFFFFF" w:themeColor="background1"/>
                <w:u w:color="000000"/>
                <w:bdr w:val="nil"/>
                <w:lang w:val="es-DO" w:eastAsia="es-DO"/>
              </w:rPr>
              <w:t>165,138</w:t>
            </w:r>
          </w:p>
        </w:tc>
      </w:tr>
    </w:tbl>
    <w:p w14:paraId="661F0336" w14:textId="697D0409" w:rsidR="005640F1" w:rsidRPr="000E1A7F" w:rsidRDefault="005640F1" w:rsidP="006B204A">
      <w:pPr>
        <w:spacing w:line="360" w:lineRule="auto"/>
        <w:jc w:val="center"/>
        <w:rPr>
          <w:rFonts w:eastAsia="Arial Unicode MS"/>
          <w:u w:color="000000"/>
          <w:bdr w:val="nil"/>
          <w:lang w:val="es-DO" w:eastAsia="es-DO"/>
        </w:rPr>
      </w:pPr>
      <w:r w:rsidRPr="000E1A7F">
        <w:rPr>
          <w:rFonts w:eastAsia="Arial Unicode MS"/>
          <w:b/>
          <w:bCs/>
          <w:u w:color="000000"/>
          <w:bdr w:val="nil"/>
          <w:lang w:val="es-DO" w:eastAsia="es-DO"/>
        </w:rPr>
        <w:t>Fuente</w:t>
      </w:r>
      <w:r w:rsidRPr="000E1A7F">
        <w:rPr>
          <w:rFonts w:eastAsia="Arial Unicode MS"/>
          <w:u w:color="000000"/>
          <w:bdr w:val="nil"/>
          <w:lang w:val="es-DO" w:eastAsia="es-DO"/>
        </w:rPr>
        <w:t>: Oficina de ProUsuario. Superintendencia de Bancos de la República Dominicana. 2023.</w:t>
      </w:r>
    </w:p>
    <w:p w14:paraId="5F5DB32C" w14:textId="33DF42AC" w:rsidR="005640F1" w:rsidRPr="005640F1" w:rsidRDefault="005640F1" w:rsidP="006B204A">
      <w:pPr>
        <w:spacing w:line="360" w:lineRule="auto"/>
        <w:jc w:val="both"/>
        <w:rPr>
          <w:rFonts w:eastAsia="Arial Unicode MS"/>
          <w:u w:color="000000"/>
          <w:bdr w:val="nil"/>
          <w:lang w:val="es-DO" w:eastAsia="es-DO"/>
        </w:rPr>
      </w:pPr>
      <w:r w:rsidRPr="005640F1">
        <w:rPr>
          <w:rFonts w:eastAsia="Arial Unicode MS"/>
          <w:u w:color="000000"/>
          <w:bdr w:val="nil"/>
          <w:lang w:val="es-ES" w:eastAsia="es-DO"/>
        </w:rPr>
        <w:t> </w:t>
      </w:r>
      <w:r w:rsidRPr="005640F1">
        <w:rPr>
          <w:rFonts w:eastAsia="Arial Unicode MS"/>
          <w:u w:color="000000"/>
          <w:bdr w:val="nil"/>
          <w:lang w:val="es-DO" w:eastAsia="es-DO"/>
        </w:rPr>
        <w:t xml:space="preserve">La atención brindada ha sido bien valorada por </w:t>
      </w:r>
      <w:r w:rsidR="000E1A7F" w:rsidRPr="005640F1">
        <w:rPr>
          <w:rFonts w:eastAsia="Arial Unicode MS"/>
          <w:u w:color="000000"/>
          <w:bdr w:val="nil"/>
          <w:lang w:val="es-DO" w:eastAsia="es-DO"/>
        </w:rPr>
        <w:t>los usuarios</w:t>
      </w:r>
      <w:r w:rsidRPr="005640F1">
        <w:rPr>
          <w:rFonts w:eastAsia="Arial Unicode MS"/>
          <w:u w:color="000000"/>
          <w:bdr w:val="nil"/>
          <w:lang w:val="es-DO" w:eastAsia="es-DO"/>
        </w:rPr>
        <w:t xml:space="preserve"> asistidos, obteniendo un promedio mensual de satisfacción de 93%. Esto, según lo indicado por las dieciocho mil doscientas ochenta (18,280) encuestas completadas por </w:t>
      </w:r>
      <w:r w:rsidR="000E1A7F" w:rsidRPr="005640F1">
        <w:rPr>
          <w:rFonts w:eastAsia="Arial Unicode MS"/>
          <w:u w:color="000000"/>
          <w:bdr w:val="nil"/>
          <w:lang w:val="es-DO" w:eastAsia="es-DO"/>
        </w:rPr>
        <w:t>usuarios</w:t>
      </w:r>
      <w:r w:rsidRPr="005640F1">
        <w:rPr>
          <w:rFonts w:eastAsia="Arial Unicode MS"/>
          <w:u w:color="000000"/>
          <w:bdr w:val="nil"/>
          <w:lang w:val="es-DO" w:eastAsia="es-DO"/>
        </w:rPr>
        <w:t>, luego de recibir nuestros servicios en los canales de atención.  </w:t>
      </w:r>
    </w:p>
    <w:p w14:paraId="71C32567" w14:textId="09C72553" w:rsidR="005640F1" w:rsidRPr="005640F1" w:rsidRDefault="005640F1" w:rsidP="006B204A">
      <w:pPr>
        <w:spacing w:line="360" w:lineRule="auto"/>
        <w:jc w:val="both"/>
        <w:rPr>
          <w:rFonts w:eastAsia="Arial Unicode MS"/>
          <w:u w:color="000000"/>
          <w:bdr w:val="nil"/>
          <w:lang w:val="es-DO" w:eastAsia="es-DO"/>
        </w:rPr>
      </w:pPr>
      <w:r w:rsidRPr="005640F1">
        <w:rPr>
          <w:rFonts w:eastAsia="Arial Unicode MS"/>
          <w:u w:color="000000"/>
          <w:bdr w:val="nil"/>
          <w:lang w:val="es-DO" w:eastAsia="es-DO"/>
        </w:rPr>
        <w:t xml:space="preserve">Se incorporaron dos funcionalidades nuevas en la aplicación ProUsuario. Entre ellos se encuentra el comparativo de indicadores, lanzado en el mes de julio 2023, que forma parte de la Consulta Crediticia, la cual permite que los usuarios y usuarias comparen </w:t>
      </w:r>
      <w:r w:rsidRPr="005640F1">
        <w:rPr>
          <w:rFonts w:eastAsia="Arial Unicode MS"/>
          <w:u w:color="000000"/>
          <w:bdr w:val="nil"/>
          <w:lang w:val="es-DO" w:eastAsia="es-DO"/>
        </w:rPr>
        <w:lastRenderedPageBreak/>
        <w:t>algunos de sus indicadores financieros contra el promedio del resto de la población general o</w:t>
      </w:r>
      <w:r w:rsidR="002516BB">
        <w:rPr>
          <w:rFonts w:eastAsia="Arial Unicode MS"/>
          <w:u w:color="000000"/>
          <w:bdr w:val="nil"/>
          <w:lang w:val="es-DO" w:eastAsia="es-DO"/>
        </w:rPr>
        <w:t xml:space="preserve"> contra</w:t>
      </w:r>
      <w:r w:rsidRPr="005640F1">
        <w:rPr>
          <w:rFonts w:eastAsia="Arial Unicode MS"/>
          <w:u w:color="000000"/>
          <w:bdr w:val="nil"/>
          <w:lang w:val="es-DO" w:eastAsia="es-DO"/>
        </w:rPr>
        <w:t xml:space="preserve"> los usuarios y usuarias que tienen características demográficas similares a ellos. </w:t>
      </w:r>
      <w:r w:rsidR="004F7497" w:rsidRPr="005640F1">
        <w:rPr>
          <w:rFonts w:eastAsia="Arial Unicode MS"/>
          <w:u w:color="000000"/>
          <w:bdr w:val="nil"/>
          <w:lang w:val="es-DO" w:eastAsia="es-DO"/>
        </w:rPr>
        <w:t>Asimismo</w:t>
      </w:r>
      <w:r w:rsidRPr="005640F1">
        <w:rPr>
          <w:rFonts w:eastAsia="Arial Unicode MS"/>
          <w:u w:color="000000"/>
          <w:bdr w:val="nil"/>
          <w:lang w:val="es-DO" w:eastAsia="es-DO"/>
        </w:rPr>
        <w:t xml:space="preserve">, se </w:t>
      </w:r>
      <w:r w:rsidR="0096138C">
        <w:rPr>
          <w:rFonts w:eastAsia="Arial Unicode MS"/>
          <w:u w:color="000000"/>
          <w:bdr w:val="nil"/>
          <w:lang w:val="es-DO" w:eastAsia="es-DO"/>
        </w:rPr>
        <w:t>agregó la funcionalidad de</w:t>
      </w:r>
      <w:r w:rsidR="00E327A1">
        <w:rPr>
          <w:rFonts w:eastAsia="Arial Unicode MS"/>
          <w:u w:color="000000"/>
          <w:bdr w:val="nil"/>
          <w:lang w:val="es-DO" w:eastAsia="es-DO"/>
        </w:rPr>
        <w:t>l</w:t>
      </w:r>
      <w:r w:rsidRPr="005640F1">
        <w:rPr>
          <w:rFonts w:eastAsia="Arial Unicode MS"/>
          <w:u w:color="000000"/>
          <w:bdr w:val="nil"/>
          <w:lang w:val="es-DO" w:eastAsia="es-DO"/>
        </w:rPr>
        <w:t xml:space="preserve"> mapa bancario, el cual permite a </w:t>
      </w:r>
      <w:r w:rsidR="000E1A7F" w:rsidRPr="005640F1">
        <w:rPr>
          <w:rFonts w:eastAsia="Arial Unicode MS"/>
          <w:u w:color="000000"/>
          <w:bdr w:val="nil"/>
          <w:lang w:val="es-DO" w:eastAsia="es-DO"/>
        </w:rPr>
        <w:t>los usuarios</w:t>
      </w:r>
      <w:r w:rsidRPr="005640F1">
        <w:rPr>
          <w:rFonts w:eastAsia="Arial Unicode MS"/>
          <w:u w:color="000000"/>
          <w:bdr w:val="nil"/>
          <w:lang w:val="es-DO" w:eastAsia="es-DO"/>
        </w:rPr>
        <w:t xml:space="preserve"> explorar las ubicaciones y horarios de todas las sucursales, cajeros automáticos y subagentes bancarios. </w:t>
      </w:r>
    </w:p>
    <w:p w14:paraId="667EE005" w14:textId="07D625FA" w:rsidR="005640F1" w:rsidRPr="005640F1" w:rsidRDefault="005640F1" w:rsidP="006B204A">
      <w:pPr>
        <w:spacing w:line="360" w:lineRule="auto"/>
        <w:jc w:val="both"/>
        <w:rPr>
          <w:rFonts w:eastAsia="Arial Unicode MS"/>
          <w:u w:color="000000"/>
          <w:bdr w:val="nil"/>
          <w:lang w:val="es-DO" w:eastAsia="es-DO"/>
        </w:rPr>
      </w:pPr>
      <w:r w:rsidRPr="005640F1">
        <w:rPr>
          <w:rFonts w:eastAsia="Arial Unicode MS"/>
          <w:u w:color="000000"/>
          <w:bdr w:val="nil"/>
          <w:lang w:val="es-DO" w:eastAsia="es-DO"/>
        </w:rPr>
        <w:t xml:space="preserve">Cabe destacar que, al 15 de noviembre 2023 la aplicación ProUsuario ha alcanzado doscientos veinte y tres mil novecientos uno (223,901) </w:t>
      </w:r>
      <w:r w:rsidR="000E1A7F" w:rsidRPr="005640F1">
        <w:rPr>
          <w:rFonts w:eastAsia="Arial Unicode MS"/>
          <w:u w:color="000000"/>
          <w:bdr w:val="nil"/>
          <w:lang w:val="es-DO" w:eastAsia="es-DO"/>
        </w:rPr>
        <w:t>usuarios</w:t>
      </w:r>
      <w:r w:rsidRPr="005640F1">
        <w:rPr>
          <w:rFonts w:eastAsia="Arial Unicode MS"/>
          <w:u w:color="000000"/>
          <w:bdr w:val="nil"/>
          <w:lang w:val="es-DO" w:eastAsia="es-DO"/>
        </w:rPr>
        <w:t xml:space="preserve"> financieros registrados </w:t>
      </w:r>
      <w:r w:rsidR="00BE3649">
        <w:rPr>
          <w:rFonts w:eastAsia="Arial Unicode MS"/>
          <w:u w:color="000000"/>
          <w:bdr w:val="nil"/>
          <w:lang w:val="es-DO" w:eastAsia="es-DO"/>
        </w:rPr>
        <w:t>y</w:t>
      </w:r>
      <w:r w:rsidRPr="005640F1">
        <w:rPr>
          <w:rFonts w:eastAsia="Arial Unicode MS"/>
          <w:u w:color="000000"/>
          <w:bdr w:val="nil"/>
          <w:lang w:val="es-DO" w:eastAsia="es-DO"/>
        </w:rPr>
        <w:t xml:space="preserve"> sesenta mil treinta y un (60,031) </w:t>
      </w:r>
      <w:r w:rsidR="000E1A7F" w:rsidRPr="005640F1">
        <w:rPr>
          <w:rFonts w:eastAsia="Arial Unicode MS"/>
          <w:u w:color="000000"/>
          <w:bdr w:val="nil"/>
          <w:lang w:val="es-DO" w:eastAsia="es-DO"/>
        </w:rPr>
        <w:t>usuarios</w:t>
      </w:r>
      <w:r w:rsidRPr="005640F1">
        <w:rPr>
          <w:rFonts w:eastAsia="Arial Unicode MS"/>
          <w:u w:color="000000"/>
          <w:bdr w:val="nil"/>
          <w:lang w:val="es-DO" w:eastAsia="es-DO"/>
        </w:rPr>
        <w:t xml:space="preserve"> han logrado identificar cuentas inactivas y abandonadas mediante </w:t>
      </w:r>
      <w:r w:rsidR="000C737F">
        <w:rPr>
          <w:rFonts w:eastAsia="Arial Unicode MS"/>
          <w:u w:color="000000"/>
          <w:bdr w:val="nil"/>
          <w:lang w:val="es-DO" w:eastAsia="es-DO"/>
        </w:rPr>
        <w:t>la misma</w:t>
      </w:r>
      <w:r w:rsidRPr="005640F1">
        <w:rPr>
          <w:rFonts w:eastAsia="Arial Unicode MS"/>
          <w:u w:color="000000"/>
          <w:bdr w:val="nil"/>
          <w:lang w:val="es-DO" w:eastAsia="es-DO"/>
        </w:rPr>
        <w:t>, con fondos que alcanzan un total de RD $67</w:t>
      </w:r>
      <w:r w:rsidR="00EA485F">
        <w:rPr>
          <w:rFonts w:eastAsia="Arial Unicode MS"/>
          <w:u w:color="000000"/>
          <w:bdr w:val="nil"/>
          <w:lang w:val="es-DO" w:eastAsia="es-DO"/>
        </w:rPr>
        <w:t>,</w:t>
      </w:r>
      <w:r w:rsidRPr="005640F1">
        <w:rPr>
          <w:rFonts w:eastAsia="Arial Unicode MS"/>
          <w:u w:color="000000"/>
          <w:bdr w:val="nil"/>
          <w:lang w:val="es-DO" w:eastAsia="es-DO"/>
        </w:rPr>
        <w:t>810 millones.</w:t>
      </w:r>
    </w:p>
    <w:p w14:paraId="6114BEF9" w14:textId="77777777" w:rsidR="005640F1" w:rsidRPr="005640F1" w:rsidRDefault="005640F1" w:rsidP="006B204A">
      <w:pPr>
        <w:spacing w:line="360" w:lineRule="auto"/>
        <w:jc w:val="both"/>
        <w:rPr>
          <w:rFonts w:eastAsia="Arial Unicode MS"/>
          <w:u w:color="000000"/>
          <w:bdr w:val="nil"/>
          <w:lang w:val="es-DO" w:eastAsia="es-DO"/>
        </w:rPr>
      </w:pPr>
      <w:r w:rsidRPr="005640F1">
        <w:rPr>
          <w:rFonts w:eastAsia="Arial Unicode MS"/>
          <w:b/>
          <w:bCs/>
          <w:u w:color="000000"/>
          <w:bdr w:val="nil"/>
          <w:lang w:val="es-DO" w:eastAsia="es-DO"/>
        </w:rPr>
        <w:t>Educación Financiera</w:t>
      </w:r>
      <w:r w:rsidRPr="005640F1">
        <w:rPr>
          <w:rFonts w:eastAsia="Arial Unicode MS"/>
          <w:u w:color="000000"/>
          <w:bdr w:val="nil"/>
          <w:lang w:val="es-DO" w:eastAsia="es-DO"/>
        </w:rPr>
        <w:t> </w:t>
      </w:r>
    </w:p>
    <w:p w14:paraId="73EF3EC1" w14:textId="426F572F" w:rsidR="005640F1" w:rsidRPr="005640F1" w:rsidRDefault="005640F1" w:rsidP="006B204A">
      <w:pPr>
        <w:spacing w:line="360" w:lineRule="auto"/>
        <w:jc w:val="both"/>
        <w:rPr>
          <w:rFonts w:eastAsia="Arial Unicode MS"/>
          <w:bdr w:val="nil"/>
          <w:lang w:val="es-DO" w:eastAsia="es-DO"/>
        </w:rPr>
      </w:pPr>
      <w:r w:rsidRPr="005640F1">
        <w:rPr>
          <w:rFonts w:eastAsia="Arial Unicode MS"/>
          <w:bdr w:val="nil"/>
          <w:lang w:val="es-DO" w:eastAsia="es-DO"/>
        </w:rPr>
        <w:t xml:space="preserve">Dentro de las iniciativas realizadas para promover la educación financiera en la población joven dominicana, se destacó la Ruta Nacional de Educación Financiera bajo el nombre de “Ponte </w:t>
      </w:r>
      <w:bookmarkStart w:id="69" w:name="_Int_h5ayyKIT"/>
      <w:proofErr w:type="spellStart"/>
      <w:r w:rsidRPr="005640F1">
        <w:rPr>
          <w:rFonts w:eastAsia="Arial Unicode MS"/>
          <w:bdr w:val="nil"/>
          <w:lang w:val="es-DO" w:eastAsia="es-DO"/>
        </w:rPr>
        <w:t>pa</w:t>
      </w:r>
      <w:bookmarkEnd w:id="69"/>
      <w:proofErr w:type="spellEnd"/>
      <w:r w:rsidRPr="005640F1">
        <w:rPr>
          <w:rFonts w:eastAsia="Arial Unicode MS"/>
          <w:bdr w:val="nil"/>
          <w:lang w:val="es-DO" w:eastAsia="es-DO"/>
        </w:rPr>
        <w:t xml:space="preserve">´ tus finanzas”. En esta ruta se visitaron 7 Centros de Estudios de las provincias más pobladas del país, </w:t>
      </w:r>
      <w:r w:rsidR="00DF18B3">
        <w:rPr>
          <w:rFonts w:eastAsia="Arial Unicode MS"/>
          <w:bdr w:val="nil"/>
          <w:lang w:val="es-DO" w:eastAsia="es-DO"/>
        </w:rPr>
        <w:t>en los que</w:t>
      </w:r>
      <w:r w:rsidRPr="005640F1">
        <w:rPr>
          <w:rFonts w:eastAsia="Arial Unicode MS"/>
          <w:bdr w:val="nil"/>
          <w:lang w:val="es-DO" w:eastAsia="es-DO"/>
        </w:rPr>
        <w:t xml:space="preserve"> fue impartida una charla magistral de educación financiera impartida por el Superintendente de Bancos, Alejandro Fernández W. y la directora de la Oficina de Servicios y Protección al Usuario (ProUsuario), Natalia Sánchez.</w:t>
      </w:r>
    </w:p>
    <w:p w14:paraId="3C476C52" w14:textId="67B1A215" w:rsidR="005640F1" w:rsidRPr="005640F1" w:rsidRDefault="006860B9" w:rsidP="006B204A">
      <w:pPr>
        <w:spacing w:line="360" w:lineRule="auto"/>
        <w:jc w:val="both"/>
        <w:rPr>
          <w:rFonts w:eastAsia="Arial Unicode MS"/>
          <w:u w:color="000000"/>
          <w:bdr w:val="nil"/>
          <w:lang w:val="es-DO" w:eastAsia="es-DO"/>
        </w:rPr>
      </w:pPr>
      <w:r>
        <w:rPr>
          <w:rFonts w:eastAsia="Arial Unicode MS"/>
          <w:u w:color="000000"/>
          <w:bdr w:val="nil"/>
          <w:lang w:val="es-DO" w:eastAsia="es-DO"/>
        </w:rPr>
        <w:t xml:space="preserve">En adición, de </w:t>
      </w:r>
      <w:r w:rsidR="005640F1" w:rsidRPr="005640F1">
        <w:rPr>
          <w:rFonts w:eastAsia="Arial Unicode MS"/>
          <w:u w:color="000000"/>
          <w:bdr w:val="nil"/>
          <w:lang w:val="es-DO" w:eastAsia="es-DO"/>
        </w:rPr>
        <w:t xml:space="preserve">esta ruta de educación participaron más de mil quinientos (1,500) jóvenes </w:t>
      </w:r>
      <w:r w:rsidR="000827D4">
        <w:rPr>
          <w:rFonts w:eastAsia="Arial Unicode MS"/>
          <w:u w:color="000000"/>
          <w:bdr w:val="nil"/>
          <w:lang w:val="es-DO" w:eastAsia="es-DO"/>
        </w:rPr>
        <w:t>de las siguientes universidades</w:t>
      </w:r>
      <w:r w:rsidR="005640F1" w:rsidRPr="005640F1">
        <w:rPr>
          <w:rFonts w:eastAsia="Arial Unicode MS"/>
          <w:u w:color="000000"/>
          <w:bdr w:val="nil"/>
          <w:lang w:val="es-DO" w:eastAsia="es-DO"/>
        </w:rPr>
        <w:t xml:space="preserve">: Universidad Autónoma de Santo Domingo (UASD) recinto Santo Domingo, Pontificia Universidad Católica Madre y Maestra (PUCMM) recinto Santiago, Universidad Tecnológica de Santiago (UTESA), recinto Moca, Universidad Dominicana Organización y Método (O&amp;M), recinto La Romana, Universidad Federico Henríquez </w:t>
      </w:r>
      <w:r w:rsidR="005640F1" w:rsidRPr="005640F1">
        <w:rPr>
          <w:rFonts w:eastAsia="Arial Unicode MS"/>
          <w:u w:color="000000"/>
          <w:bdr w:val="nil"/>
          <w:lang w:val="es-DO" w:eastAsia="es-DO"/>
        </w:rPr>
        <w:lastRenderedPageBreak/>
        <w:t>y Carvajal (UFHEC), recinto Baní, Universidad Tecnológica de Santiago (UTESA), recinto Puerto Plata, incluyendo además al Instituto Politécnico Loyola San Cristóbal.</w:t>
      </w:r>
    </w:p>
    <w:p w14:paraId="1B136985" w14:textId="77777777" w:rsidR="005640F1" w:rsidRPr="005640F1" w:rsidRDefault="005640F1" w:rsidP="006B204A">
      <w:pPr>
        <w:spacing w:line="360" w:lineRule="auto"/>
        <w:jc w:val="both"/>
        <w:rPr>
          <w:rFonts w:eastAsia="Arial Unicode MS"/>
          <w:u w:color="000000"/>
          <w:bdr w:val="nil"/>
          <w:lang w:val="es-DO" w:eastAsia="es-DO"/>
        </w:rPr>
      </w:pPr>
      <w:r w:rsidRPr="005640F1">
        <w:rPr>
          <w:rFonts w:eastAsia="Arial Unicode MS"/>
          <w:u w:color="000000"/>
          <w:bdr w:val="nil"/>
          <w:lang w:val="es-DO" w:eastAsia="es-DO"/>
        </w:rPr>
        <w:t>En el 2023, ProUsuario mantuvo su participación en la Semana Económica Financiera del Banco Central, celebrada en el mes de marzo. En la cual se impartieron tres (3) charlas presenciales, dos (2) en Santo Domingo y una (1) en Santiago, las cuales tuvieron un alcance total de doscientos diez (210) jóvenes.  Adicionalmente, se realizó el programa mensual de charlas virtuales de Educación Financiera, donde se han impartido ocho (8) charlas, con un total consolidado de quinientos setenta y cinco (575) asistentes al 15 de noviembre.  </w:t>
      </w:r>
    </w:p>
    <w:p w14:paraId="52C3E417" w14:textId="745BE4F1" w:rsidR="005640F1" w:rsidRPr="005640F1" w:rsidRDefault="005640F1" w:rsidP="006B204A">
      <w:pPr>
        <w:spacing w:line="360" w:lineRule="auto"/>
        <w:jc w:val="both"/>
        <w:rPr>
          <w:rFonts w:eastAsia="Arial Unicode MS"/>
          <w:u w:color="000000"/>
          <w:bdr w:val="nil"/>
          <w:lang w:val="es-DO" w:eastAsia="es-DO"/>
        </w:rPr>
      </w:pPr>
      <w:r w:rsidRPr="005640F1">
        <w:rPr>
          <w:rFonts w:eastAsia="Arial Unicode MS"/>
          <w:u w:color="000000"/>
          <w:bdr w:val="nil"/>
          <w:lang w:val="es-DO" w:eastAsia="es-DO"/>
        </w:rPr>
        <w:t>Adicionalmente, bajo el acuerdo de colaboración realizado con el programa "Supérate", para fines de realizar aportes en materia de inclusión y educación financiera este año se dio continuidad al programa de visitas educativas a la Sala de Matemáticas de la Biblioteca Infantil y Juvenil República Dominicana, beneficiando a Cuatrocientos (480) niños y jóvenes pertenecientes a familias del Programa “Supérate”, que están recibiendo instrucción e interactuando en el espacio educativo.</w:t>
      </w:r>
    </w:p>
    <w:p w14:paraId="401218DA" w14:textId="251CA3B3" w:rsidR="005640F1" w:rsidRPr="005640F1" w:rsidRDefault="005640F1" w:rsidP="006B204A">
      <w:pPr>
        <w:spacing w:line="360" w:lineRule="auto"/>
        <w:jc w:val="both"/>
        <w:rPr>
          <w:rFonts w:eastAsia="Arial Unicode MS"/>
          <w:u w:color="000000"/>
          <w:bdr w:val="nil"/>
          <w:lang w:val="es-DO" w:eastAsia="es-DO"/>
        </w:rPr>
      </w:pPr>
      <w:r w:rsidRPr="005640F1">
        <w:rPr>
          <w:rFonts w:eastAsia="Arial Unicode MS"/>
          <w:u w:color="000000"/>
          <w:bdr w:val="nil"/>
          <w:lang w:val="es-DO" w:eastAsia="es-DO"/>
        </w:rPr>
        <w:t xml:space="preserve">Así mismo, </w:t>
      </w:r>
      <w:r w:rsidR="00F1076B">
        <w:rPr>
          <w:rFonts w:eastAsia="Arial Unicode MS"/>
          <w:u w:color="000000"/>
          <w:bdr w:val="nil"/>
          <w:lang w:val="es-DO" w:eastAsia="es-DO"/>
        </w:rPr>
        <w:t>e</w:t>
      </w:r>
      <w:r w:rsidR="00F1076B" w:rsidRPr="005640F1">
        <w:rPr>
          <w:rFonts w:eastAsia="Arial Unicode MS"/>
          <w:u w:color="000000"/>
          <w:bdr w:val="nil"/>
          <w:lang w:val="es-DO" w:eastAsia="es-DO"/>
        </w:rPr>
        <w:t xml:space="preserve">n el marco </w:t>
      </w:r>
      <w:r w:rsidR="00F1076B">
        <w:rPr>
          <w:rFonts w:eastAsia="Arial Unicode MS"/>
          <w:u w:color="000000"/>
          <w:bdr w:val="nil"/>
          <w:lang w:val="es-DO" w:eastAsia="es-DO"/>
        </w:rPr>
        <w:t>de</w:t>
      </w:r>
      <w:r w:rsidRPr="005640F1">
        <w:rPr>
          <w:rFonts w:eastAsia="Arial Unicode MS"/>
          <w:u w:color="000000"/>
          <w:bdr w:val="nil"/>
          <w:lang w:val="es-DO" w:eastAsia="es-DO"/>
        </w:rPr>
        <w:t xml:space="preserve"> la Feria Internacional del Libro de Santo Domingo</w:t>
      </w:r>
      <w:r w:rsidR="00026BFD">
        <w:rPr>
          <w:rFonts w:eastAsia="Arial Unicode MS"/>
          <w:u w:color="000000"/>
          <w:bdr w:val="nil"/>
          <w:lang w:val="es-DO" w:eastAsia="es-DO"/>
        </w:rPr>
        <w:t>,</w:t>
      </w:r>
      <w:r w:rsidRPr="005640F1">
        <w:rPr>
          <w:rFonts w:eastAsia="Arial Unicode MS"/>
          <w:u w:color="000000"/>
          <w:bdr w:val="nil"/>
          <w:lang w:val="es-DO" w:eastAsia="es-DO"/>
        </w:rPr>
        <w:t xml:space="preserve"> se presentó el libro “Guía Básica de Finanzas para Jóvenes”. Esta publicación digital e impresa invita al lector a tomar decisiones informadas sobre sus finanzas, destacando entre sus temas principales: la disciplina del ahorro, la planificación financiera del futuro, y la mejora en el manejo de los recursos económicos. Desde su lanzamiento, se han realizado doce mil trescientas tres (12,303) descargas de la edición digital del libro, adicionales a los mil cuatrocientos (1,400) libros distribuidos de forma impresa.  </w:t>
      </w:r>
    </w:p>
    <w:p w14:paraId="4E2E34D9" w14:textId="46067D51" w:rsidR="005640F1" w:rsidRPr="005640F1" w:rsidRDefault="005640F1" w:rsidP="006B204A">
      <w:pPr>
        <w:spacing w:line="360" w:lineRule="auto"/>
        <w:jc w:val="both"/>
        <w:rPr>
          <w:rFonts w:eastAsia="Arial Unicode MS"/>
          <w:u w:color="000000"/>
          <w:bdr w:val="nil"/>
          <w:lang w:val="es-DO" w:eastAsia="es-DO"/>
        </w:rPr>
      </w:pPr>
      <w:r w:rsidRPr="005640F1">
        <w:rPr>
          <w:rFonts w:eastAsia="Arial Unicode MS"/>
          <w:u w:color="000000"/>
          <w:bdr w:val="nil"/>
          <w:lang w:val="es-DO" w:eastAsia="es-DO"/>
        </w:rPr>
        <w:lastRenderedPageBreak/>
        <w:t xml:space="preserve">Asimismo, en este 2023 se ha continuado la difusión del reporte “La Súper Te Escucha”, el cual aporta a las entidades supervisadas información relevante para la mejora de sus servicios. Este reporte incluye analíticas sobre las menciones positivas y negativas que realizan </w:t>
      </w:r>
      <w:r w:rsidR="00691E2D" w:rsidRPr="005640F1">
        <w:rPr>
          <w:rFonts w:eastAsia="Arial Unicode MS"/>
          <w:u w:color="000000"/>
          <w:bdr w:val="nil"/>
          <w:lang w:val="es-DO" w:eastAsia="es-DO"/>
        </w:rPr>
        <w:t>los usuarios</w:t>
      </w:r>
      <w:r w:rsidRPr="005640F1">
        <w:rPr>
          <w:rFonts w:eastAsia="Arial Unicode MS"/>
          <w:u w:color="000000"/>
          <w:bdr w:val="nil"/>
          <w:lang w:val="es-DO" w:eastAsia="es-DO"/>
        </w:rPr>
        <w:t xml:space="preserve"> financieros en la red de Twitter sobre las 4 entidades más grandes del sistema. En el reporte se incluyen las estadísticas de las reclamaciones recibidas en la Oficina de ProUsuario sobre estas entidades. </w:t>
      </w:r>
    </w:p>
    <w:p w14:paraId="5DAE38B4" w14:textId="082BB9C1" w:rsidR="005640F1" w:rsidRPr="005640F1" w:rsidRDefault="005640F1" w:rsidP="006B204A">
      <w:pPr>
        <w:spacing w:line="360" w:lineRule="auto"/>
        <w:jc w:val="both"/>
        <w:rPr>
          <w:rFonts w:eastAsia="Arial Unicode MS"/>
          <w:u w:color="000000"/>
          <w:bdr w:val="nil"/>
          <w:lang w:val="es-DO" w:eastAsia="es-DO"/>
        </w:rPr>
      </w:pPr>
      <w:r w:rsidRPr="005640F1">
        <w:rPr>
          <w:rFonts w:eastAsia="Arial Unicode MS"/>
          <w:u w:color="000000"/>
          <w:bdr w:val="nil"/>
          <w:lang w:val="es-DO" w:eastAsia="es-DO"/>
        </w:rPr>
        <w:t xml:space="preserve">El envío de boletines de ProUsuario </w:t>
      </w:r>
      <w:r w:rsidR="002F7794">
        <w:rPr>
          <w:rFonts w:eastAsia="Arial Unicode MS"/>
          <w:u w:color="000000"/>
          <w:bdr w:val="nil"/>
          <w:lang w:val="es-DO" w:eastAsia="es-DO"/>
        </w:rPr>
        <w:t xml:space="preserve">ha propiciado que los usuarios se </w:t>
      </w:r>
      <w:r w:rsidRPr="005640F1">
        <w:rPr>
          <w:rFonts w:eastAsia="Arial Unicode MS"/>
          <w:u w:color="000000"/>
          <w:bdr w:val="nil"/>
          <w:lang w:val="es-DO" w:eastAsia="es-DO"/>
        </w:rPr>
        <w:t>manten</w:t>
      </w:r>
      <w:r w:rsidR="002F7794">
        <w:rPr>
          <w:rFonts w:eastAsia="Arial Unicode MS"/>
          <w:u w:color="000000"/>
          <w:bdr w:val="nil"/>
          <w:lang w:val="es-DO" w:eastAsia="es-DO"/>
        </w:rPr>
        <w:t>gan informados</w:t>
      </w:r>
      <w:r w:rsidRPr="005640F1">
        <w:rPr>
          <w:rFonts w:eastAsia="Arial Unicode MS"/>
          <w:u w:color="000000"/>
          <w:bdr w:val="nil"/>
          <w:lang w:val="es-DO" w:eastAsia="es-DO"/>
        </w:rPr>
        <w:t xml:space="preserve"> </w:t>
      </w:r>
      <w:r w:rsidR="00AB1D7E">
        <w:rPr>
          <w:rFonts w:eastAsia="Arial Unicode MS"/>
          <w:u w:color="000000"/>
          <w:bdr w:val="nil"/>
          <w:lang w:val="es-DO" w:eastAsia="es-DO"/>
        </w:rPr>
        <w:t>sobre</w:t>
      </w:r>
      <w:r w:rsidRPr="005640F1">
        <w:rPr>
          <w:rFonts w:eastAsia="Arial Unicode MS"/>
          <w:u w:color="000000"/>
          <w:bdr w:val="nil"/>
          <w:lang w:val="es-DO" w:eastAsia="es-DO"/>
        </w:rPr>
        <w:t xml:space="preserve"> las últimas actualizaciones</w:t>
      </w:r>
      <w:r w:rsidR="00AB1D7E">
        <w:rPr>
          <w:rFonts w:eastAsia="Arial Unicode MS"/>
          <w:u w:color="000000"/>
          <w:bdr w:val="nil"/>
          <w:lang w:val="es-DO" w:eastAsia="es-DO"/>
        </w:rPr>
        <w:t xml:space="preserve"> e </w:t>
      </w:r>
      <w:r w:rsidRPr="005640F1">
        <w:rPr>
          <w:rFonts w:eastAsia="Arial Unicode MS"/>
          <w:u w:color="000000"/>
          <w:bdr w:val="nil"/>
          <w:lang w:val="es-DO" w:eastAsia="es-DO"/>
        </w:rPr>
        <w:t xml:space="preserve">iniciativas relevantes </w:t>
      </w:r>
      <w:r w:rsidR="00AB1D7E">
        <w:rPr>
          <w:rFonts w:eastAsia="Arial Unicode MS"/>
          <w:u w:color="000000"/>
          <w:bdr w:val="nil"/>
          <w:lang w:val="es-DO" w:eastAsia="es-DO"/>
        </w:rPr>
        <w:t>en materia de</w:t>
      </w:r>
      <w:r w:rsidRPr="005640F1">
        <w:rPr>
          <w:rFonts w:eastAsia="Arial Unicode MS"/>
          <w:u w:color="000000"/>
          <w:bdr w:val="nil"/>
          <w:lang w:val="es-DO" w:eastAsia="es-DO"/>
        </w:rPr>
        <w:t xml:space="preserve"> educación financiera. En total se ha logrado una cifra de treinta mil ciento dieciocho (30,118) correos informativos leídos al 15 de noviembre de 2023. </w:t>
      </w:r>
    </w:p>
    <w:p w14:paraId="7FC2435A" w14:textId="4FCE80AF" w:rsidR="005640F1" w:rsidRPr="005640F1" w:rsidRDefault="00E6620B" w:rsidP="006B204A">
      <w:pPr>
        <w:spacing w:line="360" w:lineRule="auto"/>
        <w:jc w:val="both"/>
        <w:rPr>
          <w:rFonts w:eastAsia="Arial Unicode MS"/>
          <w:u w:color="000000"/>
          <w:bdr w:val="nil"/>
          <w:lang w:val="es-DO" w:eastAsia="es-DO"/>
        </w:rPr>
      </w:pPr>
      <w:r>
        <w:rPr>
          <w:rFonts w:eastAsia="Arial Unicode MS"/>
          <w:u w:color="000000"/>
          <w:bdr w:val="nil"/>
          <w:lang w:val="es-DO" w:eastAsia="es-DO"/>
        </w:rPr>
        <w:t>Hasta el</w:t>
      </w:r>
      <w:r w:rsidR="005640F1" w:rsidRPr="005640F1">
        <w:rPr>
          <w:rFonts w:eastAsia="Arial Unicode MS"/>
          <w:u w:color="000000"/>
          <w:bdr w:val="nil"/>
          <w:lang w:val="es-DO" w:eastAsia="es-DO"/>
        </w:rPr>
        <w:t xml:space="preserve"> 15 de noviembre 2023, la página web de ProUsuario ha totalizado 16 millones de visitas. Comparado con el mismo período del año 2022, esta cifra representa un crecimiento de un 82%. La sección dedicada a los contenidos de educación financiera presenta un crecimiento</w:t>
      </w:r>
      <w:r w:rsidR="00AB1D7E">
        <w:rPr>
          <w:rFonts w:eastAsia="Arial Unicode MS"/>
          <w:u w:color="000000"/>
          <w:bdr w:val="nil"/>
          <w:lang w:val="es-DO" w:eastAsia="es-DO"/>
        </w:rPr>
        <w:t xml:space="preserve"> interanual</w:t>
      </w:r>
      <w:r w:rsidR="005640F1" w:rsidRPr="005640F1">
        <w:rPr>
          <w:rFonts w:eastAsia="Arial Unicode MS"/>
          <w:u w:color="000000"/>
          <w:bdr w:val="nil"/>
          <w:lang w:val="es-DO" w:eastAsia="es-DO"/>
        </w:rPr>
        <w:t xml:space="preserve"> de más de un trescientos cuarenta y ocho por ciento (348%) en las visitas recibidas. </w:t>
      </w:r>
      <w:r w:rsidR="00AB1D7E">
        <w:rPr>
          <w:rFonts w:eastAsia="Arial Unicode MS"/>
          <w:u w:color="000000"/>
          <w:bdr w:val="nil"/>
          <w:lang w:val="es-DO" w:eastAsia="es-DO"/>
        </w:rPr>
        <w:t xml:space="preserve">Por su parte, </w:t>
      </w:r>
      <w:r w:rsidR="0073582B">
        <w:rPr>
          <w:rFonts w:eastAsia="Arial Unicode MS"/>
          <w:u w:color="000000"/>
          <w:bdr w:val="nil"/>
          <w:lang w:val="es-DO" w:eastAsia="es-DO"/>
        </w:rPr>
        <w:t>la nueva funcionalidad</w:t>
      </w:r>
      <w:r w:rsidR="002166C6">
        <w:rPr>
          <w:rFonts w:eastAsia="Arial Unicode MS"/>
          <w:u w:color="000000"/>
          <w:bdr w:val="nil"/>
          <w:lang w:val="es-DO" w:eastAsia="es-DO"/>
        </w:rPr>
        <w:t xml:space="preserve"> de la web ProUsuario,</w:t>
      </w:r>
      <w:r w:rsidR="0073582B">
        <w:rPr>
          <w:rFonts w:eastAsia="Arial Unicode MS"/>
          <w:u w:color="000000"/>
          <w:bdr w:val="nil"/>
          <w:lang w:val="es-DO" w:eastAsia="es-DO"/>
        </w:rPr>
        <w:t xml:space="preserve"> </w:t>
      </w:r>
      <w:r w:rsidR="00CC6A9B">
        <w:rPr>
          <w:rFonts w:eastAsia="Arial Unicode MS"/>
          <w:u w:color="000000"/>
          <w:bdr w:val="nil"/>
          <w:lang w:val="es-DO" w:eastAsia="es-DO"/>
        </w:rPr>
        <w:t>Mapa de Puntos de Acceso Bancario</w:t>
      </w:r>
      <w:r w:rsidR="002166C6">
        <w:rPr>
          <w:rFonts w:eastAsia="Arial Unicode MS"/>
          <w:u w:color="000000"/>
          <w:bdr w:val="nil"/>
          <w:lang w:val="es-DO" w:eastAsia="es-DO"/>
        </w:rPr>
        <w:t xml:space="preserve">, ha tenido más de tres mil </w:t>
      </w:r>
      <w:r w:rsidR="00613E6E">
        <w:rPr>
          <w:rFonts w:eastAsia="Arial Unicode MS"/>
          <w:u w:color="000000"/>
          <w:bdr w:val="nil"/>
          <w:lang w:val="es-DO" w:eastAsia="es-DO"/>
        </w:rPr>
        <w:t>seiscientos</w:t>
      </w:r>
      <w:r w:rsidR="002166C6">
        <w:rPr>
          <w:rFonts w:eastAsia="Arial Unicode MS"/>
          <w:u w:color="000000"/>
          <w:bdr w:val="nil"/>
          <w:lang w:val="es-DO" w:eastAsia="es-DO"/>
        </w:rPr>
        <w:t xml:space="preserve"> veinte (3,610) visitas </w:t>
      </w:r>
      <w:r w:rsidR="008A243B">
        <w:rPr>
          <w:rFonts w:eastAsia="Arial Unicode MS"/>
          <w:u w:color="000000"/>
          <w:bdr w:val="nil"/>
          <w:lang w:val="es-DO" w:eastAsia="es-DO"/>
        </w:rPr>
        <w:t>desde su lanzamiento</w:t>
      </w:r>
      <w:r w:rsidR="00613E6E">
        <w:rPr>
          <w:rFonts w:eastAsia="Arial Unicode MS"/>
          <w:u w:color="000000"/>
          <w:bdr w:val="nil"/>
          <w:lang w:val="es-DO" w:eastAsia="es-DO"/>
        </w:rPr>
        <w:t>.</w:t>
      </w:r>
    </w:p>
    <w:p w14:paraId="5A9EDE76" w14:textId="38B34917" w:rsidR="005640F1" w:rsidRPr="005640F1" w:rsidRDefault="005640F1" w:rsidP="006B204A">
      <w:pPr>
        <w:spacing w:line="360" w:lineRule="auto"/>
        <w:jc w:val="both"/>
        <w:rPr>
          <w:rFonts w:eastAsia="Arial Unicode MS"/>
          <w:u w:color="000000"/>
          <w:bdr w:val="nil"/>
          <w:lang w:val="es-DO" w:eastAsia="es-DO"/>
        </w:rPr>
      </w:pPr>
      <w:r w:rsidRPr="005640F1">
        <w:rPr>
          <w:rFonts w:eastAsia="Arial Unicode MS"/>
          <w:b/>
          <w:bCs/>
          <w:u w:color="000000"/>
          <w:bdr w:val="nil"/>
          <w:lang w:val="es-DO" w:eastAsia="es-DO"/>
        </w:rPr>
        <w:t xml:space="preserve">Protección de los Derechos de los </w:t>
      </w:r>
      <w:r w:rsidR="00124266">
        <w:rPr>
          <w:rFonts w:eastAsia="Arial Unicode MS"/>
          <w:b/>
          <w:bCs/>
          <w:u w:color="000000"/>
          <w:bdr w:val="nil"/>
          <w:lang w:val="es-DO" w:eastAsia="es-DO"/>
        </w:rPr>
        <w:t>u</w:t>
      </w:r>
      <w:r w:rsidR="00124266" w:rsidRPr="005640F1">
        <w:rPr>
          <w:rFonts w:eastAsia="Arial Unicode MS"/>
          <w:b/>
          <w:bCs/>
          <w:u w:color="000000"/>
          <w:bdr w:val="nil"/>
          <w:lang w:val="es-DO" w:eastAsia="es-DO"/>
        </w:rPr>
        <w:t>suarios</w:t>
      </w:r>
      <w:r w:rsidRPr="005640F1">
        <w:rPr>
          <w:rFonts w:eastAsia="Arial Unicode MS"/>
          <w:u w:color="000000"/>
          <w:bdr w:val="nil"/>
          <w:lang w:val="es-DO" w:eastAsia="es-DO"/>
        </w:rPr>
        <w:t> </w:t>
      </w:r>
    </w:p>
    <w:p w14:paraId="1BC93DFE" w14:textId="144E9916" w:rsidR="005640F1" w:rsidRPr="005640F1" w:rsidRDefault="00B73323" w:rsidP="006B204A">
      <w:pPr>
        <w:spacing w:line="360" w:lineRule="auto"/>
        <w:jc w:val="both"/>
        <w:rPr>
          <w:rFonts w:eastAsia="Arial Unicode MS"/>
          <w:u w:color="000000"/>
          <w:bdr w:val="nil"/>
          <w:lang w:val="es-DO" w:eastAsia="es-DO"/>
        </w:rPr>
      </w:pPr>
      <w:r>
        <w:rPr>
          <w:rFonts w:eastAsia="Arial Unicode MS"/>
          <w:u w:color="000000"/>
          <w:bdr w:val="nil"/>
          <w:lang w:val="es-DO" w:eastAsia="es-DO"/>
        </w:rPr>
        <w:t>Al mes de noviembre del presente año</w:t>
      </w:r>
      <w:r w:rsidR="005640F1" w:rsidRPr="005640F1">
        <w:rPr>
          <w:rFonts w:eastAsia="Arial Unicode MS"/>
          <w:u w:color="000000"/>
          <w:bdr w:val="nil"/>
          <w:lang w:val="es-DO" w:eastAsia="es-DO"/>
        </w:rPr>
        <w:t xml:space="preserve">, la Superintendencia de Bancos, a través de ProUsuario, gestionó un total de cuatro mil trescientos noventa y tres (4,393) casos (Reclamaciones y Recursos de Reconsideraciones), manteniéndose dentro de un margen 2% de diferencia frente a la cantidad recibida en el mismo período del año </w:t>
      </w:r>
      <w:r w:rsidR="005640F1" w:rsidRPr="005640F1">
        <w:rPr>
          <w:rFonts w:eastAsia="Arial Unicode MS"/>
          <w:u w:color="000000"/>
          <w:bdr w:val="nil"/>
          <w:lang w:val="es-DO" w:eastAsia="es-DO"/>
        </w:rPr>
        <w:lastRenderedPageBreak/>
        <w:t>2022. De los casos despachados, el tiempo de respuesta para cada caso promedió 35 días, representando una reducción</w:t>
      </w:r>
      <w:r w:rsidR="001A1F5F">
        <w:rPr>
          <w:rFonts w:eastAsia="Arial Unicode MS"/>
          <w:u w:color="000000"/>
          <w:bdr w:val="nil"/>
          <w:lang w:val="es-DO" w:eastAsia="es-DO"/>
        </w:rPr>
        <w:t xml:space="preserve"> interanual</w:t>
      </w:r>
      <w:r w:rsidR="005640F1" w:rsidRPr="005640F1">
        <w:rPr>
          <w:rFonts w:eastAsia="Arial Unicode MS"/>
          <w:u w:color="000000"/>
          <w:bdr w:val="nil"/>
          <w:lang w:val="es-DO" w:eastAsia="es-DO"/>
        </w:rPr>
        <w:t xml:space="preserve"> de 5 días, </w:t>
      </w:r>
      <w:r w:rsidR="00E162C8">
        <w:rPr>
          <w:rFonts w:eastAsia="Arial Unicode MS"/>
          <w:u w:color="000000"/>
          <w:bdr w:val="nil"/>
          <w:lang w:val="es-DO" w:eastAsia="es-DO"/>
        </w:rPr>
        <w:t xml:space="preserve">un logro </w:t>
      </w:r>
      <w:r w:rsidR="00004487">
        <w:rPr>
          <w:rFonts w:eastAsia="Arial Unicode MS"/>
          <w:u w:color="000000"/>
          <w:bdr w:val="nil"/>
          <w:lang w:val="es-DO" w:eastAsia="es-DO"/>
        </w:rPr>
        <w:t xml:space="preserve">considerable si se toma en consideración que </w:t>
      </w:r>
      <w:r w:rsidR="005640F1" w:rsidRPr="005640F1">
        <w:rPr>
          <w:rFonts w:eastAsia="Arial Unicode MS"/>
          <w:u w:color="000000"/>
          <w:bdr w:val="nil"/>
          <w:lang w:val="es-DO" w:eastAsia="es-DO"/>
        </w:rPr>
        <w:t xml:space="preserve">el plazo reglamentario </w:t>
      </w:r>
      <w:r w:rsidR="00004487">
        <w:rPr>
          <w:rFonts w:eastAsia="Arial Unicode MS"/>
          <w:u w:color="000000"/>
          <w:bdr w:val="nil"/>
          <w:lang w:val="es-DO" w:eastAsia="es-DO"/>
        </w:rPr>
        <w:t xml:space="preserve">es </w:t>
      </w:r>
      <w:r w:rsidR="005640F1" w:rsidRPr="005640F1">
        <w:rPr>
          <w:rFonts w:eastAsia="Arial Unicode MS"/>
          <w:u w:color="000000"/>
          <w:bdr w:val="nil"/>
          <w:lang w:val="es-DO" w:eastAsia="es-DO"/>
        </w:rPr>
        <w:t>de 60 días.</w:t>
      </w:r>
    </w:p>
    <w:p w14:paraId="706D3BAE" w14:textId="24D6D866" w:rsidR="005640F1" w:rsidRPr="005640F1" w:rsidRDefault="005640F1" w:rsidP="006B204A">
      <w:pPr>
        <w:spacing w:line="360" w:lineRule="auto"/>
        <w:jc w:val="both"/>
        <w:rPr>
          <w:rFonts w:eastAsia="Arial Unicode MS"/>
          <w:u w:color="000000"/>
          <w:bdr w:val="nil"/>
          <w:lang w:val="es-DO" w:eastAsia="es-DO"/>
        </w:rPr>
      </w:pPr>
      <w:r w:rsidRPr="005640F1">
        <w:rPr>
          <w:rFonts w:eastAsia="Arial Unicode MS"/>
          <w:u w:color="000000"/>
          <w:bdr w:val="nil"/>
          <w:lang w:val="es-DO" w:eastAsia="es-DO"/>
        </w:rPr>
        <w:t xml:space="preserve">Del total de las reclamaciones respondidas en el período, dos mil ochocientas diez (2,810) correspondieron a respuestas favorables para el usuario, representando un 64% del total de las respuestas. </w:t>
      </w:r>
      <w:r w:rsidR="00550AD2">
        <w:rPr>
          <w:rFonts w:eastAsia="Arial Unicode MS"/>
          <w:u w:color="000000"/>
          <w:bdr w:val="nil"/>
          <w:lang w:val="es-DO" w:eastAsia="es-DO"/>
        </w:rPr>
        <w:t>En</w:t>
      </w:r>
      <w:r w:rsidR="0053355B">
        <w:rPr>
          <w:rFonts w:eastAsia="Arial Unicode MS"/>
          <w:u w:color="000000"/>
          <w:bdr w:val="nil"/>
          <w:lang w:val="es-DO" w:eastAsia="es-DO"/>
        </w:rPr>
        <w:t xml:space="preserve"> consecuencia, </w:t>
      </w:r>
      <w:r w:rsidRPr="005640F1">
        <w:rPr>
          <w:rFonts w:eastAsia="Arial Unicode MS"/>
          <w:u w:color="000000"/>
          <w:bdr w:val="nil"/>
          <w:lang w:val="es-DO" w:eastAsia="es-DO"/>
        </w:rPr>
        <w:t>ciento treinta millones setecientos setenta y ocho mil ochocientos cincuenta y ocho pesos con 26/100 (</w:t>
      </w:r>
      <w:r w:rsidR="00E87E5B">
        <w:rPr>
          <w:rFonts w:eastAsia="Arial Unicode MS"/>
          <w:u w:color="000000"/>
          <w:bdr w:val="nil"/>
          <w:lang w:val="es-DO" w:eastAsia="es-DO"/>
        </w:rPr>
        <w:t>RD$</w:t>
      </w:r>
      <w:r w:rsidRPr="005640F1">
        <w:rPr>
          <w:rFonts w:eastAsia="Arial Unicode MS"/>
          <w:u w:color="000000"/>
          <w:bdr w:val="nil"/>
          <w:lang w:val="es-DO" w:eastAsia="es-DO"/>
        </w:rPr>
        <w:t>130,778,858.26)</w:t>
      </w:r>
      <w:r w:rsidR="007E1418">
        <w:rPr>
          <w:rFonts w:eastAsia="Arial Unicode MS"/>
          <w:u w:color="000000"/>
          <w:bdr w:val="nil"/>
          <w:lang w:val="es-DO" w:eastAsia="es-DO"/>
        </w:rPr>
        <w:t xml:space="preserve"> fueron</w:t>
      </w:r>
      <w:r w:rsidRPr="005640F1">
        <w:rPr>
          <w:rFonts w:eastAsia="Arial Unicode MS"/>
          <w:u w:color="000000"/>
          <w:bdr w:val="nil"/>
          <w:lang w:val="es-DO" w:eastAsia="es-DO"/>
        </w:rPr>
        <w:t xml:space="preserve"> instruidos a ser acreditados en beneficio de los usuarios reclamantes</w:t>
      </w:r>
      <w:r w:rsidR="00DB5C34">
        <w:rPr>
          <w:rFonts w:eastAsia="Arial Unicode MS"/>
          <w:u w:color="000000"/>
          <w:bdr w:val="nil"/>
          <w:lang w:val="es-DO" w:eastAsia="es-DO"/>
        </w:rPr>
        <w:t xml:space="preserve">, lo cual representa un </w:t>
      </w:r>
      <w:r w:rsidRPr="005640F1">
        <w:rPr>
          <w:rFonts w:eastAsia="Arial Unicode MS"/>
          <w:u w:color="000000"/>
          <w:bdr w:val="nil"/>
          <w:lang w:val="es-DO" w:eastAsia="es-DO"/>
        </w:rPr>
        <w:t xml:space="preserve">incremento </w:t>
      </w:r>
      <w:r w:rsidR="00DB5C34">
        <w:rPr>
          <w:rFonts w:eastAsia="Arial Unicode MS"/>
          <w:u w:color="000000"/>
          <w:bdr w:val="nil"/>
          <w:lang w:val="es-DO" w:eastAsia="es-DO"/>
        </w:rPr>
        <w:t xml:space="preserve">interanual </w:t>
      </w:r>
      <w:r w:rsidRPr="005640F1">
        <w:rPr>
          <w:rFonts w:eastAsia="Arial Unicode MS"/>
          <w:u w:color="000000"/>
          <w:bdr w:val="nil"/>
          <w:lang w:val="es-DO" w:eastAsia="es-DO"/>
        </w:rPr>
        <w:t xml:space="preserve">de 34% </w:t>
      </w:r>
      <w:r w:rsidR="00DB5C34">
        <w:rPr>
          <w:rFonts w:eastAsia="Arial Unicode MS"/>
          <w:u w:color="000000"/>
          <w:bdr w:val="nil"/>
          <w:lang w:val="es-DO" w:eastAsia="es-DO"/>
        </w:rPr>
        <w:t>con relación al año anterior</w:t>
      </w:r>
      <w:r w:rsidRPr="005640F1">
        <w:rPr>
          <w:rFonts w:eastAsia="Arial Unicode MS"/>
          <w:u w:color="000000"/>
          <w:bdr w:val="nil"/>
          <w:lang w:val="es-DO" w:eastAsia="es-DO"/>
        </w:rPr>
        <w:t>. </w:t>
      </w:r>
      <w:r w:rsidR="009054A4">
        <w:rPr>
          <w:rFonts w:eastAsia="Arial Unicode MS"/>
          <w:u w:color="000000"/>
          <w:bdr w:val="nil"/>
          <w:lang w:val="es-DO" w:eastAsia="es-DO"/>
        </w:rPr>
        <w:t>E</w:t>
      </w:r>
      <w:r w:rsidRPr="005640F1">
        <w:rPr>
          <w:rFonts w:eastAsia="Arial Unicode MS"/>
          <w:u w:color="000000"/>
          <w:bdr w:val="nil"/>
          <w:lang w:val="es-DO" w:eastAsia="es-DO"/>
        </w:rPr>
        <w:t xml:space="preserve">l nivel de favorabilidad en las decisiones </w:t>
      </w:r>
      <w:r w:rsidR="009054A4">
        <w:rPr>
          <w:rFonts w:eastAsia="Arial Unicode MS"/>
          <w:u w:color="000000"/>
          <w:bdr w:val="nil"/>
          <w:lang w:val="es-DO" w:eastAsia="es-DO"/>
        </w:rPr>
        <w:t>fue igual para ambos sexos</w:t>
      </w:r>
      <w:r w:rsidRPr="005640F1">
        <w:rPr>
          <w:rFonts w:eastAsia="Arial Unicode MS"/>
          <w:u w:color="000000"/>
          <w:bdr w:val="nil"/>
          <w:lang w:val="es-DO" w:eastAsia="es-DO"/>
        </w:rPr>
        <w:t xml:space="preserve">, lo </w:t>
      </w:r>
      <w:r w:rsidR="003A5396">
        <w:rPr>
          <w:rFonts w:eastAsia="Arial Unicode MS"/>
          <w:u w:color="000000"/>
          <w:bdr w:val="nil"/>
          <w:lang w:val="es-DO" w:eastAsia="es-DO"/>
        </w:rPr>
        <w:t>que</w:t>
      </w:r>
      <w:r w:rsidRPr="005640F1">
        <w:rPr>
          <w:rFonts w:eastAsia="Arial Unicode MS"/>
          <w:u w:color="000000"/>
          <w:bdr w:val="nil"/>
          <w:lang w:val="es-DO" w:eastAsia="es-DO"/>
        </w:rPr>
        <w:t xml:space="preserve"> </w:t>
      </w:r>
      <w:r w:rsidR="009054A4">
        <w:rPr>
          <w:rFonts w:eastAsia="Arial Unicode MS"/>
          <w:u w:color="000000"/>
          <w:bdr w:val="nil"/>
          <w:lang w:val="es-DO" w:eastAsia="es-DO"/>
        </w:rPr>
        <w:t>de</w:t>
      </w:r>
      <w:r w:rsidRPr="005640F1">
        <w:rPr>
          <w:rFonts w:eastAsia="Arial Unicode MS"/>
          <w:u w:color="000000"/>
          <w:bdr w:val="nil"/>
          <w:lang w:val="es-DO" w:eastAsia="es-DO"/>
        </w:rPr>
        <w:t xml:space="preserve">muestra </w:t>
      </w:r>
      <w:r w:rsidR="003A5396">
        <w:rPr>
          <w:rFonts w:eastAsia="Arial Unicode MS"/>
          <w:u w:color="000000"/>
          <w:bdr w:val="nil"/>
          <w:lang w:val="es-DO" w:eastAsia="es-DO"/>
        </w:rPr>
        <w:t xml:space="preserve">ausencia de </w:t>
      </w:r>
      <w:r w:rsidR="00B620D4">
        <w:rPr>
          <w:rFonts w:eastAsia="Arial Unicode MS"/>
          <w:u w:color="000000"/>
          <w:bdr w:val="nil"/>
          <w:lang w:val="es-DO" w:eastAsia="es-DO"/>
        </w:rPr>
        <w:t xml:space="preserve">preferencias o sesgos por parte de ProUsuario a </w:t>
      </w:r>
      <w:r w:rsidR="00CD58E2">
        <w:rPr>
          <w:rFonts w:eastAsia="Arial Unicode MS"/>
          <w:u w:color="000000"/>
          <w:bdr w:val="nil"/>
          <w:lang w:val="es-DO" w:eastAsia="es-DO"/>
        </w:rPr>
        <w:t xml:space="preserve">la hora </w:t>
      </w:r>
      <w:r w:rsidR="002A59A2">
        <w:rPr>
          <w:rFonts w:eastAsia="Arial Unicode MS"/>
          <w:u w:color="000000"/>
          <w:bdr w:val="nil"/>
          <w:lang w:val="es-DO" w:eastAsia="es-DO"/>
        </w:rPr>
        <w:t>procesar las</w:t>
      </w:r>
      <w:r w:rsidRPr="005640F1">
        <w:rPr>
          <w:rFonts w:eastAsia="Arial Unicode MS"/>
          <w:u w:color="000000"/>
          <w:bdr w:val="nil"/>
          <w:lang w:val="es-DO" w:eastAsia="es-DO"/>
        </w:rPr>
        <w:t xml:space="preserve"> reclamaciones</w:t>
      </w:r>
      <w:r w:rsidR="00F5067A">
        <w:rPr>
          <w:rFonts w:eastAsia="Arial Unicode MS"/>
          <w:u w:color="000000"/>
          <w:bdr w:val="nil"/>
          <w:lang w:val="es-DO" w:eastAsia="es-DO"/>
        </w:rPr>
        <w:t>.</w:t>
      </w:r>
    </w:p>
    <w:p w14:paraId="29977680" w14:textId="40393CCD" w:rsidR="005640F1" w:rsidRPr="005640F1" w:rsidRDefault="005640F1" w:rsidP="006B204A">
      <w:pPr>
        <w:spacing w:line="360" w:lineRule="auto"/>
        <w:jc w:val="both"/>
        <w:rPr>
          <w:rFonts w:eastAsia="Arial Unicode MS"/>
          <w:u w:color="000000"/>
          <w:bdr w:val="nil"/>
          <w:lang w:val="es-DO" w:eastAsia="es-DO"/>
        </w:rPr>
      </w:pPr>
      <w:r w:rsidRPr="005640F1">
        <w:rPr>
          <w:rFonts w:eastAsia="Arial Unicode MS"/>
          <w:u w:color="000000"/>
          <w:bdr w:val="nil"/>
          <w:lang w:val="es-DO" w:eastAsia="es-DO"/>
        </w:rPr>
        <w:t xml:space="preserve">En lo que respecta a Recursos Jerárquicos interpuestos por ante la Junta Monetaria (JM), órgano </w:t>
      </w:r>
      <w:r w:rsidR="000B7B92">
        <w:rPr>
          <w:rFonts w:eastAsia="Arial Unicode MS"/>
          <w:u w:color="000000"/>
          <w:bdr w:val="nil"/>
          <w:lang w:val="es-DO" w:eastAsia="es-DO"/>
        </w:rPr>
        <w:t>superior</w:t>
      </w:r>
      <w:r w:rsidRPr="005640F1">
        <w:rPr>
          <w:rFonts w:eastAsia="Arial Unicode MS"/>
          <w:u w:color="000000"/>
          <w:bdr w:val="nil"/>
          <w:lang w:val="es-DO" w:eastAsia="es-DO"/>
        </w:rPr>
        <w:t xml:space="preserve"> de la Superintendencia de Bancos, </w:t>
      </w:r>
      <w:r w:rsidR="00A02A0F">
        <w:rPr>
          <w:rFonts w:eastAsia="Arial Unicode MS"/>
          <w:u w:color="000000"/>
          <w:bdr w:val="nil"/>
          <w:lang w:val="es-DO" w:eastAsia="es-DO"/>
        </w:rPr>
        <w:t xml:space="preserve">de </w:t>
      </w:r>
      <w:r w:rsidRPr="005640F1">
        <w:rPr>
          <w:rFonts w:eastAsia="Arial Unicode MS"/>
          <w:u w:color="000000"/>
          <w:bdr w:val="nil"/>
          <w:lang w:val="es-DO" w:eastAsia="es-DO"/>
        </w:rPr>
        <w:t xml:space="preserve">veinticinco (25) Recursos Jerárquicos conocidos </w:t>
      </w:r>
      <w:r w:rsidR="00A02A0F">
        <w:rPr>
          <w:rFonts w:eastAsia="Arial Unicode MS"/>
          <w:u w:color="000000"/>
          <w:bdr w:val="nil"/>
          <w:lang w:val="es-DO" w:eastAsia="es-DO"/>
        </w:rPr>
        <w:t>noviembre del presente año</w:t>
      </w:r>
      <w:r w:rsidRPr="005640F1">
        <w:rPr>
          <w:rFonts w:eastAsia="Arial Unicode MS"/>
          <w:u w:color="000000"/>
          <w:bdr w:val="nil"/>
          <w:lang w:val="es-DO" w:eastAsia="es-DO"/>
        </w:rPr>
        <w:t>, trece (13) han sido confirmad</w:t>
      </w:r>
      <w:r w:rsidR="00C53781">
        <w:rPr>
          <w:rFonts w:eastAsia="Arial Unicode MS"/>
          <w:u w:color="000000"/>
          <w:bdr w:val="nil"/>
          <w:lang w:val="es-DO" w:eastAsia="es-DO"/>
        </w:rPr>
        <w:t>o</w:t>
      </w:r>
      <w:r w:rsidRPr="005640F1">
        <w:rPr>
          <w:rFonts w:eastAsia="Arial Unicode MS"/>
          <w:u w:color="000000"/>
          <w:bdr w:val="nil"/>
          <w:lang w:val="es-DO" w:eastAsia="es-DO"/>
        </w:rPr>
        <w:t xml:space="preserve">s, cinco (5) revocadas o modificadas, </w:t>
      </w:r>
      <w:r w:rsidR="00D57466" w:rsidRPr="005640F1">
        <w:rPr>
          <w:rFonts w:eastAsia="Arial Unicode MS"/>
          <w:u w:color="000000"/>
          <w:bdr w:val="nil"/>
          <w:lang w:val="es-DO" w:eastAsia="es-DO"/>
        </w:rPr>
        <w:t>cinco (5) casos declarados inadmisibles / incompetencia y dos (2) desestimadas</w:t>
      </w:r>
      <w:r w:rsidR="00682865">
        <w:rPr>
          <w:rFonts w:eastAsia="Arial Unicode MS"/>
          <w:u w:color="000000"/>
          <w:bdr w:val="nil"/>
          <w:lang w:val="es-DO" w:eastAsia="es-DO"/>
        </w:rPr>
        <w:t>.</w:t>
      </w:r>
      <w:r w:rsidRPr="005640F1">
        <w:rPr>
          <w:rFonts w:eastAsia="Arial Unicode MS"/>
          <w:u w:color="000000"/>
          <w:bdr w:val="nil"/>
          <w:lang w:val="es-DO" w:eastAsia="es-DO"/>
        </w:rPr>
        <w:t> </w:t>
      </w:r>
    </w:p>
    <w:p w14:paraId="32A9E2BE" w14:textId="33CF8460" w:rsidR="005640F1" w:rsidRDefault="005640F1" w:rsidP="006B204A">
      <w:pPr>
        <w:spacing w:line="360" w:lineRule="auto"/>
        <w:jc w:val="both"/>
        <w:rPr>
          <w:rFonts w:eastAsia="Arial Unicode MS"/>
          <w:u w:color="000000"/>
          <w:bdr w:val="nil"/>
          <w:lang w:val="es-DO" w:eastAsia="es-DO"/>
        </w:rPr>
      </w:pPr>
      <w:r w:rsidRPr="005640F1">
        <w:rPr>
          <w:rFonts w:eastAsia="Arial Unicode MS"/>
          <w:u w:color="000000"/>
          <w:bdr w:val="nil"/>
          <w:lang w:val="es-DO" w:eastAsia="es-DO"/>
        </w:rPr>
        <w:t>Durante el citado</w:t>
      </w:r>
      <w:r w:rsidR="00B95828">
        <w:rPr>
          <w:rFonts w:eastAsia="Arial Unicode MS"/>
          <w:u w:color="000000"/>
          <w:bdr w:val="nil"/>
          <w:lang w:val="es-DO" w:eastAsia="es-DO"/>
        </w:rPr>
        <w:t xml:space="preserve"> período,</w:t>
      </w:r>
      <w:r w:rsidRPr="005640F1">
        <w:rPr>
          <w:rFonts w:eastAsia="Arial Unicode MS"/>
          <w:u w:color="000000"/>
          <w:bdr w:val="nil"/>
          <w:lang w:val="es-DO" w:eastAsia="es-DO"/>
        </w:rPr>
        <w:t xml:space="preserve"> se recibieron mil quinientas ocho (1,508) consultas, correspondiendo cuatrocientas noventa y dos (492) a </w:t>
      </w:r>
      <w:r w:rsidR="001B5FDC">
        <w:rPr>
          <w:rFonts w:eastAsia="Arial Unicode MS"/>
          <w:u w:color="000000"/>
          <w:bdr w:val="nil"/>
          <w:lang w:val="es-DO" w:eastAsia="es-DO"/>
        </w:rPr>
        <w:t>c</w:t>
      </w:r>
      <w:r w:rsidRPr="005640F1">
        <w:rPr>
          <w:rFonts w:eastAsia="Arial Unicode MS"/>
          <w:u w:color="000000"/>
          <w:bdr w:val="nil"/>
          <w:lang w:val="es-DO" w:eastAsia="es-DO"/>
        </w:rPr>
        <w:t xml:space="preserve">entrales de </w:t>
      </w:r>
      <w:r w:rsidR="001B5FDC">
        <w:rPr>
          <w:rFonts w:eastAsia="Arial Unicode MS"/>
          <w:u w:color="000000"/>
          <w:bdr w:val="nil"/>
          <w:lang w:val="es-DO" w:eastAsia="es-DO"/>
        </w:rPr>
        <w:t>r</w:t>
      </w:r>
      <w:r w:rsidRPr="005640F1">
        <w:rPr>
          <w:rFonts w:eastAsia="Arial Unicode MS"/>
          <w:u w:color="000000"/>
          <w:bdr w:val="nil"/>
          <w:lang w:val="es-DO" w:eastAsia="es-DO"/>
        </w:rPr>
        <w:t xml:space="preserve">iesgos y las mil dieciséis (1,016) restantes a otras tipologías, entre las que predominan la </w:t>
      </w:r>
      <w:r w:rsidR="001B5FDC">
        <w:rPr>
          <w:rFonts w:eastAsia="Arial Unicode MS"/>
          <w:u w:color="000000"/>
          <w:bdr w:val="nil"/>
          <w:lang w:val="es-DO" w:eastAsia="es-DO"/>
        </w:rPr>
        <w:t>e</w:t>
      </w:r>
      <w:r w:rsidRPr="005640F1">
        <w:rPr>
          <w:rFonts w:eastAsia="Arial Unicode MS"/>
          <w:u w:color="000000"/>
          <w:bdr w:val="nil"/>
          <w:lang w:val="es-DO" w:eastAsia="es-DO"/>
        </w:rPr>
        <w:t xml:space="preserve">xistencia de </w:t>
      </w:r>
      <w:r w:rsidR="001B5FDC">
        <w:rPr>
          <w:rFonts w:eastAsia="Arial Unicode MS"/>
          <w:u w:color="000000"/>
          <w:bdr w:val="nil"/>
          <w:lang w:val="es-DO" w:eastAsia="es-DO"/>
        </w:rPr>
        <w:t>p</w:t>
      </w:r>
      <w:r w:rsidRPr="005640F1">
        <w:rPr>
          <w:rFonts w:eastAsia="Arial Unicode MS"/>
          <w:u w:color="000000"/>
          <w:bdr w:val="nil"/>
          <w:lang w:val="es-DO" w:eastAsia="es-DO"/>
        </w:rPr>
        <w:t xml:space="preserve">roductos, </w:t>
      </w:r>
      <w:r w:rsidR="001B5FDC">
        <w:rPr>
          <w:rFonts w:eastAsia="Arial Unicode MS"/>
          <w:u w:color="000000"/>
          <w:bdr w:val="nil"/>
          <w:lang w:val="es-DO" w:eastAsia="es-DO"/>
        </w:rPr>
        <w:t>e</w:t>
      </w:r>
      <w:r w:rsidRPr="005640F1">
        <w:rPr>
          <w:rFonts w:eastAsia="Arial Unicode MS"/>
          <w:u w:color="000000"/>
          <w:bdr w:val="nil"/>
          <w:lang w:val="es-DO" w:eastAsia="es-DO"/>
        </w:rPr>
        <w:t xml:space="preserve">stados y </w:t>
      </w:r>
      <w:r w:rsidR="001B5FDC">
        <w:rPr>
          <w:rFonts w:eastAsia="Arial Unicode MS"/>
          <w:u w:color="000000"/>
          <w:bdr w:val="nil"/>
          <w:lang w:val="es-DO" w:eastAsia="es-DO"/>
        </w:rPr>
        <w:t>b</w:t>
      </w:r>
      <w:r w:rsidRPr="005640F1">
        <w:rPr>
          <w:rFonts w:eastAsia="Arial Unicode MS"/>
          <w:u w:color="000000"/>
          <w:bdr w:val="nil"/>
          <w:lang w:val="es-DO" w:eastAsia="es-DO"/>
        </w:rPr>
        <w:t xml:space="preserve">alances, </w:t>
      </w:r>
      <w:r w:rsidR="001B5FDC">
        <w:rPr>
          <w:rFonts w:eastAsia="Arial Unicode MS"/>
          <w:u w:color="000000"/>
          <w:bdr w:val="nil"/>
          <w:lang w:val="es-DO" w:eastAsia="es-DO"/>
        </w:rPr>
        <w:t>m</w:t>
      </w:r>
      <w:r w:rsidRPr="005640F1">
        <w:rPr>
          <w:rFonts w:eastAsia="Arial Unicode MS"/>
          <w:u w:color="000000"/>
          <w:bdr w:val="nil"/>
          <w:lang w:val="es-DO" w:eastAsia="es-DO"/>
        </w:rPr>
        <w:t xml:space="preserve">ovimientos o </w:t>
      </w:r>
      <w:r w:rsidR="001B5FDC">
        <w:rPr>
          <w:rFonts w:eastAsia="Arial Unicode MS"/>
          <w:u w:color="000000"/>
          <w:bdr w:val="nil"/>
          <w:lang w:val="es-DO" w:eastAsia="es-DO"/>
        </w:rPr>
        <w:t>h</w:t>
      </w:r>
      <w:r w:rsidRPr="005640F1">
        <w:rPr>
          <w:rFonts w:eastAsia="Arial Unicode MS"/>
          <w:u w:color="000000"/>
          <w:bdr w:val="nil"/>
          <w:lang w:val="es-DO" w:eastAsia="es-DO"/>
        </w:rPr>
        <w:t xml:space="preserve">istóricos de </w:t>
      </w:r>
      <w:r w:rsidR="001B5FDC">
        <w:rPr>
          <w:rFonts w:eastAsia="Arial Unicode MS"/>
          <w:u w:color="000000"/>
          <w:bdr w:val="nil"/>
          <w:lang w:val="es-DO" w:eastAsia="es-DO"/>
        </w:rPr>
        <w:t>p</w:t>
      </w:r>
      <w:r w:rsidRPr="005640F1">
        <w:rPr>
          <w:rFonts w:eastAsia="Arial Unicode MS"/>
          <w:u w:color="000000"/>
          <w:bdr w:val="nil"/>
          <w:lang w:val="es-DO" w:eastAsia="es-DO"/>
        </w:rPr>
        <w:t xml:space="preserve">ago, </w:t>
      </w:r>
      <w:r w:rsidR="001B5FDC">
        <w:rPr>
          <w:rFonts w:eastAsia="Arial Unicode MS"/>
          <w:u w:color="000000"/>
          <w:bdr w:val="nil"/>
          <w:lang w:val="es-DO" w:eastAsia="es-DO"/>
        </w:rPr>
        <w:t>m</w:t>
      </w:r>
      <w:r w:rsidRPr="005640F1">
        <w:rPr>
          <w:rFonts w:eastAsia="Arial Unicode MS"/>
          <w:u w:color="000000"/>
          <w:bdr w:val="nil"/>
          <w:lang w:val="es-DO" w:eastAsia="es-DO"/>
        </w:rPr>
        <w:t xml:space="preserve">otivos de </w:t>
      </w:r>
      <w:r w:rsidR="001B5FDC">
        <w:rPr>
          <w:rFonts w:eastAsia="Arial Unicode MS"/>
          <w:u w:color="000000"/>
          <w:bdr w:val="nil"/>
          <w:lang w:val="es-DO" w:eastAsia="es-DO"/>
        </w:rPr>
        <w:t>r</w:t>
      </w:r>
      <w:r w:rsidRPr="005640F1">
        <w:rPr>
          <w:rFonts w:eastAsia="Arial Unicode MS"/>
          <w:u w:color="000000"/>
          <w:bdr w:val="nil"/>
          <w:lang w:val="es-DO" w:eastAsia="es-DO"/>
        </w:rPr>
        <w:t>estricción, entre otras.</w:t>
      </w:r>
    </w:p>
    <w:p w14:paraId="2934E7E3" w14:textId="77777777" w:rsidR="00CA473C" w:rsidRPr="005640F1" w:rsidRDefault="00CA473C" w:rsidP="006B204A">
      <w:pPr>
        <w:spacing w:line="360" w:lineRule="auto"/>
        <w:jc w:val="both"/>
        <w:rPr>
          <w:rFonts w:eastAsia="Arial Unicode MS"/>
          <w:u w:color="000000"/>
          <w:bdr w:val="nil"/>
          <w:lang w:val="es-DO" w:eastAsia="es-DO"/>
        </w:rPr>
      </w:pPr>
    </w:p>
    <w:p w14:paraId="5ED8A991" w14:textId="77777777" w:rsidR="005640F1" w:rsidRPr="005640F1" w:rsidRDefault="005640F1" w:rsidP="006B204A">
      <w:pPr>
        <w:spacing w:line="360" w:lineRule="auto"/>
        <w:jc w:val="both"/>
        <w:rPr>
          <w:rFonts w:eastAsia="Arial Unicode MS"/>
          <w:u w:color="000000"/>
          <w:bdr w:val="nil"/>
          <w:lang w:val="es-DO" w:eastAsia="es-DO"/>
        </w:rPr>
      </w:pPr>
      <w:r w:rsidRPr="005640F1">
        <w:rPr>
          <w:rFonts w:eastAsia="Arial Unicode MS"/>
          <w:b/>
          <w:bCs/>
          <w:u w:color="000000"/>
          <w:bdr w:val="nil"/>
          <w:lang w:val="es-DO" w:eastAsia="es-DO"/>
        </w:rPr>
        <w:lastRenderedPageBreak/>
        <w:t>Revisión y Aprobación de Contratos de Adhesión</w:t>
      </w:r>
      <w:r w:rsidRPr="005640F1">
        <w:rPr>
          <w:rFonts w:eastAsia="Arial Unicode MS"/>
          <w:u w:color="000000"/>
          <w:bdr w:val="nil"/>
          <w:lang w:val="es-DO" w:eastAsia="es-DO"/>
        </w:rPr>
        <w:t> </w:t>
      </w:r>
    </w:p>
    <w:p w14:paraId="38EDFB04" w14:textId="07DEA02E" w:rsidR="005640F1" w:rsidRPr="005640F1" w:rsidRDefault="005640F1" w:rsidP="006B204A">
      <w:pPr>
        <w:spacing w:line="360" w:lineRule="auto"/>
        <w:jc w:val="both"/>
        <w:rPr>
          <w:rFonts w:eastAsia="Arial Unicode MS"/>
          <w:u w:color="000000"/>
          <w:bdr w:val="nil"/>
          <w:lang w:val="es-DO" w:eastAsia="es-DO"/>
        </w:rPr>
      </w:pPr>
      <w:r w:rsidRPr="005640F1">
        <w:rPr>
          <w:rFonts w:eastAsia="Arial Unicode MS"/>
          <w:u w:color="000000"/>
          <w:bdr w:val="nil"/>
          <w:lang w:val="es-DO" w:eastAsia="es-DO"/>
        </w:rPr>
        <w:t xml:space="preserve">En términos de revisión de solicitudes de aprobación de </w:t>
      </w:r>
      <w:r w:rsidR="0094618B">
        <w:rPr>
          <w:rFonts w:eastAsia="Arial Unicode MS"/>
          <w:u w:color="000000"/>
          <w:bdr w:val="nil"/>
          <w:lang w:val="es-DO" w:eastAsia="es-DO"/>
        </w:rPr>
        <w:t>c</w:t>
      </w:r>
      <w:r w:rsidRPr="005640F1">
        <w:rPr>
          <w:rFonts w:eastAsia="Arial Unicode MS"/>
          <w:u w:color="000000"/>
          <w:bdr w:val="nil"/>
          <w:lang w:val="es-DO" w:eastAsia="es-DO"/>
        </w:rPr>
        <w:t xml:space="preserve">ontratos de </w:t>
      </w:r>
      <w:r w:rsidR="0094618B">
        <w:rPr>
          <w:rFonts w:eastAsia="Arial Unicode MS"/>
          <w:u w:color="000000"/>
          <w:bdr w:val="nil"/>
          <w:lang w:val="es-DO" w:eastAsia="es-DO"/>
        </w:rPr>
        <w:t>a</w:t>
      </w:r>
      <w:r w:rsidRPr="005640F1">
        <w:rPr>
          <w:rFonts w:eastAsia="Arial Unicode MS"/>
          <w:u w:color="000000"/>
          <w:bdr w:val="nil"/>
          <w:lang w:val="es-DO" w:eastAsia="es-DO"/>
        </w:rPr>
        <w:t xml:space="preserve">dhesión, </w:t>
      </w:r>
      <w:r w:rsidR="00C531FB">
        <w:rPr>
          <w:rFonts w:eastAsia="Arial Unicode MS"/>
          <w:u w:color="000000"/>
          <w:bdr w:val="nil"/>
          <w:lang w:val="es-DO" w:eastAsia="es-DO"/>
        </w:rPr>
        <w:t>a diciembre</w:t>
      </w:r>
      <w:r w:rsidR="007220D1">
        <w:rPr>
          <w:rFonts w:eastAsia="Arial Unicode MS"/>
          <w:u w:color="000000"/>
          <w:bdr w:val="nil"/>
          <w:lang w:val="es-DO" w:eastAsia="es-DO"/>
        </w:rPr>
        <w:t xml:space="preserve"> del presente año</w:t>
      </w:r>
      <w:r w:rsidR="00C531FB">
        <w:rPr>
          <w:rFonts w:eastAsia="Arial Unicode MS"/>
          <w:u w:color="000000"/>
          <w:bdr w:val="nil"/>
          <w:lang w:val="es-DO" w:eastAsia="es-DO"/>
        </w:rPr>
        <w:t xml:space="preserve"> </w:t>
      </w:r>
      <w:r w:rsidRPr="005640F1">
        <w:rPr>
          <w:rFonts w:eastAsia="Arial Unicode MS"/>
          <w:u w:color="000000"/>
          <w:bdr w:val="nil"/>
          <w:lang w:val="es-DO" w:eastAsia="es-DO"/>
        </w:rPr>
        <w:t>se recibieron setecientos nueve (709) requerimientos, representando un incremento de 28% frente al mismo período del año anterior. Por otro lado</w:t>
      </w:r>
      <w:r w:rsidR="00057745">
        <w:rPr>
          <w:rFonts w:eastAsia="Arial Unicode MS"/>
          <w:u w:color="000000"/>
          <w:bdr w:val="nil"/>
          <w:lang w:val="es-DO" w:eastAsia="es-DO"/>
        </w:rPr>
        <w:t xml:space="preserve">, </w:t>
      </w:r>
      <w:r w:rsidRPr="005640F1">
        <w:rPr>
          <w:rFonts w:eastAsia="Arial Unicode MS"/>
          <w:u w:color="000000"/>
          <w:bdr w:val="nil"/>
          <w:lang w:val="es-DO" w:eastAsia="es-DO"/>
        </w:rPr>
        <w:t>se respondieron seiscientos veinte y seis (626) solicitudes, en un tiempo promedio de 24 días calendario, es decir, un 20% por debajo del tiempo reglamentario de respuesta (30 días calendario). </w:t>
      </w:r>
    </w:p>
    <w:p w14:paraId="1CC38C0A" w14:textId="6116A7E8" w:rsidR="005640F1" w:rsidRPr="005640F1" w:rsidRDefault="005640F1" w:rsidP="006B204A">
      <w:pPr>
        <w:spacing w:line="360" w:lineRule="auto"/>
        <w:jc w:val="both"/>
        <w:rPr>
          <w:rFonts w:eastAsia="Arial Unicode MS"/>
          <w:u w:color="000000"/>
          <w:bdr w:val="nil"/>
          <w:lang w:val="es-DO" w:eastAsia="es-DO"/>
        </w:rPr>
      </w:pPr>
      <w:r w:rsidRPr="005640F1">
        <w:rPr>
          <w:rFonts w:eastAsia="Arial Unicode MS"/>
          <w:b/>
          <w:bCs/>
          <w:u w:color="000000"/>
          <w:bdr w:val="nil"/>
          <w:lang w:val="es-DO" w:eastAsia="es-DO"/>
        </w:rPr>
        <w:t xml:space="preserve">Inspecciones a EIF al respeto de los Derechos de los </w:t>
      </w:r>
      <w:r w:rsidR="003E5B6F">
        <w:rPr>
          <w:rFonts w:eastAsia="Arial Unicode MS"/>
          <w:b/>
          <w:bCs/>
          <w:u w:color="000000"/>
          <w:bdr w:val="nil"/>
          <w:lang w:val="es-DO" w:eastAsia="es-DO"/>
        </w:rPr>
        <w:t>u</w:t>
      </w:r>
      <w:r w:rsidR="003E5B6F" w:rsidRPr="005640F1">
        <w:rPr>
          <w:rFonts w:eastAsia="Arial Unicode MS"/>
          <w:b/>
          <w:bCs/>
          <w:u w:color="000000"/>
          <w:bdr w:val="nil"/>
          <w:lang w:val="es-DO" w:eastAsia="es-DO"/>
        </w:rPr>
        <w:t>suarios</w:t>
      </w:r>
      <w:r w:rsidRPr="005640F1">
        <w:rPr>
          <w:rFonts w:eastAsia="Arial Unicode MS"/>
          <w:u w:color="000000"/>
          <w:bdr w:val="nil"/>
          <w:lang w:val="es-DO" w:eastAsia="es-DO"/>
        </w:rPr>
        <w:t> </w:t>
      </w:r>
    </w:p>
    <w:p w14:paraId="6F9D6CA0" w14:textId="77777777" w:rsidR="005D10E7" w:rsidRDefault="005640F1" w:rsidP="006B204A">
      <w:pPr>
        <w:spacing w:line="360" w:lineRule="auto"/>
        <w:jc w:val="both"/>
        <w:rPr>
          <w:rFonts w:eastAsia="Arial Unicode MS"/>
          <w:u w:color="000000"/>
          <w:bdr w:val="nil"/>
          <w:lang w:val="es-DO" w:eastAsia="es-DO"/>
        </w:rPr>
      </w:pPr>
      <w:r w:rsidRPr="005640F1">
        <w:rPr>
          <w:rFonts w:eastAsia="Arial Unicode MS"/>
          <w:u w:color="000000"/>
          <w:bdr w:val="nil"/>
          <w:lang w:val="es-DO" w:eastAsia="es-DO"/>
        </w:rPr>
        <w:t>Con motivo del proceso de migración de la supervisión basada en cumplimiento a la supervisión basada en riesgos</w:t>
      </w:r>
      <w:r w:rsidR="00F74D4D">
        <w:rPr>
          <w:rFonts w:eastAsia="Arial Unicode MS"/>
          <w:u w:color="000000"/>
          <w:bdr w:val="nil"/>
          <w:lang w:val="es-DO" w:eastAsia="es-DO"/>
        </w:rPr>
        <w:t xml:space="preserve"> (SBR)</w:t>
      </w:r>
      <w:r w:rsidRPr="005640F1">
        <w:rPr>
          <w:rFonts w:eastAsia="Arial Unicode MS"/>
          <w:u w:color="000000"/>
          <w:bdr w:val="nil"/>
          <w:lang w:val="es-DO" w:eastAsia="es-DO"/>
        </w:rPr>
        <w:t xml:space="preserve">, en el 2023 se concluyó el primer piloto de supervisión basada en riesgos </w:t>
      </w:r>
      <w:r w:rsidR="004C3DF3">
        <w:rPr>
          <w:rFonts w:eastAsia="Arial Unicode MS"/>
          <w:u w:color="000000"/>
          <w:bdr w:val="nil"/>
          <w:lang w:val="es-DO" w:eastAsia="es-DO"/>
        </w:rPr>
        <w:t>sobre</w:t>
      </w:r>
      <w:r w:rsidRPr="005640F1">
        <w:rPr>
          <w:rFonts w:eastAsia="Arial Unicode MS"/>
          <w:u w:color="000000"/>
          <w:bdr w:val="nil"/>
          <w:lang w:val="es-DO" w:eastAsia="es-DO"/>
        </w:rPr>
        <w:t xml:space="preserve"> temas de conducta del mercado</w:t>
      </w:r>
      <w:r w:rsidR="00772420">
        <w:rPr>
          <w:rFonts w:eastAsia="Arial Unicode MS"/>
          <w:u w:color="000000"/>
          <w:bdr w:val="nil"/>
          <w:lang w:val="es-DO" w:eastAsia="es-DO"/>
        </w:rPr>
        <w:t>, evaluando</w:t>
      </w:r>
      <w:r w:rsidR="00306F1C">
        <w:rPr>
          <w:rFonts w:eastAsia="Arial Unicode MS"/>
          <w:u w:color="000000"/>
          <w:bdr w:val="nil"/>
          <w:lang w:val="es-DO" w:eastAsia="es-DO"/>
        </w:rPr>
        <w:t xml:space="preserve"> aspectos como</w:t>
      </w:r>
      <w:r w:rsidRPr="005640F1">
        <w:rPr>
          <w:rFonts w:eastAsia="Arial Unicode MS"/>
          <w:u w:color="000000"/>
          <w:bdr w:val="nil"/>
          <w:lang w:val="es-DO" w:eastAsia="es-DO"/>
        </w:rPr>
        <w:t xml:space="preserve"> la cultura del trato justo </w:t>
      </w:r>
      <w:r w:rsidR="002A3358">
        <w:rPr>
          <w:rFonts w:eastAsia="Arial Unicode MS"/>
          <w:u w:color="000000"/>
          <w:bdr w:val="nil"/>
          <w:lang w:val="es-DO" w:eastAsia="es-DO"/>
        </w:rPr>
        <w:t>en tres (3)</w:t>
      </w:r>
      <w:r w:rsidRPr="005640F1">
        <w:rPr>
          <w:rFonts w:eastAsia="Arial Unicode MS"/>
          <w:u w:color="000000"/>
          <w:bdr w:val="nil"/>
          <w:lang w:val="es-DO" w:eastAsia="es-DO"/>
        </w:rPr>
        <w:t xml:space="preserve"> entidades de intermediación financiera.</w:t>
      </w:r>
    </w:p>
    <w:p w14:paraId="77847F3B" w14:textId="23DCFB32" w:rsidR="005640F1" w:rsidRPr="005640F1" w:rsidRDefault="003128E3" w:rsidP="006B204A">
      <w:pPr>
        <w:spacing w:line="360" w:lineRule="auto"/>
        <w:jc w:val="both"/>
        <w:rPr>
          <w:rFonts w:eastAsia="Arial Unicode MS"/>
          <w:u w:color="000000"/>
          <w:bdr w:val="nil"/>
          <w:lang w:val="es-DO" w:eastAsia="es-DO"/>
        </w:rPr>
      </w:pPr>
      <w:r>
        <w:rPr>
          <w:rFonts w:eastAsia="Arial Unicode MS"/>
          <w:u w:color="000000"/>
          <w:bdr w:val="nil"/>
          <w:lang w:val="es-DO" w:eastAsia="es-DO"/>
        </w:rPr>
        <w:t xml:space="preserve">Este ejercicio fue realizado </w:t>
      </w:r>
      <w:r w:rsidR="00936AB5">
        <w:rPr>
          <w:rFonts w:eastAsia="Arial Unicode MS"/>
          <w:u w:color="000000"/>
          <w:bdr w:val="nil"/>
          <w:lang w:val="es-DO" w:eastAsia="es-DO"/>
        </w:rPr>
        <w:t>con</w:t>
      </w:r>
      <w:r w:rsidR="00A52214">
        <w:rPr>
          <w:rFonts w:eastAsia="Arial Unicode MS"/>
          <w:u w:color="000000"/>
          <w:bdr w:val="nil"/>
          <w:lang w:val="es-DO" w:eastAsia="es-DO"/>
        </w:rPr>
        <w:t xml:space="preserve"> el</w:t>
      </w:r>
      <w:r w:rsidR="00936AB5">
        <w:rPr>
          <w:rFonts w:eastAsia="Arial Unicode MS"/>
          <w:u w:color="000000"/>
          <w:bdr w:val="nil"/>
          <w:lang w:val="es-DO" w:eastAsia="es-DO"/>
        </w:rPr>
        <w:t xml:space="preserve"> acompañamiento</w:t>
      </w:r>
      <w:r w:rsidR="00A52214">
        <w:rPr>
          <w:rFonts w:eastAsia="Arial Unicode MS"/>
          <w:u w:color="000000"/>
          <w:bdr w:val="nil"/>
          <w:lang w:val="es-DO" w:eastAsia="es-DO"/>
        </w:rPr>
        <w:t xml:space="preserve"> de asesores representantes del </w:t>
      </w:r>
      <w:r w:rsidR="005640F1" w:rsidRPr="005640F1">
        <w:rPr>
          <w:rFonts w:eastAsia="Arial Unicode MS"/>
          <w:u w:color="000000"/>
          <w:bdr w:val="nil"/>
          <w:lang w:val="es-DO" w:eastAsia="es-DO"/>
        </w:rPr>
        <w:t>Toronto Centre</w:t>
      </w:r>
      <w:r w:rsidR="00643A55">
        <w:rPr>
          <w:rFonts w:eastAsia="Arial Unicode MS"/>
          <w:u w:color="000000"/>
          <w:bdr w:val="nil"/>
          <w:lang w:val="es-DO" w:eastAsia="es-DO"/>
        </w:rPr>
        <w:t xml:space="preserve"> quienes asistieron</w:t>
      </w:r>
      <w:r w:rsidR="004D7AA4">
        <w:rPr>
          <w:rFonts w:eastAsia="Arial Unicode MS"/>
          <w:u w:color="000000"/>
          <w:bdr w:val="nil"/>
          <w:lang w:val="es-DO" w:eastAsia="es-DO"/>
        </w:rPr>
        <w:t xml:space="preserve"> en la </w:t>
      </w:r>
      <w:r w:rsidR="005640F1" w:rsidRPr="005640F1">
        <w:rPr>
          <w:rFonts w:eastAsia="Arial Unicode MS"/>
          <w:u w:color="000000"/>
          <w:bdr w:val="nil"/>
          <w:lang w:val="es-DO" w:eastAsia="es-DO"/>
        </w:rPr>
        <w:t>identifica</w:t>
      </w:r>
      <w:r w:rsidR="00CE5932">
        <w:rPr>
          <w:rFonts w:eastAsia="Arial Unicode MS"/>
          <w:u w:color="000000"/>
          <w:bdr w:val="nil"/>
          <w:lang w:val="es-DO" w:eastAsia="es-DO"/>
        </w:rPr>
        <w:t>ción de</w:t>
      </w:r>
      <w:r w:rsidR="005640F1" w:rsidRPr="005640F1">
        <w:rPr>
          <w:rFonts w:eastAsia="Arial Unicode MS"/>
          <w:u w:color="000000"/>
          <w:bdr w:val="nil"/>
          <w:lang w:val="es-DO" w:eastAsia="es-DO"/>
        </w:rPr>
        <w:t xml:space="preserve"> las principales debilidades y oportunidades de mejora en las entidades, </w:t>
      </w:r>
      <w:r w:rsidR="0042060E">
        <w:rPr>
          <w:rFonts w:eastAsia="Arial Unicode MS"/>
          <w:u w:color="000000"/>
          <w:bdr w:val="nil"/>
          <w:lang w:val="es-DO" w:eastAsia="es-DO"/>
        </w:rPr>
        <w:t xml:space="preserve">y emitieron recomendaciones </w:t>
      </w:r>
      <w:r w:rsidR="009245F2">
        <w:rPr>
          <w:rFonts w:eastAsia="Arial Unicode MS"/>
          <w:u w:color="000000"/>
          <w:bdr w:val="nil"/>
          <w:lang w:val="es-DO" w:eastAsia="es-DO"/>
        </w:rPr>
        <w:t xml:space="preserve">para modificar </w:t>
      </w:r>
      <w:r w:rsidR="005640F1" w:rsidRPr="005640F1">
        <w:rPr>
          <w:rFonts w:eastAsia="Arial Unicode MS"/>
          <w:u w:color="000000"/>
          <w:bdr w:val="nil"/>
          <w:lang w:val="es-DO" w:eastAsia="es-DO"/>
        </w:rPr>
        <w:t xml:space="preserve">el Reglamento de Protección al Usuario de los Productos y Servicios Financieros </w:t>
      </w:r>
      <w:r w:rsidR="005D10E7">
        <w:rPr>
          <w:rFonts w:eastAsia="Arial Unicode MS"/>
          <w:u w:color="000000"/>
          <w:bdr w:val="nil"/>
          <w:lang w:val="es-DO" w:eastAsia="es-DO"/>
        </w:rPr>
        <w:t xml:space="preserve">con </w:t>
      </w:r>
      <w:r w:rsidR="005640F1" w:rsidRPr="005640F1">
        <w:rPr>
          <w:rFonts w:eastAsia="Arial Unicode MS"/>
          <w:u w:color="000000"/>
          <w:bdr w:val="nil"/>
          <w:lang w:val="es-DO" w:eastAsia="es-DO"/>
        </w:rPr>
        <w:t>la inclusión de los principios de conducta responsable y trato justo, al igual que el riesgo de conducta como parte de los riesgos a ser supervisados por la Superintendencia de Bancos</w:t>
      </w:r>
      <w:r w:rsidR="005D10E7">
        <w:rPr>
          <w:rFonts w:eastAsia="Arial Unicode MS"/>
          <w:u w:color="000000"/>
          <w:bdr w:val="nil"/>
          <w:lang w:val="es-DO" w:eastAsia="es-DO"/>
        </w:rPr>
        <w:t>.</w:t>
      </w:r>
    </w:p>
    <w:p w14:paraId="6A5E1C84" w14:textId="7ACFCD80" w:rsidR="00E52ED4" w:rsidRPr="00C865B6" w:rsidRDefault="00E52ED4" w:rsidP="006B204A">
      <w:pPr>
        <w:spacing w:line="360" w:lineRule="auto"/>
        <w:jc w:val="both"/>
        <w:rPr>
          <w:bCs/>
          <w:lang w:val="es-DO" w:eastAsia="es-DO"/>
        </w:rPr>
      </w:pPr>
    </w:p>
    <w:p w14:paraId="09BE05D2" w14:textId="5A1BE246" w:rsidR="00081969" w:rsidRPr="00081969" w:rsidRDefault="00F440A1" w:rsidP="006B204A">
      <w:pPr>
        <w:pStyle w:val="Estilo3"/>
        <w:spacing w:before="0" w:after="160" w:line="360" w:lineRule="auto"/>
        <w:rPr>
          <w:b/>
        </w:rPr>
      </w:pPr>
      <w:bookmarkStart w:id="70" w:name="_Toc122435013"/>
      <w:bookmarkStart w:id="71" w:name="_Toc123046918"/>
      <w:bookmarkStart w:id="72" w:name="_Toc155354616"/>
      <w:bookmarkEnd w:id="67"/>
      <w:r>
        <w:rPr>
          <w:b/>
        </w:rPr>
        <w:lastRenderedPageBreak/>
        <w:t>3</w:t>
      </w:r>
      <w:r w:rsidR="00E52ED4" w:rsidRPr="00081969">
        <w:rPr>
          <w:b/>
        </w:rPr>
        <w:t>.9 Atención a Ahorristas de Instituciones Financieras Intervenidas y en Liquidación</w:t>
      </w:r>
      <w:bookmarkEnd w:id="70"/>
      <w:bookmarkEnd w:id="71"/>
      <w:bookmarkEnd w:id="72"/>
    </w:p>
    <w:p w14:paraId="02490248" w14:textId="77777777" w:rsidR="00177D03" w:rsidRDefault="001B0B65" w:rsidP="006B204A">
      <w:pPr>
        <w:spacing w:line="360" w:lineRule="auto"/>
        <w:jc w:val="both"/>
        <w:rPr>
          <w:lang w:val="es-DO"/>
        </w:rPr>
      </w:pPr>
      <w:r w:rsidRPr="00823C78">
        <w:rPr>
          <w:lang w:val="es-DO"/>
        </w:rPr>
        <w:t xml:space="preserve">La Superintendencia de Bancos, a través de su Programa de Entidades Financieras Intervenidas y en Liquidación (IFIL), tiene la función de </w:t>
      </w:r>
      <w:r w:rsidR="00843D51" w:rsidRPr="00823C78">
        <w:rPr>
          <w:lang w:val="es-DO"/>
        </w:rPr>
        <w:t>verificar</w:t>
      </w:r>
      <w:r w:rsidRPr="00823C78">
        <w:rPr>
          <w:lang w:val="es-DO"/>
        </w:rPr>
        <w:t xml:space="preserve"> los activos d</w:t>
      </w:r>
      <w:r w:rsidR="005315A5" w:rsidRPr="00823C78">
        <w:rPr>
          <w:lang w:val="es-DO"/>
        </w:rPr>
        <w:t xml:space="preserve">e las </w:t>
      </w:r>
      <w:r w:rsidRPr="00823C78">
        <w:rPr>
          <w:lang w:val="es-DO"/>
        </w:rPr>
        <w:t xml:space="preserve">entidades que cesaron sus operaciones, a fin de obtener liquidez para resarcir a los ahorristas de estas instituciones. </w:t>
      </w:r>
    </w:p>
    <w:p w14:paraId="0B41A945" w14:textId="37DBAE06" w:rsidR="00081969" w:rsidRPr="00543FB2" w:rsidRDefault="00177D03" w:rsidP="006B204A">
      <w:pPr>
        <w:spacing w:line="360" w:lineRule="auto"/>
        <w:jc w:val="both"/>
        <w:rPr>
          <w:lang w:val="es-DO"/>
        </w:rPr>
      </w:pPr>
      <w:r>
        <w:rPr>
          <w:lang w:val="es-DO"/>
        </w:rPr>
        <w:t>En el período enero – septiembre 2023, a</w:t>
      </w:r>
      <w:r w:rsidR="00E44E76" w:rsidRPr="00823C78">
        <w:rPr>
          <w:lang w:val="es-DO"/>
        </w:rPr>
        <w:t xml:space="preserve"> través de la campaña “Dinero busca dueño”</w:t>
      </w:r>
      <w:r w:rsidR="001B0B65" w:rsidRPr="00823C78">
        <w:rPr>
          <w:lang w:val="es-DO"/>
        </w:rPr>
        <w:t>, la S</w:t>
      </w:r>
      <w:r w:rsidR="001C6F8A" w:rsidRPr="00823C78">
        <w:rPr>
          <w:lang w:val="es-DO"/>
        </w:rPr>
        <w:t xml:space="preserve">uperintendencia de </w:t>
      </w:r>
      <w:r w:rsidR="001B0B65" w:rsidRPr="00823C78">
        <w:rPr>
          <w:lang w:val="es-DO"/>
        </w:rPr>
        <w:t>B</w:t>
      </w:r>
      <w:r w:rsidR="001C6F8A" w:rsidRPr="00823C78">
        <w:rPr>
          <w:lang w:val="es-DO"/>
        </w:rPr>
        <w:t xml:space="preserve">ancos </w:t>
      </w:r>
      <w:r w:rsidR="001B0B65" w:rsidRPr="00823C78">
        <w:rPr>
          <w:lang w:val="es-DO"/>
        </w:rPr>
        <w:t xml:space="preserve">ha </w:t>
      </w:r>
      <w:r w:rsidR="00543FB2" w:rsidRPr="00823C78">
        <w:rPr>
          <w:lang w:val="es-DO"/>
        </w:rPr>
        <w:t>realizados pagos</w:t>
      </w:r>
      <w:r w:rsidR="001B0B65" w:rsidRPr="00823C78">
        <w:rPr>
          <w:lang w:val="es-DO"/>
        </w:rPr>
        <w:t xml:space="preserve"> a favor </w:t>
      </w:r>
      <w:r w:rsidR="00142ECF" w:rsidRPr="00823C78">
        <w:rPr>
          <w:lang w:val="es-DO"/>
        </w:rPr>
        <w:t>a 1,668</w:t>
      </w:r>
      <w:r w:rsidR="001B0B65" w:rsidRPr="00823C78">
        <w:rPr>
          <w:lang w:val="es-DO"/>
        </w:rPr>
        <w:t xml:space="preserve"> </w:t>
      </w:r>
      <w:r>
        <w:rPr>
          <w:lang w:val="es-DO"/>
        </w:rPr>
        <w:t xml:space="preserve">ahorristas, </w:t>
      </w:r>
      <w:r w:rsidR="001B0B65" w:rsidRPr="00823C78">
        <w:rPr>
          <w:lang w:val="es-DO"/>
        </w:rPr>
        <w:t xml:space="preserve">por un valor ascendente a </w:t>
      </w:r>
      <w:r w:rsidR="005974A6" w:rsidRPr="00823C78">
        <w:rPr>
          <w:lang w:val="es-DO"/>
        </w:rPr>
        <w:t>ciento cuarenta y seis millones</w:t>
      </w:r>
      <w:r w:rsidR="001B0B65" w:rsidRPr="00823C78">
        <w:rPr>
          <w:lang w:val="es-DO"/>
        </w:rPr>
        <w:t xml:space="preserve"> ciento nueve mil cuatrocientos cincuenta y seis pesos con cuarenta y nueve centavos (RD$</w:t>
      </w:r>
      <w:r w:rsidR="007B0434" w:rsidRPr="007B0434">
        <w:rPr>
          <w:lang w:val="es-DO"/>
        </w:rPr>
        <w:t>146.002.505</w:t>
      </w:r>
      <w:r w:rsidR="001B0B65" w:rsidRPr="00823C78">
        <w:rPr>
          <w:lang w:val="es-DO"/>
        </w:rPr>
        <w:t>).</w:t>
      </w:r>
    </w:p>
    <w:p w14:paraId="445A5CF5" w14:textId="77777777" w:rsidR="00543FB2" w:rsidRPr="007846C4" w:rsidRDefault="00543FB2" w:rsidP="006B204A">
      <w:pPr>
        <w:spacing w:line="360" w:lineRule="auto"/>
        <w:jc w:val="both"/>
        <w:rPr>
          <w:sz w:val="22"/>
          <w:szCs w:val="22"/>
          <w:lang w:val="es-DO"/>
        </w:rPr>
      </w:pPr>
    </w:p>
    <w:p w14:paraId="07DC143D" w14:textId="09098670" w:rsidR="00E52ED4" w:rsidRPr="00C865B6" w:rsidRDefault="00F440A1" w:rsidP="006B204A">
      <w:pPr>
        <w:pStyle w:val="Estilo3"/>
        <w:spacing w:before="0" w:after="160" w:line="360" w:lineRule="auto"/>
        <w:rPr>
          <w:b/>
        </w:rPr>
      </w:pPr>
      <w:bookmarkStart w:id="73" w:name="_Toc122435015"/>
      <w:bookmarkStart w:id="74" w:name="_Toc123046920"/>
      <w:bookmarkStart w:id="75" w:name="_Toc155354617"/>
      <w:r>
        <w:rPr>
          <w:b/>
        </w:rPr>
        <w:t>3</w:t>
      </w:r>
      <w:r w:rsidR="00E52ED4" w:rsidRPr="00C865B6">
        <w:rPr>
          <w:b/>
        </w:rPr>
        <w:t>.1</w:t>
      </w:r>
      <w:r w:rsidR="0011292A">
        <w:rPr>
          <w:b/>
        </w:rPr>
        <w:t>0</w:t>
      </w:r>
      <w:r w:rsidR="00E52ED4" w:rsidRPr="00C865B6">
        <w:rPr>
          <w:b/>
        </w:rPr>
        <w:t xml:space="preserve"> Estudios Económicos</w:t>
      </w:r>
      <w:bookmarkEnd w:id="75"/>
      <w:r w:rsidR="00E52ED4" w:rsidRPr="00C865B6">
        <w:rPr>
          <w:b/>
        </w:rPr>
        <w:t xml:space="preserve"> </w:t>
      </w:r>
      <w:bookmarkEnd w:id="73"/>
      <w:bookmarkEnd w:id="74"/>
    </w:p>
    <w:p w14:paraId="2FF5D468" w14:textId="1C956A17" w:rsidR="005A2D68" w:rsidRPr="005A2D68" w:rsidRDefault="005A2D68" w:rsidP="006B204A">
      <w:pPr>
        <w:spacing w:line="360" w:lineRule="auto"/>
        <w:jc w:val="both"/>
        <w:rPr>
          <w:u w:color="000000"/>
          <w:lang w:val="es-DO" w:eastAsia="es-DO"/>
        </w:rPr>
      </w:pPr>
      <w:r w:rsidRPr="005A2D68">
        <w:rPr>
          <w:u w:color="000000"/>
          <w:lang w:val="es-DO" w:eastAsia="es-DO"/>
        </w:rPr>
        <w:t xml:space="preserve">La Superintendencia de Bancos, dentro de sus funciones, desarrolla y publica estudios económicos a fin de mantener actualizadas a las autoridades, a los agentes económicos y al público sobre el desempeño del sector bancario. Durante el año 2023, los resultados alcanzados por la Superintendencia de Bancos en materia de estudios económicos se centraron en las siguientes actividades: </w:t>
      </w:r>
    </w:p>
    <w:p w14:paraId="300E1E2D" w14:textId="4BCBBF89" w:rsidR="00507D90" w:rsidRPr="005A2D68" w:rsidRDefault="005A2D68" w:rsidP="006B204A">
      <w:pPr>
        <w:spacing w:line="360" w:lineRule="auto"/>
        <w:jc w:val="both"/>
        <w:rPr>
          <w:u w:color="000000"/>
          <w:lang w:val="es-DO" w:eastAsia="es-DO"/>
        </w:rPr>
      </w:pPr>
      <w:r w:rsidRPr="005A2D68">
        <w:rPr>
          <w:u w:color="000000"/>
          <w:lang w:val="es-DO" w:eastAsia="es-DO"/>
        </w:rPr>
        <w:t xml:space="preserve">Se </w:t>
      </w:r>
      <w:r w:rsidR="00DD11DB">
        <w:rPr>
          <w:u w:color="000000"/>
          <w:lang w:val="es-DO" w:eastAsia="es-DO"/>
        </w:rPr>
        <w:t>elaboraron</w:t>
      </w:r>
      <w:r w:rsidRPr="005A2D68">
        <w:rPr>
          <w:u w:color="000000"/>
          <w:lang w:val="es-DO" w:eastAsia="es-DO"/>
        </w:rPr>
        <w:t xml:space="preserve"> </w:t>
      </w:r>
      <w:r w:rsidR="008D6DD5">
        <w:rPr>
          <w:u w:color="000000"/>
          <w:lang w:val="es-DO" w:eastAsia="es-DO"/>
        </w:rPr>
        <w:t>treinta y ocho (</w:t>
      </w:r>
      <w:r w:rsidRPr="005A2D68">
        <w:rPr>
          <w:u w:color="000000"/>
          <w:lang w:val="es-DO" w:eastAsia="es-DO"/>
        </w:rPr>
        <w:t>38</w:t>
      </w:r>
      <w:r w:rsidR="008D6DD5">
        <w:rPr>
          <w:u w:color="000000"/>
          <w:lang w:val="es-DO" w:eastAsia="es-DO"/>
        </w:rPr>
        <w:t>)</w:t>
      </w:r>
      <w:r w:rsidRPr="005A2D68">
        <w:rPr>
          <w:u w:color="000000"/>
          <w:lang w:val="es-DO" w:eastAsia="es-DO"/>
        </w:rPr>
        <w:t xml:space="preserve"> publicaciones, dentro de las cuales </w:t>
      </w:r>
      <w:r w:rsidR="00E70CE3">
        <w:rPr>
          <w:u w:color="000000"/>
          <w:lang w:val="es-DO" w:eastAsia="es-DO"/>
        </w:rPr>
        <w:t>se pueden resaltar</w:t>
      </w:r>
      <w:r w:rsidR="0080396C">
        <w:rPr>
          <w:u w:color="000000"/>
          <w:lang w:val="es-DO" w:eastAsia="es-DO"/>
        </w:rPr>
        <w:t xml:space="preserve"> </w:t>
      </w:r>
      <w:r w:rsidRPr="005A2D68">
        <w:rPr>
          <w:u w:color="000000"/>
          <w:lang w:val="es-DO" w:eastAsia="es-DO"/>
        </w:rPr>
        <w:t xml:space="preserve">informes </w:t>
      </w:r>
      <w:r w:rsidR="00B321C8">
        <w:rPr>
          <w:u w:color="000000"/>
          <w:lang w:val="es-DO" w:eastAsia="es-DO"/>
        </w:rPr>
        <w:t>sobr</w:t>
      </w:r>
      <w:r w:rsidR="00B122F4">
        <w:rPr>
          <w:u w:color="000000"/>
          <w:lang w:val="es-DO" w:eastAsia="es-DO"/>
        </w:rPr>
        <w:t>e el desempeño del sistema financiero</w:t>
      </w:r>
      <w:r w:rsidR="00024912">
        <w:rPr>
          <w:u w:color="000000"/>
          <w:lang w:val="es-DO" w:eastAsia="es-DO"/>
        </w:rPr>
        <w:t xml:space="preserve">, </w:t>
      </w:r>
      <w:r w:rsidR="00BD2E6A">
        <w:rPr>
          <w:u w:color="000000"/>
          <w:lang w:val="es-DO" w:eastAsia="es-DO"/>
        </w:rPr>
        <w:t xml:space="preserve">la banca </w:t>
      </w:r>
      <w:r w:rsidR="00234C46">
        <w:rPr>
          <w:u w:color="000000"/>
          <w:lang w:val="es-DO" w:eastAsia="es-DO"/>
        </w:rPr>
        <w:t xml:space="preserve">y su relación con </w:t>
      </w:r>
      <w:r w:rsidR="00BD2E6A">
        <w:rPr>
          <w:u w:color="000000"/>
          <w:lang w:val="es-DO" w:eastAsia="es-DO"/>
        </w:rPr>
        <w:t>el turismo</w:t>
      </w:r>
      <w:r w:rsidR="003B31F8">
        <w:rPr>
          <w:u w:color="000000"/>
          <w:lang w:val="es-DO" w:eastAsia="es-DO"/>
        </w:rPr>
        <w:t xml:space="preserve"> y la industria nacional</w:t>
      </w:r>
      <w:r w:rsidR="002627B1">
        <w:rPr>
          <w:u w:color="000000"/>
          <w:lang w:val="es-DO" w:eastAsia="es-DO"/>
        </w:rPr>
        <w:t>,</w:t>
      </w:r>
      <w:r w:rsidR="00395780">
        <w:rPr>
          <w:u w:color="000000"/>
          <w:lang w:val="es-DO" w:eastAsia="es-DO"/>
        </w:rPr>
        <w:t xml:space="preserve"> las tendencias del ahorro en </w:t>
      </w:r>
      <w:r w:rsidR="007B1901">
        <w:rPr>
          <w:u w:color="000000"/>
          <w:lang w:val="es-DO" w:eastAsia="es-DO"/>
        </w:rPr>
        <w:t>República Dominicana</w:t>
      </w:r>
      <w:r w:rsidR="00C82316">
        <w:rPr>
          <w:u w:color="000000"/>
          <w:lang w:val="es-DO" w:eastAsia="es-DO"/>
        </w:rPr>
        <w:t>,</w:t>
      </w:r>
      <w:r w:rsidR="006F1A2A">
        <w:rPr>
          <w:u w:color="000000"/>
          <w:lang w:val="es-DO" w:eastAsia="es-DO"/>
        </w:rPr>
        <w:t xml:space="preserve"> el</w:t>
      </w:r>
      <w:r w:rsidR="003D79BF">
        <w:rPr>
          <w:u w:color="000000"/>
          <w:lang w:val="es-DO" w:eastAsia="es-DO"/>
        </w:rPr>
        <w:t xml:space="preserve"> panorama de</w:t>
      </w:r>
      <w:r w:rsidR="00456950">
        <w:rPr>
          <w:u w:color="000000"/>
          <w:lang w:val="es-DO" w:eastAsia="es-DO"/>
        </w:rPr>
        <w:t>l crédito</w:t>
      </w:r>
      <w:r w:rsidR="00234C46">
        <w:rPr>
          <w:u w:color="000000"/>
          <w:lang w:val="es-DO" w:eastAsia="es-DO"/>
        </w:rPr>
        <w:t xml:space="preserve"> y de</w:t>
      </w:r>
      <w:r w:rsidR="003D79BF">
        <w:rPr>
          <w:u w:color="000000"/>
          <w:lang w:val="es-DO" w:eastAsia="es-DO"/>
        </w:rPr>
        <w:t xml:space="preserve"> la concentración en el sistema financiero</w:t>
      </w:r>
      <w:r w:rsidR="004C36F0">
        <w:rPr>
          <w:u w:color="000000"/>
          <w:lang w:val="es-DO" w:eastAsia="es-DO"/>
        </w:rPr>
        <w:t xml:space="preserve"> y </w:t>
      </w:r>
      <w:r w:rsidR="00234C46">
        <w:rPr>
          <w:u w:color="000000"/>
          <w:lang w:val="es-DO" w:eastAsia="es-DO"/>
        </w:rPr>
        <w:t xml:space="preserve">sobre </w:t>
      </w:r>
      <w:r w:rsidR="004C36F0">
        <w:rPr>
          <w:u w:color="000000"/>
          <w:lang w:val="es-DO" w:eastAsia="es-DO"/>
        </w:rPr>
        <w:t>el crédito en</w:t>
      </w:r>
      <w:r w:rsidR="004C36F0" w:rsidRPr="005A2D68">
        <w:rPr>
          <w:u w:color="000000"/>
          <w:lang w:val="es-DO" w:eastAsia="es-DO"/>
        </w:rPr>
        <w:t xml:space="preserve"> las MIPYMES</w:t>
      </w:r>
      <w:r w:rsidR="00B2273A">
        <w:rPr>
          <w:u w:color="000000"/>
          <w:lang w:val="es-DO" w:eastAsia="es-DO"/>
        </w:rPr>
        <w:t xml:space="preserve">. </w:t>
      </w:r>
      <w:r w:rsidR="008D6DD5">
        <w:rPr>
          <w:u w:color="000000"/>
          <w:lang w:val="es-DO" w:eastAsia="es-DO"/>
        </w:rPr>
        <w:t xml:space="preserve">Además, </w:t>
      </w:r>
      <w:r w:rsidR="00B2273A">
        <w:rPr>
          <w:u w:color="000000"/>
          <w:lang w:val="es-DO" w:eastAsia="es-DO"/>
        </w:rPr>
        <w:t xml:space="preserve">se realizó </w:t>
      </w:r>
      <w:r w:rsidR="004C75EC">
        <w:rPr>
          <w:u w:color="000000"/>
          <w:lang w:val="es-DO" w:eastAsia="es-DO"/>
        </w:rPr>
        <w:t xml:space="preserve">una </w:t>
      </w:r>
      <w:r w:rsidRPr="005A2D68">
        <w:rPr>
          <w:u w:color="000000"/>
          <w:lang w:val="es-DO" w:eastAsia="es-DO"/>
        </w:rPr>
        <w:t>nota analítica</w:t>
      </w:r>
      <w:r w:rsidR="004C75EC">
        <w:rPr>
          <w:u w:color="000000"/>
          <w:lang w:val="es-DO" w:eastAsia="es-DO"/>
        </w:rPr>
        <w:t xml:space="preserve"> sobre </w:t>
      </w:r>
      <w:r w:rsidR="00507D90">
        <w:rPr>
          <w:u w:color="000000"/>
          <w:lang w:val="es-DO" w:eastAsia="es-DO"/>
        </w:rPr>
        <w:t>el ratio</w:t>
      </w:r>
      <w:r w:rsidR="004C75EC">
        <w:rPr>
          <w:u w:color="000000"/>
          <w:lang w:val="es-DO" w:eastAsia="es-DO"/>
        </w:rPr>
        <w:t xml:space="preserve"> </w:t>
      </w:r>
      <w:r w:rsidR="004C75EC" w:rsidRPr="005A2D68">
        <w:rPr>
          <w:u w:color="000000"/>
          <w:lang w:val="es-DO" w:eastAsia="es-DO"/>
        </w:rPr>
        <w:t xml:space="preserve">de </w:t>
      </w:r>
      <w:r w:rsidR="004C75EC">
        <w:rPr>
          <w:u w:color="000000"/>
          <w:lang w:val="es-DO" w:eastAsia="es-DO"/>
        </w:rPr>
        <w:t>i</w:t>
      </w:r>
      <w:r w:rsidR="004C75EC" w:rsidRPr="005A2D68">
        <w:rPr>
          <w:u w:color="000000"/>
          <w:lang w:val="es-DO" w:eastAsia="es-DO"/>
        </w:rPr>
        <w:t xml:space="preserve">ncumplimiento para el sistema financiero </w:t>
      </w:r>
      <w:r w:rsidR="004C75EC" w:rsidRPr="005A2D68">
        <w:rPr>
          <w:u w:color="000000"/>
          <w:lang w:val="es-DO" w:eastAsia="es-DO"/>
        </w:rPr>
        <w:lastRenderedPageBreak/>
        <w:t>dominicano</w:t>
      </w:r>
      <w:r w:rsidR="004C75EC">
        <w:rPr>
          <w:u w:color="000000"/>
          <w:lang w:val="es-DO" w:eastAsia="es-DO"/>
        </w:rPr>
        <w:t xml:space="preserve"> y un</w:t>
      </w:r>
      <w:r w:rsidRPr="005A2D68">
        <w:rPr>
          <w:u w:color="000000"/>
          <w:lang w:val="es-DO" w:eastAsia="es-DO"/>
        </w:rPr>
        <w:t xml:space="preserve"> estudio académico</w:t>
      </w:r>
      <w:r w:rsidR="00507D90">
        <w:rPr>
          <w:u w:color="000000"/>
          <w:lang w:val="es-DO" w:eastAsia="es-DO"/>
        </w:rPr>
        <w:t xml:space="preserve"> sobre predicciones de</w:t>
      </w:r>
      <w:r w:rsidR="00507D90" w:rsidRPr="005A2D68">
        <w:rPr>
          <w:u w:color="000000"/>
          <w:lang w:val="es-DO" w:eastAsia="es-DO"/>
        </w:rPr>
        <w:t xml:space="preserve"> series de tiempo de variables económicas dominicanas</w:t>
      </w:r>
      <w:r w:rsidRPr="005A2D68">
        <w:rPr>
          <w:u w:color="000000"/>
          <w:lang w:val="es-DO" w:eastAsia="es-DO"/>
        </w:rPr>
        <w:t xml:space="preserve">. </w:t>
      </w:r>
    </w:p>
    <w:p w14:paraId="45D08776" w14:textId="0FD806AE" w:rsidR="005A2D68" w:rsidRPr="005A2D68" w:rsidRDefault="005A2D68" w:rsidP="006B204A">
      <w:pPr>
        <w:spacing w:line="360" w:lineRule="auto"/>
        <w:jc w:val="both"/>
        <w:rPr>
          <w:u w:color="000000"/>
          <w:lang w:val="es-DO" w:eastAsia="es-DO"/>
        </w:rPr>
      </w:pPr>
      <w:r w:rsidRPr="005A2D68">
        <w:rPr>
          <w:u w:color="000000"/>
          <w:lang w:val="es-DO" w:eastAsia="es-DO"/>
        </w:rPr>
        <w:t>Sobre el Sistema de Información del Mercado Bancario Dominicano (SIMBAD)</w:t>
      </w:r>
      <w:r w:rsidR="00460B48">
        <w:rPr>
          <w:u w:color="000000"/>
          <w:lang w:val="es-DO" w:eastAsia="es-DO"/>
        </w:rPr>
        <w:t>, s</w:t>
      </w:r>
      <w:r w:rsidRPr="005A2D68">
        <w:rPr>
          <w:u w:color="000000"/>
          <w:lang w:val="es-DO" w:eastAsia="es-DO"/>
        </w:rPr>
        <w:t>e incorpor</w:t>
      </w:r>
      <w:r w:rsidR="00460B48">
        <w:rPr>
          <w:u w:color="000000"/>
          <w:lang w:val="es-DO" w:eastAsia="es-DO"/>
        </w:rPr>
        <w:t>ó</w:t>
      </w:r>
      <w:r w:rsidRPr="005A2D68">
        <w:rPr>
          <w:u w:color="000000"/>
          <w:lang w:val="es-DO" w:eastAsia="es-DO"/>
        </w:rPr>
        <w:t xml:space="preserve"> un nuevo tablero sobre deudores únicos, además de mejores funcionalidades y nuevas visualizaciones. Durante el 2023, SIMBAD fue consultado por más de 17,000 usuarios.</w:t>
      </w:r>
    </w:p>
    <w:p w14:paraId="76F0EA30" w14:textId="022BE382" w:rsidR="005A2D68" w:rsidRPr="005A2D68" w:rsidRDefault="005A2D68" w:rsidP="006B204A">
      <w:pPr>
        <w:spacing w:line="360" w:lineRule="auto"/>
        <w:jc w:val="both"/>
        <w:rPr>
          <w:u w:color="000000"/>
          <w:lang w:val="es-DO" w:eastAsia="es-DO"/>
        </w:rPr>
      </w:pPr>
      <w:r w:rsidRPr="005A2D68">
        <w:rPr>
          <w:u w:color="000000"/>
          <w:lang w:val="es-DO" w:eastAsia="es-DO"/>
        </w:rPr>
        <w:t>En materia de innovación tecnológica</w:t>
      </w:r>
      <w:r w:rsidR="00F0485E">
        <w:rPr>
          <w:u w:color="000000"/>
          <w:lang w:val="es-DO" w:eastAsia="es-DO"/>
        </w:rPr>
        <w:t>,</w:t>
      </w:r>
      <w:r w:rsidRPr="005A2D68">
        <w:rPr>
          <w:u w:color="000000"/>
          <w:lang w:val="es-DO" w:eastAsia="es-DO"/>
        </w:rPr>
        <w:t xml:space="preserve"> la Superintendencia de Bancos, ha realizado las siguientes acciones:</w:t>
      </w:r>
    </w:p>
    <w:p w14:paraId="13553823" w14:textId="77777777" w:rsidR="005A2D68" w:rsidRPr="005A2D68" w:rsidRDefault="005A2D68" w:rsidP="00CB4994">
      <w:pPr>
        <w:numPr>
          <w:ilvl w:val="0"/>
          <w:numId w:val="15"/>
        </w:numPr>
        <w:spacing w:line="360" w:lineRule="auto"/>
        <w:ind w:left="360"/>
        <w:jc w:val="both"/>
        <w:rPr>
          <w:u w:color="000000"/>
          <w:lang w:val="es-DO" w:eastAsia="es-DO"/>
        </w:rPr>
      </w:pPr>
      <w:r w:rsidRPr="005A2D68">
        <w:rPr>
          <w:b/>
          <w:bCs/>
          <w:u w:color="000000"/>
          <w:lang w:val="es-DO" w:eastAsia="es-DO"/>
        </w:rPr>
        <w:t xml:space="preserve">Lanzamiento de nueva versión del API de Estadísticas del Sistema Financiero. </w:t>
      </w:r>
      <w:r w:rsidRPr="005A2D68">
        <w:rPr>
          <w:u w:color="000000"/>
          <w:lang w:val="es-DO" w:eastAsia="es-DO"/>
        </w:rPr>
        <w:t>Se lanzó la versión 2.0 del API de estadísticas con algunas mejoras importantes y nuevas experiencias.</w:t>
      </w:r>
    </w:p>
    <w:p w14:paraId="47576491" w14:textId="77777777" w:rsidR="005A2D68" w:rsidRPr="005A2D68" w:rsidRDefault="005A2D68" w:rsidP="00CB4994">
      <w:pPr>
        <w:numPr>
          <w:ilvl w:val="0"/>
          <w:numId w:val="15"/>
        </w:numPr>
        <w:spacing w:line="360" w:lineRule="auto"/>
        <w:ind w:left="360"/>
        <w:jc w:val="both"/>
        <w:rPr>
          <w:u w:color="000000"/>
          <w:lang w:val="es-DO" w:eastAsia="es-DO"/>
        </w:rPr>
      </w:pPr>
      <w:r w:rsidRPr="005A2D68">
        <w:rPr>
          <w:b/>
          <w:bCs/>
          <w:u w:color="000000"/>
          <w:lang w:val="es-DO" w:eastAsia="es-DO"/>
        </w:rPr>
        <w:t>Actualización del portal interno DASH. </w:t>
      </w:r>
      <w:r w:rsidRPr="005A2D68">
        <w:rPr>
          <w:u w:color="000000"/>
          <w:lang w:val="es-DO" w:eastAsia="es-DO"/>
        </w:rPr>
        <w:t>Esta actualización incluye nuevas vistas y mejores funcionalidades para el apoyo de las labores de supervisión de la entidad, como el monitoreo automático de la concentración de grupos de riesgos.</w:t>
      </w:r>
    </w:p>
    <w:p w14:paraId="7EB9DDF2" w14:textId="77777777" w:rsidR="005A2D68" w:rsidRPr="005A2D68" w:rsidRDefault="005A2D68" w:rsidP="00CB4994">
      <w:pPr>
        <w:numPr>
          <w:ilvl w:val="0"/>
          <w:numId w:val="15"/>
        </w:numPr>
        <w:spacing w:line="360" w:lineRule="auto"/>
        <w:ind w:left="360"/>
        <w:jc w:val="both"/>
        <w:rPr>
          <w:u w:color="000000"/>
          <w:lang w:val="es-DO" w:eastAsia="es-DO"/>
        </w:rPr>
      </w:pPr>
      <w:r w:rsidRPr="005A2D68">
        <w:rPr>
          <w:b/>
          <w:bCs/>
          <w:u w:color="000000"/>
          <w:lang w:val="es-DO" w:eastAsia="es-DO"/>
        </w:rPr>
        <w:t>Implementación metodología D-SIB para identificar entidades sistémicas.</w:t>
      </w:r>
      <w:r w:rsidRPr="005A2D68">
        <w:rPr>
          <w:u w:color="000000"/>
          <w:lang w:val="es-DO" w:eastAsia="es-DO"/>
        </w:rPr>
        <w:t xml:space="preserve"> Con esta metodología se determinan de manera objetiva las entidades sistémicas, según lo recomendado por el Comité de Basilea, para apoyar la transformación del modelo de supervisión hacia la Supervisión Basada en Riesgos.</w:t>
      </w:r>
    </w:p>
    <w:p w14:paraId="3B8493DC" w14:textId="77777777" w:rsidR="005A2D68" w:rsidRPr="005A2D68" w:rsidRDefault="005A2D68" w:rsidP="00CB4994">
      <w:pPr>
        <w:numPr>
          <w:ilvl w:val="0"/>
          <w:numId w:val="15"/>
        </w:numPr>
        <w:spacing w:line="360" w:lineRule="auto"/>
        <w:ind w:left="360"/>
        <w:jc w:val="both"/>
        <w:rPr>
          <w:u w:color="000000"/>
          <w:lang w:val="es-DO" w:eastAsia="es-DO"/>
        </w:rPr>
      </w:pPr>
      <w:r w:rsidRPr="005A2D68">
        <w:rPr>
          <w:b/>
          <w:bCs/>
          <w:u w:color="000000"/>
          <w:lang w:val="es-DO" w:eastAsia="es-DO"/>
        </w:rPr>
        <w:t>Ampliación de la metodología de calificación de Riesgo Cuantitativo de las EIF. </w:t>
      </w:r>
      <w:r w:rsidRPr="005A2D68">
        <w:rPr>
          <w:u w:color="000000"/>
          <w:lang w:val="es-DO" w:eastAsia="es-DO"/>
        </w:rPr>
        <w:t>Esta iniciativa apoya la transformación del modelo de supervisión hacia la Supervisión Basada en Riesgos.</w:t>
      </w:r>
    </w:p>
    <w:p w14:paraId="68293E01" w14:textId="77777777" w:rsidR="005A2D68" w:rsidRPr="005A2D68" w:rsidRDefault="005A2D68" w:rsidP="00CB4994">
      <w:pPr>
        <w:numPr>
          <w:ilvl w:val="0"/>
          <w:numId w:val="15"/>
        </w:numPr>
        <w:spacing w:line="360" w:lineRule="auto"/>
        <w:ind w:left="360"/>
        <w:jc w:val="both"/>
        <w:rPr>
          <w:u w:color="000000"/>
          <w:lang w:val="es-DO" w:eastAsia="es-DO"/>
        </w:rPr>
      </w:pPr>
      <w:r w:rsidRPr="005A2D68">
        <w:rPr>
          <w:b/>
          <w:bCs/>
          <w:u w:color="000000"/>
          <w:lang w:val="es-DO" w:eastAsia="es-DO"/>
        </w:rPr>
        <w:lastRenderedPageBreak/>
        <w:t xml:space="preserve">Elaboración de nuevos indicadores y analíticas para evaluar la salud de la cartera de crédito de las EIF. </w:t>
      </w:r>
      <w:r w:rsidRPr="005A2D68">
        <w:rPr>
          <w:u w:color="000000"/>
          <w:lang w:val="es-DO" w:eastAsia="es-DO"/>
        </w:rPr>
        <w:t>Estas nuevas analíticas permiten evaluar la cartera de crédito en función de lo sugerido por el Comité de Basilea y ofrece elementos prospectivos de su comportamiento.</w:t>
      </w:r>
    </w:p>
    <w:p w14:paraId="113C9976" w14:textId="77777777" w:rsidR="005A2D68" w:rsidRPr="005A2D68" w:rsidRDefault="005A2D68" w:rsidP="00CB4994">
      <w:pPr>
        <w:numPr>
          <w:ilvl w:val="0"/>
          <w:numId w:val="15"/>
        </w:numPr>
        <w:spacing w:line="360" w:lineRule="auto"/>
        <w:ind w:left="360"/>
        <w:jc w:val="both"/>
        <w:rPr>
          <w:u w:color="000000"/>
          <w:lang w:val="es-DO" w:eastAsia="es-DO"/>
        </w:rPr>
      </w:pPr>
      <w:r w:rsidRPr="005A2D68">
        <w:rPr>
          <w:b/>
          <w:bCs/>
          <w:u w:color="000000"/>
          <w:lang w:val="es-DO" w:eastAsia="es-DO"/>
        </w:rPr>
        <w:t>Ejecución de prueba de estrés ampliada a las EIF supervisadas. </w:t>
      </w:r>
      <w:r w:rsidRPr="005A2D68">
        <w:rPr>
          <w:u w:color="000000"/>
          <w:lang w:val="es-DO" w:eastAsia="es-DO"/>
        </w:rPr>
        <w:t>Esta iniciativa ofrece visibilidad sobre la posición actual de las EIF y el potencial impacto que experimentarían de materializarse algún escenario adverso, apoyando labores preventivas de supervisión y aumentando el nivel de transparencia.</w:t>
      </w:r>
    </w:p>
    <w:p w14:paraId="5CD80953" w14:textId="77777777" w:rsidR="005A2D68" w:rsidRDefault="005A2D68" w:rsidP="00CB4994">
      <w:pPr>
        <w:numPr>
          <w:ilvl w:val="0"/>
          <w:numId w:val="15"/>
        </w:numPr>
        <w:spacing w:line="360" w:lineRule="auto"/>
        <w:ind w:left="360"/>
        <w:jc w:val="both"/>
        <w:rPr>
          <w:u w:color="000000"/>
          <w:lang w:val="es-DO" w:eastAsia="es-DO"/>
        </w:rPr>
      </w:pPr>
      <w:r w:rsidRPr="005A2D68">
        <w:rPr>
          <w:b/>
          <w:bCs/>
          <w:u w:color="000000"/>
          <w:lang w:val="es-DO" w:eastAsia="es-DO"/>
        </w:rPr>
        <w:t>Publicación de una guía para el diseño y gestión de pruebas de estrés para las entidades de intermediación financiera.</w:t>
      </w:r>
      <w:r w:rsidRPr="005A2D68">
        <w:rPr>
          <w:u w:color="000000"/>
          <w:lang w:val="es-DO" w:eastAsia="es-DO"/>
        </w:rPr>
        <w:t xml:space="preserve"> Con esta guía se establece una política formal para la ejecución de las pruebas de estrés y que los resultados sirvan como herramienta de gestión para las entidades.</w:t>
      </w:r>
    </w:p>
    <w:p w14:paraId="123D5B30" w14:textId="77777777" w:rsidR="00E53004" w:rsidRPr="005A2D68" w:rsidRDefault="00E53004" w:rsidP="006B204A">
      <w:pPr>
        <w:spacing w:line="360" w:lineRule="auto"/>
        <w:jc w:val="both"/>
        <w:rPr>
          <w:u w:color="000000"/>
          <w:lang w:val="es-DO" w:eastAsia="es-DO"/>
        </w:rPr>
      </w:pPr>
    </w:p>
    <w:p w14:paraId="6C3344B5" w14:textId="314DE276" w:rsidR="00E52ED4" w:rsidRPr="00C865B6" w:rsidRDefault="00F440A1" w:rsidP="006B204A">
      <w:pPr>
        <w:pStyle w:val="Ttulo1"/>
        <w:spacing w:before="0" w:after="160"/>
        <w:rPr>
          <w:rStyle w:val="EstiloTItulosMemoriasCar"/>
          <w:rFonts w:eastAsia="Calibri" w:cs="Times New Roman"/>
        </w:rPr>
      </w:pPr>
      <w:bookmarkStart w:id="76" w:name="_Toc122435016"/>
      <w:bookmarkStart w:id="77" w:name="_Toc123046921"/>
      <w:bookmarkStart w:id="78" w:name="_Toc155354618"/>
      <w:r>
        <w:rPr>
          <w:rStyle w:val="EstiloTItulosMemoriasCar"/>
          <w:rFonts w:eastAsia="Calibri" w:cs="Times New Roman"/>
        </w:rPr>
        <w:t>IV</w:t>
      </w:r>
      <w:r w:rsidR="00E52ED4" w:rsidRPr="00C865B6">
        <w:rPr>
          <w:rStyle w:val="EstiloTItulosMemoriasCar"/>
          <w:rFonts w:eastAsia="Calibri" w:cs="Times New Roman"/>
        </w:rPr>
        <w:t>.RESULTADOS ÁREAS TRANSVERSALES Y DE APOYO</w:t>
      </w:r>
      <w:bookmarkEnd w:id="76"/>
      <w:bookmarkEnd w:id="77"/>
      <w:bookmarkEnd w:id="78"/>
    </w:p>
    <w:p w14:paraId="05DFBBFC" w14:textId="77777777" w:rsidR="00E52ED4" w:rsidRPr="00C865B6" w:rsidRDefault="00E52ED4" w:rsidP="006B204A">
      <w:pPr>
        <w:rPr>
          <w:lang w:val="es-DO"/>
        </w:rPr>
      </w:pPr>
      <w:r w:rsidRPr="00C865B6">
        <w:rPr>
          <w:noProof/>
          <w:sz w:val="22"/>
          <w:highlight w:val="green"/>
          <w:lang w:eastAsia="es-ES"/>
        </w:rPr>
        <mc:AlternateContent>
          <mc:Choice Requires="wps">
            <w:drawing>
              <wp:anchor distT="0" distB="0" distL="114300" distR="114300" simplePos="0" relativeHeight="251658252" behindDoc="0" locked="0" layoutInCell="1" allowOverlap="1" wp14:anchorId="1356F27B" wp14:editId="09A10425">
                <wp:simplePos x="0" y="0"/>
                <wp:positionH relativeFrom="page">
                  <wp:align>center</wp:align>
                </wp:positionH>
                <wp:positionV relativeFrom="paragraph">
                  <wp:posOffset>41910</wp:posOffset>
                </wp:positionV>
                <wp:extent cx="463550" cy="0"/>
                <wp:effectExtent l="0" t="19050" r="31750" b="19050"/>
                <wp:wrapNone/>
                <wp:docPr id="35" name="Conector recto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45BA441C" id="Conector recto 35" o:spid="_x0000_s1026" style="position:absolute;z-index:25165825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3.3pt" to="36.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" strokecolor="#ee2a24" strokeweight="2.25pt">
                <v:stroke joinstyle="miter"/>
                <w10:wrap anchorx="page"/>
              </v:line>
            </w:pict>
          </mc:Fallback>
        </mc:AlternateContent>
      </w:r>
    </w:p>
    <w:p w14:paraId="1AE21033" w14:textId="4FB4AD18" w:rsidR="00090137" w:rsidRPr="003E774F" w:rsidRDefault="00F440A1" w:rsidP="006B204A">
      <w:pPr>
        <w:pStyle w:val="Estilo3"/>
        <w:spacing w:before="0" w:after="160" w:line="360" w:lineRule="auto"/>
        <w:rPr>
          <w:rFonts w:eastAsia="Calibri"/>
          <w:b/>
          <w:szCs w:val="24"/>
        </w:rPr>
      </w:pPr>
      <w:bookmarkStart w:id="79" w:name="_Toc122435017"/>
      <w:bookmarkStart w:id="80" w:name="_Toc123046922"/>
      <w:bookmarkStart w:id="81" w:name="_Hlk121908954"/>
      <w:bookmarkStart w:id="82" w:name="_Toc155354619"/>
      <w:r>
        <w:rPr>
          <w:rFonts w:eastAsia="Calibri"/>
          <w:b/>
          <w:szCs w:val="24"/>
        </w:rPr>
        <w:t>4</w:t>
      </w:r>
      <w:r w:rsidR="00E52ED4" w:rsidRPr="00344B50">
        <w:rPr>
          <w:rFonts w:eastAsia="Calibri"/>
          <w:b/>
          <w:szCs w:val="24"/>
        </w:rPr>
        <w:t xml:space="preserve">.1 Desempeño </w:t>
      </w:r>
      <w:r w:rsidR="00630E6F">
        <w:rPr>
          <w:rFonts w:eastAsia="Calibri"/>
          <w:b/>
          <w:szCs w:val="24"/>
        </w:rPr>
        <w:t>A</w:t>
      </w:r>
      <w:r w:rsidR="00E52ED4" w:rsidRPr="00344B50">
        <w:rPr>
          <w:rFonts w:eastAsia="Calibri"/>
          <w:b/>
          <w:szCs w:val="24"/>
        </w:rPr>
        <w:t xml:space="preserve">dministrativo y </w:t>
      </w:r>
      <w:bookmarkEnd w:id="79"/>
      <w:bookmarkEnd w:id="80"/>
      <w:r w:rsidR="00630E6F">
        <w:rPr>
          <w:rFonts w:eastAsia="Calibri"/>
          <w:b/>
          <w:szCs w:val="24"/>
        </w:rPr>
        <w:t>F</w:t>
      </w:r>
      <w:r w:rsidR="00E52ED4" w:rsidRPr="00344B50">
        <w:rPr>
          <w:rFonts w:eastAsia="Calibri"/>
          <w:b/>
          <w:szCs w:val="24"/>
        </w:rPr>
        <w:t>inanciero</w:t>
      </w:r>
      <w:bookmarkEnd w:id="82"/>
    </w:p>
    <w:p w14:paraId="5B56EA52" w14:textId="77777777" w:rsidR="001967A0" w:rsidRPr="00F8311E" w:rsidRDefault="001967A0" w:rsidP="00F8311E">
      <w:pPr>
        <w:pStyle w:val="CuerpoSB"/>
        <w:pBdr>
          <w:top w:val="none" w:sz="0" w:space="0" w:color="auto"/>
          <w:left w:val="none" w:sz="0" w:space="0" w:color="auto"/>
          <w:bottom w:val="none" w:sz="0" w:space="0" w:color="auto"/>
          <w:right w:val="none" w:sz="0" w:space="0" w:color="auto"/>
        </w:pBdr>
        <w:spacing w:line="360" w:lineRule="auto"/>
        <w:ind w:left="0"/>
        <w:contextualSpacing w:val="0"/>
        <w:jc w:val="left"/>
        <w:rPr>
          <w:rFonts w:ascii="Times New Roman" w:hAnsi="Times New Roman" w:cs="Times New Roman"/>
          <w:b/>
          <w:color w:val="767171"/>
          <w:spacing w:val="20"/>
          <w:sz w:val="24"/>
          <w:szCs w:val="24"/>
          <w:bdr w:val="none" w:sz="0" w:space="0" w:color="auto"/>
          <w:lang w:val="es-ES"/>
        </w:rPr>
      </w:pPr>
      <w:r w:rsidRPr="00F8311E">
        <w:rPr>
          <w:rFonts w:ascii="Times New Roman" w:hAnsi="Times New Roman" w:cs="Times New Roman"/>
          <w:b/>
          <w:color w:val="767171"/>
          <w:spacing w:val="20"/>
          <w:sz w:val="24"/>
          <w:szCs w:val="24"/>
          <w:bdr w:val="none" w:sz="0" w:space="0" w:color="auto"/>
          <w:lang w:val="es-ES"/>
        </w:rPr>
        <w:t xml:space="preserve">Presupuesto de </w:t>
      </w:r>
      <w:r w:rsidRPr="00F8311E">
        <w:rPr>
          <w:rFonts w:ascii="Times New Roman" w:eastAsia="Calibri" w:hAnsi="Times New Roman" w:cs="Times New Roman"/>
          <w:b/>
          <w:color w:val="767171"/>
          <w:spacing w:val="20"/>
          <w:sz w:val="24"/>
          <w:szCs w:val="24"/>
          <w:bdr w:val="none" w:sz="0" w:space="0" w:color="auto"/>
          <w:lang w:val="es-ES" w:eastAsia="en-US"/>
        </w:rPr>
        <w:t>i</w:t>
      </w:r>
      <w:r w:rsidRPr="00F8311E">
        <w:rPr>
          <w:rFonts w:ascii="Times New Roman" w:hAnsi="Times New Roman" w:cs="Times New Roman"/>
          <w:b/>
          <w:color w:val="767171"/>
          <w:spacing w:val="20"/>
          <w:sz w:val="24"/>
          <w:szCs w:val="24"/>
          <w:bdr w:val="none" w:sz="0" w:space="0" w:color="auto"/>
          <w:lang w:val="es-ES"/>
        </w:rPr>
        <w:t>ngresos</w:t>
      </w:r>
    </w:p>
    <w:p w14:paraId="7B871F32" w14:textId="4121FC35" w:rsidR="00732F29" w:rsidRPr="008D3929" w:rsidRDefault="001967A0" w:rsidP="006B204A">
      <w:pPr>
        <w:pStyle w:val="CuerpoSB"/>
        <w:pBdr>
          <w:top w:val="none" w:sz="0" w:space="0" w:color="auto"/>
          <w:left w:val="none" w:sz="0" w:space="0" w:color="auto"/>
          <w:bottom w:val="none" w:sz="0" w:space="0" w:color="auto"/>
          <w:right w:val="none" w:sz="0" w:space="0" w:color="auto"/>
        </w:pBdr>
        <w:spacing w:line="360" w:lineRule="auto"/>
        <w:ind w:left="0"/>
        <w:contextualSpacing w:val="0"/>
        <w:rPr>
          <w:rFonts w:ascii="Times New Roman" w:hAnsi="Times New Roman" w:cs="Times New Roman"/>
          <w:color w:val="767171"/>
          <w:spacing w:val="20"/>
          <w:sz w:val="24"/>
          <w:bdr w:val="none" w:sz="0" w:space="0" w:color="auto"/>
        </w:rPr>
      </w:pPr>
      <w:r w:rsidRPr="008D3929">
        <w:rPr>
          <w:rFonts w:ascii="Times New Roman" w:hAnsi="Times New Roman" w:cs="Times New Roman"/>
          <w:color w:val="767171"/>
          <w:spacing w:val="20"/>
          <w:sz w:val="24"/>
          <w:bdr w:val="none" w:sz="0" w:space="0" w:color="auto"/>
        </w:rPr>
        <w:t xml:space="preserve">Los ingresos de la Superintendencia de Bancos de la República Dominicana están amparados en la Cuarta Resolución de fecha 15 de diciembre de 2022, en la cual se recibió la aprobación de la Junta Monetaria de las partidas de ingresos, para el año 2023, por concepto de cuotas para cubrir los servicios de supervisión de las EIF que </w:t>
      </w:r>
      <w:r w:rsidRPr="008D3929">
        <w:rPr>
          <w:rFonts w:ascii="Times New Roman" w:hAnsi="Times New Roman" w:cs="Times New Roman"/>
          <w:color w:val="767171"/>
          <w:spacing w:val="20"/>
          <w:sz w:val="24"/>
          <w:bdr w:val="none" w:sz="0" w:space="0" w:color="auto"/>
        </w:rPr>
        <w:lastRenderedPageBreak/>
        <w:t>integran el sistema financiero de la República Dominicana, así como los Agentes de Cambios, por un monto de cinco mil setecientos veintiséis millones, novecientos sesenta y dos mil trescientos cuarenta y ocho pesos con 00/100 (RD$ 5,726,962,348). En adición, se presupuestaron otros ingresos, en su mayoría por rentabilidad de instrumentos financieros, por un monto de seiscientos ochenta millones, ochocientos setenta y cuatro mil doscientos ochenta y seis pesos 00/100 (RD$ 680,874,286).</w:t>
      </w:r>
    </w:p>
    <w:p w14:paraId="26E59E3F" w14:textId="39A21D55" w:rsidR="001967A0" w:rsidRPr="00C865B6" w:rsidRDefault="001967A0" w:rsidP="006B204A">
      <w:pPr>
        <w:spacing w:line="360" w:lineRule="auto"/>
        <w:ind w:left="360"/>
        <w:jc w:val="center"/>
        <w:rPr>
          <w:b/>
          <w:bCs/>
          <w:sz w:val="20"/>
          <w:szCs w:val="20"/>
          <w:lang w:val="es-DO"/>
        </w:rPr>
      </w:pPr>
      <w:r>
        <w:rPr>
          <w:b/>
          <w:bCs/>
          <w:lang w:val="es-DO"/>
        </w:rPr>
        <w:t>Tabla</w:t>
      </w:r>
      <w:r w:rsidRPr="00C865B6">
        <w:rPr>
          <w:b/>
          <w:bCs/>
          <w:lang w:val="es-DO"/>
        </w:rPr>
        <w:t xml:space="preserve"> </w:t>
      </w:r>
      <w:r w:rsidR="00C814E1">
        <w:rPr>
          <w:b/>
          <w:bCs/>
          <w:lang w:val="es-DO"/>
        </w:rPr>
        <w:t>5</w:t>
      </w:r>
      <w:r w:rsidRPr="00C865B6">
        <w:rPr>
          <w:b/>
          <w:bCs/>
          <w:lang w:val="es-DO"/>
        </w:rPr>
        <w:t xml:space="preserve">. Ingresos presupuestados y percibidos por la Superintendencia de Bancos según fuente de ingresos. </w:t>
      </w:r>
    </w:p>
    <w:tbl>
      <w:tblPr>
        <w:tblW w:w="7882" w:type="dxa"/>
        <w:jc w:val="center"/>
        <w:tblCellMar>
          <w:left w:w="70" w:type="dxa"/>
          <w:right w:w="70" w:type="dxa"/>
        </w:tblCellMar>
        <w:tblLook w:val="04A0" w:firstRow="1" w:lastRow="0" w:firstColumn="1" w:lastColumn="0" w:noHBand="0" w:noVBand="1"/>
      </w:tblPr>
      <w:tblGrid>
        <w:gridCol w:w="4054"/>
        <w:gridCol w:w="1952"/>
        <w:gridCol w:w="1876"/>
      </w:tblGrid>
      <w:tr w:rsidR="001967A0" w:rsidRPr="00C865B6" w14:paraId="5D04F580" w14:textId="77777777">
        <w:trPr>
          <w:trHeight w:val="394"/>
          <w:tblHeader/>
          <w:jc w:val="center"/>
        </w:trPr>
        <w:tc>
          <w:tcPr>
            <w:tcW w:w="0" w:type="auto"/>
            <w:tcBorders>
              <w:top w:val="single" w:sz="8" w:space="0" w:color="auto"/>
              <w:left w:val="single" w:sz="8" w:space="0" w:color="auto"/>
              <w:bottom w:val="single" w:sz="8" w:space="0" w:color="auto"/>
              <w:right w:val="single" w:sz="8" w:space="0" w:color="000000"/>
            </w:tcBorders>
            <w:shd w:val="clear" w:color="auto" w:fill="003876"/>
            <w:vAlign w:val="center"/>
            <w:hideMark/>
          </w:tcPr>
          <w:p w14:paraId="51F4AD21" w14:textId="77777777" w:rsidR="001967A0" w:rsidRPr="00C865B6" w:rsidRDefault="001967A0" w:rsidP="006B204A">
            <w:pPr>
              <w:spacing w:after="0" w:line="360" w:lineRule="auto"/>
              <w:jc w:val="center"/>
              <w:rPr>
                <w:rFonts w:eastAsia="Times New Roman"/>
                <w:b/>
                <w:bCs/>
                <w:color w:val="FFFFFF"/>
                <w:lang w:val="es-DO" w:eastAsia="es-DO"/>
              </w:rPr>
            </w:pPr>
            <w:r w:rsidRPr="00C865B6">
              <w:rPr>
                <w:rFonts w:eastAsia="Times New Roman"/>
                <w:b/>
                <w:bCs/>
                <w:color w:val="FFFFFF"/>
                <w:lang w:val="es-DO" w:eastAsia="es-DO"/>
              </w:rPr>
              <w:t>Fuente</w:t>
            </w:r>
          </w:p>
        </w:tc>
        <w:tc>
          <w:tcPr>
            <w:tcW w:w="0" w:type="auto"/>
            <w:tcBorders>
              <w:top w:val="single" w:sz="8" w:space="0" w:color="auto"/>
              <w:left w:val="nil"/>
              <w:bottom w:val="single" w:sz="8" w:space="0" w:color="auto"/>
              <w:right w:val="single" w:sz="8" w:space="0" w:color="auto"/>
            </w:tcBorders>
            <w:shd w:val="clear" w:color="auto" w:fill="003876"/>
            <w:vAlign w:val="center"/>
            <w:hideMark/>
          </w:tcPr>
          <w:p w14:paraId="32A2A773" w14:textId="77777777" w:rsidR="001967A0" w:rsidRPr="00C865B6" w:rsidRDefault="001967A0" w:rsidP="006B204A">
            <w:pPr>
              <w:spacing w:after="0" w:line="360" w:lineRule="auto"/>
              <w:jc w:val="center"/>
              <w:rPr>
                <w:rFonts w:eastAsia="Times New Roman"/>
                <w:b/>
                <w:bCs/>
                <w:color w:val="FFFFFF"/>
                <w:lang w:val="es-DO" w:eastAsia="es-DO"/>
              </w:rPr>
            </w:pPr>
            <w:r w:rsidRPr="00C865B6">
              <w:rPr>
                <w:rFonts w:eastAsia="Times New Roman"/>
                <w:b/>
                <w:bCs/>
                <w:color w:val="FFFFFF"/>
                <w:lang w:val="es-DO" w:eastAsia="es-DO"/>
              </w:rPr>
              <w:t>Monto Presupuesto</w:t>
            </w:r>
          </w:p>
        </w:tc>
        <w:tc>
          <w:tcPr>
            <w:tcW w:w="0" w:type="auto"/>
            <w:tcBorders>
              <w:top w:val="single" w:sz="8" w:space="0" w:color="auto"/>
              <w:left w:val="nil"/>
              <w:bottom w:val="single" w:sz="8" w:space="0" w:color="auto"/>
              <w:right w:val="single" w:sz="8" w:space="0" w:color="000000"/>
            </w:tcBorders>
            <w:shd w:val="clear" w:color="auto" w:fill="003876"/>
            <w:vAlign w:val="center"/>
            <w:hideMark/>
          </w:tcPr>
          <w:p w14:paraId="24FEC62A" w14:textId="77777777" w:rsidR="001967A0" w:rsidRPr="00C865B6" w:rsidRDefault="001967A0" w:rsidP="006B204A">
            <w:pPr>
              <w:spacing w:after="0" w:line="360" w:lineRule="auto"/>
              <w:jc w:val="center"/>
              <w:rPr>
                <w:rFonts w:eastAsia="Times New Roman"/>
                <w:b/>
                <w:bCs/>
                <w:color w:val="FFFFFF"/>
                <w:lang w:val="es-DO" w:eastAsia="es-DO"/>
              </w:rPr>
            </w:pPr>
            <w:r w:rsidRPr="00C865B6">
              <w:rPr>
                <w:rFonts w:eastAsia="Times New Roman"/>
                <w:b/>
                <w:bCs/>
                <w:color w:val="FFFFFF"/>
                <w:lang w:val="es-DO" w:eastAsia="es-DO"/>
              </w:rPr>
              <w:t>Monto Percibido</w:t>
            </w:r>
          </w:p>
        </w:tc>
      </w:tr>
      <w:tr w:rsidR="001967A0" w:rsidRPr="00C865B6" w14:paraId="299BA65B" w14:textId="77777777">
        <w:trPr>
          <w:trHeight w:val="394"/>
          <w:tblHeader/>
          <w:jc w:val="center"/>
        </w:trPr>
        <w:tc>
          <w:tcPr>
            <w:tcW w:w="0" w:type="auto"/>
            <w:tcBorders>
              <w:top w:val="nil"/>
              <w:left w:val="single" w:sz="8" w:space="0" w:color="auto"/>
              <w:bottom w:val="single" w:sz="8" w:space="0" w:color="auto"/>
              <w:right w:val="single" w:sz="8" w:space="0" w:color="000000"/>
            </w:tcBorders>
            <w:shd w:val="clear" w:color="auto" w:fill="auto"/>
            <w:vAlign w:val="center"/>
            <w:hideMark/>
          </w:tcPr>
          <w:p w14:paraId="224B0AD7" w14:textId="77777777" w:rsidR="001967A0" w:rsidRPr="00C865B6" w:rsidRDefault="001967A0" w:rsidP="006B204A">
            <w:pPr>
              <w:spacing w:after="0" w:line="360" w:lineRule="auto"/>
              <w:rPr>
                <w:rFonts w:eastAsia="Times New Roman"/>
                <w:b/>
                <w:bCs/>
                <w:lang w:val="es-DO" w:eastAsia="es-DO"/>
              </w:rPr>
            </w:pPr>
            <w:r w:rsidRPr="00C865B6">
              <w:rPr>
                <w:rFonts w:eastAsia="Times New Roman"/>
                <w:b/>
                <w:bCs/>
                <w:lang w:val="es-DO" w:eastAsia="es-DO"/>
              </w:rPr>
              <w:t>Bancos de Servicios Múltiples</w:t>
            </w:r>
          </w:p>
        </w:tc>
        <w:tc>
          <w:tcPr>
            <w:tcW w:w="0" w:type="auto"/>
            <w:tcBorders>
              <w:top w:val="nil"/>
              <w:left w:val="nil"/>
              <w:bottom w:val="single" w:sz="8" w:space="0" w:color="auto"/>
              <w:right w:val="single" w:sz="8" w:space="0" w:color="auto"/>
            </w:tcBorders>
            <w:shd w:val="clear" w:color="auto" w:fill="auto"/>
            <w:vAlign w:val="center"/>
            <w:hideMark/>
          </w:tcPr>
          <w:p w14:paraId="33EB9DB1" w14:textId="77777777" w:rsidR="001967A0" w:rsidRPr="00C865B6" w:rsidRDefault="001967A0" w:rsidP="006B204A">
            <w:pPr>
              <w:spacing w:after="0" w:line="360" w:lineRule="auto"/>
              <w:jc w:val="center"/>
              <w:rPr>
                <w:rFonts w:eastAsia="Times New Roman"/>
                <w:lang w:val="es-DO" w:eastAsia="es-DO"/>
              </w:rPr>
            </w:pPr>
            <w:r w:rsidRPr="00106B25">
              <w:rPr>
                <w:rFonts w:eastAsia="Times New Roman"/>
                <w:lang w:val="es-DO" w:eastAsia="es-DO"/>
              </w:rPr>
              <w:t>5,070,911,830</w:t>
            </w:r>
          </w:p>
        </w:tc>
        <w:tc>
          <w:tcPr>
            <w:tcW w:w="0" w:type="auto"/>
            <w:tcBorders>
              <w:top w:val="nil"/>
              <w:left w:val="nil"/>
              <w:bottom w:val="single" w:sz="8" w:space="0" w:color="auto"/>
              <w:right w:val="single" w:sz="8" w:space="0" w:color="000000"/>
            </w:tcBorders>
            <w:shd w:val="clear" w:color="auto" w:fill="auto"/>
            <w:vAlign w:val="center"/>
            <w:hideMark/>
          </w:tcPr>
          <w:p w14:paraId="710D62FE" w14:textId="77777777" w:rsidR="001967A0" w:rsidRPr="00C865B6" w:rsidRDefault="001967A0" w:rsidP="006B204A">
            <w:pPr>
              <w:spacing w:after="0" w:line="360" w:lineRule="auto"/>
              <w:jc w:val="center"/>
              <w:rPr>
                <w:rFonts w:eastAsia="Times New Roman"/>
                <w:lang w:val="es-DO" w:eastAsia="es-DO"/>
              </w:rPr>
            </w:pPr>
            <w:r w:rsidRPr="00106B25">
              <w:rPr>
                <w:rFonts w:eastAsia="Times New Roman"/>
                <w:lang w:val="es-DO" w:eastAsia="es-DO"/>
              </w:rPr>
              <w:t>5,070,911,830</w:t>
            </w:r>
          </w:p>
        </w:tc>
      </w:tr>
      <w:tr w:rsidR="001967A0" w:rsidRPr="00C865B6" w14:paraId="49B34D01" w14:textId="77777777">
        <w:trPr>
          <w:trHeight w:val="394"/>
          <w:tblHeader/>
          <w:jc w:val="center"/>
        </w:trPr>
        <w:tc>
          <w:tcPr>
            <w:tcW w:w="0" w:type="auto"/>
            <w:tcBorders>
              <w:top w:val="nil"/>
              <w:left w:val="single" w:sz="8" w:space="0" w:color="auto"/>
              <w:bottom w:val="single" w:sz="8" w:space="0" w:color="auto"/>
              <w:right w:val="single" w:sz="8" w:space="0" w:color="000000"/>
            </w:tcBorders>
            <w:shd w:val="clear" w:color="auto" w:fill="auto"/>
            <w:vAlign w:val="center"/>
            <w:hideMark/>
          </w:tcPr>
          <w:p w14:paraId="5349C31B" w14:textId="77777777" w:rsidR="001967A0" w:rsidRPr="00C865B6" w:rsidRDefault="001967A0" w:rsidP="006B204A">
            <w:pPr>
              <w:spacing w:after="0" w:line="360" w:lineRule="auto"/>
              <w:rPr>
                <w:rFonts w:eastAsia="Times New Roman"/>
                <w:b/>
                <w:bCs/>
                <w:lang w:val="es-DO" w:eastAsia="es-DO"/>
              </w:rPr>
            </w:pPr>
            <w:r w:rsidRPr="00C865B6">
              <w:rPr>
                <w:rFonts w:eastAsia="Times New Roman"/>
                <w:b/>
                <w:bCs/>
                <w:lang w:val="es-DO" w:eastAsia="es-DO"/>
              </w:rPr>
              <w:t>Asociaciones   de Ahorros y Préstamos</w:t>
            </w:r>
          </w:p>
        </w:tc>
        <w:tc>
          <w:tcPr>
            <w:tcW w:w="0" w:type="auto"/>
            <w:tcBorders>
              <w:top w:val="nil"/>
              <w:left w:val="nil"/>
              <w:bottom w:val="single" w:sz="8" w:space="0" w:color="auto"/>
              <w:right w:val="single" w:sz="8" w:space="0" w:color="auto"/>
            </w:tcBorders>
            <w:shd w:val="clear" w:color="auto" w:fill="auto"/>
            <w:vAlign w:val="center"/>
            <w:hideMark/>
          </w:tcPr>
          <w:p w14:paraId="4FCEB8AD" w14:textId="77777777" w:rsidR="001967A0" w:rsidRPr="00C865B6" w:rsidRDefault="001967A0" w:rsidP="006B204A">
            <w:pPr>
              <w:spacing w:after="0" w:line="360" w:lineRule="auto"/>
              <w:jc w:val="center"/>
              <w:rPr>
                <w:rFonts w:eastAsia="Times New Roman"/>
                <w:lang w:val="es-DO" w:eastAsia="es-DO"/>
              </w:rPr>
            </w:pPr>
            <w:r w:rsidRPr="00106B25">
              <w:rPr>
                <w:rFonts w:eastAsia="Times New Roman"/>
                <w:lang w:val="es-DO" w:eastAsia="es-DO"/>
              </w:rPr>
              <w:t>542,288,034</w:t>
            </w:r>
          </w:p>
        </w:tc>
        <w:tc>
          <w:tcPr>
            <w:tcW w:w="0" w:type="auto"/>
            <w:tcBorders>
              <w:top w:val="nil"/>
              <w:left w:val="nil"/>
              <w:bottom w:val="single" w:sz="8" w:space="0" w:color="auto"/>
              <w:right w:val="single" w:sz="8" w:space="0" w:color="000000"/>
            </w:tcBorders>
            <w:shd w:val="clear" w:color="auto" w:fill="auto"/>
            <w:vAlign w:val="center"/>
            <w:hideMark/>
          </w:tcPr>
          <w:p w14:paraId="488FA4D5" w14:textId="77777777" w:rsidR="001967A0" w:rsidRPr="00C865B6" w:rsidRDefault="001967A0" w:rsidP="006B204A">
            <w:pPr>
              <w:spacing w:after="0" w:line="360" w:lineRule="auto"/>
              <w:jc w:val="center"/>
              <w:rPr>
                <w:rFonts w:eastAsia="Times New Roman"/>
                <w:lang w:val="es-DO" w:eastAsia="es-DO"/>
              </w:rPr>
            </w:pPr>
            <w:r w:rsidRPr="00106B25">
              <w:rPr>
                <w:rFonts w:eastAsia="Times New Roman"/>
                <w:lang w:val="es-DO" w:eastAsia="es-DO"/>
              </w:rPr>
              <w:t>542,288,034</w:t>
            </w:r>
          </w:p>
        </w:tc>
      </w:tr>
      <w:tr w:rsidR="001967A0" w:rsidRPr="00C865B6" w14:paraId="3F424C03" w14:textId="77777777">
        <w:trPr>
          <w:trHeight w:val="394"/>
          <w:tblHeader/>
          <w:jc w:val="center"/>
        </w:trPr>
        <w:tc>
          <w:tcPr>
            <w:tcW w:w="0" w:type="auto"/>
            <w:tcBorders>
              <w:top w:val="nil"/>
              <w:left w:val="single" w:sz="8" w:space="0" w:color="auto"/>
              <w:bottom w:val="single" w:sz="8" w:space="0" w:color="auto"/>
              <w:right w:val="single" w:sz="8" w:space="0" w:color="000000"/>
            </w:tcBorders>
            <w:shd w:val="clear" w:color="auto" w:fill="auto"/>
            <w:vAlign w:val="center"/>
            <w:hideMark/>
          </w:tcPr>
          <w:p w14:paraId="7E9E0018" w14:textId="77777777" w:rsidR="001967A0" w:rsidRPr="00C865B6" w:rsidRDefault="001967A0" w:rsidP="006B204A">
            <w:pPr>
              <w:spacing w:after="0" w:line="360" w:lineRule="auto"/>
              <w:rPr>
                <w:rFonts w:eastAsia="Times New Roman"/>
                <w:b/>
                <w:bCs/>
                <w:lang w:val="es-DO" w:eastAsia="es-DO"/>
              </w:rPr>
            </w:pPr>
            <w:r w:rsidRPr="00C865B6">
              <w:rPr>
                <w:rFonts w:eastAsia="Times New Roman"/>
                <w:b/>
                <w:bCs/>
                <w:lang w:val="es-DO" w:eastAsia="es-DO"/>
              </w:rPr>
              <w:t>Bancos de Ahorros y Créditos</w:t>
            </w:r>
          </w:p>
        </w:tc>
        <w:tc>
          <w:tcPr>
            <w:tcW w:w="0" w:type="auto"/>
            <w:tcBorders>
              <w:top w:val="nil"/>
              <w:left w:val="nil"/>
              <w:bottom w:val="single" w:sz="8" w:space="0" w:color="auto"/>
              <w:right w:val="single" w:sz="8" w:space="0" w:color="auto"/>
            </w:tcBorders>
            <w:shd w:val="clear" w:color="auto" w:fill="auto"/>
            <w:vAlign w:val="center"/>
            <w:hideMark/>
          </w:tcPr>
          <w:p w14:paraId="0E7685AB" w14:textId="77777777" w:rsidR="001967A0" w:rsidRPr="00C865B6" w:rsidRDefault="001967A0" w:rsidP="006B204A">
            <w:pPr>
              <w:spacing w:after="0" w:line="360" w:lineRule="auto"/>
              <w:jc w:val="center"/>
              <w:rPr>
                <w:rFonts w:eastAsia="Times New Roman"/>
                <w:lang w:val="es-DO" w:eastAsia="es-DO"/>
              </w:rPr>
            </w:pPr>
            <w:r w:rsidRPr="00106B25">
              <w:rPr>
                <w:rFonts w:eastAsia="Times New Roman"/>
                <w:lang w:val="es-DO" w:eastAsia="es-DO"/>
              </w:rPr>
              <w:t>101,327,294</w:t>
            </w:r>
          </w:p>
        </w:tc>
        <w:tc>
          <w:tcPr>
            <w:tcW w:w="0" w:type="auto"/>
            <w:tcBorders>
              <w:top w:val="nil"/>
              <w:left w:val="nil"/>
              <w:bottom w:val="single" w:sz="8" w:space="0" w:color="auto"/>
              <w:right w:val="single" w:sz="8" w:space="0" w:color="000000"/>
            </w:tcBorders>
            <w:shd w:val="clear" w:color="auto" w:fill="auto"/>
            <w:vAlign w:val="center"/>
            <w:hideMark/>
          </w:tcPr>
          <w:p w14:paraId="73F2A8CA" w14:textId="77777777" w:rsidR="001967A0" w:rsidRPr="00C865B6" w:rsidRDefault="001967A0" w:rsidP="006B204A">
            <w:pPr>
              <w:spacing w:after="0" w:line="360" w:lineRule="auto"/>
              <w:jc w:val="center"/>
              <w:rPr>
                <w:rFonts w:eastAsia="Times New Roman"/>
                <w:lang w:val="es-DO" w:eastAsia="es-DO"/>
              </w:rPr>
            </w:pPr>
            <w:r w:rsidRPr="00106B25">
              <w:rPr>
                <w:rFonts w:eastAsia="Times New Roman"/>
                <w:lang w:val="es-DO" w:eastAsia="es-DO"/>
              </w:rPr>
              <w:t>101,327,294</w:t>
            </w:r>
          </w:p>
        </w:tc>
      </w:tr>
      <w:tr w:rsidR="001967A0" w:rsidRPr="00C865B6" w14:paraId="7BD9B58E" w14:textId="77777777">
        <w:trPr>
          <w:trHeight w:val="394"/>
          <w:tblHeader/>
          <w:jc w:val="center"/>
        </w:trPr>
        <w:tc>
          <w:tcPr>
            <w:tcW w:w="0" w:type="auto"/>
            <w:tcBorders>
              <w:top w:val="nil"/>
              <w:left w:val="single" w:sz="8" w:space="0" w:color="auto"/>
              <w:bottom w:val="single" w:sz="8" w:space="0" w:color="auto"/>
              <w:right w:val="single" w:sz="8" w:space="0" w:color="000000"/>
            </w:tcBorders>
            <w:shd w:val="clear" w:color="auto" w:fill="auto"/>
            <w:vAlign w:val="center"/>
            <w:hideMark/>
          </w:tcPr>
          <w:p w14:paraId="6D6AE807" w14:textId="77777777" w:rsidR="001967A0" w:rsidRPr="00C865B6" w:rsidRDefault="001967A0" w:rsidP="006B204A">
            <w:pPr>
              <w:spacing w:after="0" w:line="360" w:lineRule="auto"/>
              <w:rPr>
                <w:rFonts w:eastAsia="Times New Roman"/>
                <w:b/>
                <w:bCs/>
                <w:lang w:val="es-DO" w:eastAsia="es-DO"/>
              </w:rPr>
            </w:pPr>
            <w:r w:rsidRPr="00C865B6">
              <w:rPr>
                <w:rFonts w:eastAsia="Times New Roman"/>
                <w:b/>
                <w:bCs/>
                <w:lang w:val="es-DO" w:eastAsia="es-DO"/>
              </w:rPr>
              <w:t>Corporaciones de Créditos</w:t>
            </w:r>
          </w:p>
        </w:tc>
        <w:tc>
          <w:tcPr>
            <w:tcW w:w="0" w:type="auto"/>
            <w:tcBorders>
              <w:top w:val="nil"/>
              <w:left w:val="nil"/>
              <w:bottom w:val="single" w:sz="8" w:space="0" w:color="auto"/>
              <w:right w:val="single" w:sz="8" w:space="0" w:color="auto"/>
            </w:tcBorders>
            <w:shd w:val="clear" w:color="auto" w:fill="auto"/>
            <w:vAlign w:val="center"/>
            <w:hideMark/>
          </w:tcPr>
          <w:p w14:paraId="395445AF" w14:textId="77777777" w:rsidR="001967A0" w:rsidRPr="00C865B6" w:rsidRDefault="001967A0" w:rsidP="006B204A">
            <w:pPr>
              <w:spacing w:after="0" w:line="360" w:lineRule="auto"/>
              <w:jc w:val="center"/>
              <w:rPr>
                <w:rFonts w:eastAsia="Times New Roman"/>
                <w:lang w:val="es-DO" w:eastAsia="es-DO"/>
              </w:rPr>
            </w:pPr>
            <w:r w:rsidRPr="00106B25">
              <w:rPr>
                <w:rFonts w:eastAsia="Times New Roman"/>
                <w:lang w:val="es-DO" w:eastAsia="es-DO"/>
              </w:rPr>
              <w:t>6,865,60</w:t>
            </w:r>
            <w:r>
              <w:rPr>
                <w:rFonts w:eastAsia="Times New Roman"/>
                <w:lang w:val="es-DO" w:eastAsia="es-DO"/>
              </w:rPr>
              <w:t>1</w:t>
            </w:r>
          </w:p>
        </w:tc>
        <w:tc>
          <w:tcPr>
            <w:tcW w:w="0" w:type="auto"/>
            <w:tcBorders>
              <w:top w:val="nil"/>
              <w:left w:val="nil"/>
              <w:bottom w:val="single" w:sz="8" w:space="0" w:color="auto"/>
              <w:right w:val="single" w:sz="8" w:space="0" w:color="000000"/>
            </w:tcBorders>
            <w:shd w:val="clear" w:color="auto" w:fill="auto"/>
            <w:vAlign w:val="center"/>
            <w:hideMark/>
          </w:tcPr>
          <w:p w14:paraId="71022F33" w14:textId="77777777" w:rsidR="001967A0" w:rsidRPr="00C865B6" w:rsidRDefault="001967A0" w:rsidP="006B204A">
            <w:pPr>
              <w:spacing w:after="0" w:line="360" w:lineRule="auto"/>
              <w:jc w:val="center"/>
              <w:rPr>
                <w:rFonts w:eastAsia="Times New Roman"/>
                <w:lang w:val="es-DO" w:eastAsia="es-DO"/>
              </w:rPr>
            </w:pPr>
            <w:r w:rsidRPr="00106B25">
              <w:rPr>
                <w:rFonts w:eastAsia="Times New Roman"/>
                <w:lang w:val="es-DO" w:eastAsia="es-DO"/>
              </w:rPr>
              <w:t>6,865,601</w:t>
            </w:r>
          </w:p>
        </w:tc>
      </w:tr>
      <w:tr w:rsidR="001967A0" w:rsidRPr="00C865B6" w14:paraId="67862FF6" w14:textId="77777777">
        <w:trPr>
          <w:trHeight w:val="770"/>
          <w:tblHeader/>
          <w:jc w:val="center"/>
        </w:trPr>
        <w:tc>
          <w:tcPr>
            <w:tcW w:w="0" w:type="auto"/>
            <w:tcBorders>
              <w:top w:val="nil"/>
              <w:left w:val="single" w:sz="8" w:space="0" w:color="auto"/>
              <w:bottom w:val="single" w:sz="8" w:space="0" w:color="auto"/>
              <w:right w:val="single" w:sz="8" w:space="0" w:color="000000"/>
            </w:tcBorders>
            <w:shd w:val="clear" w:color="auto" w:fill="auto"/>
            <w:vAlign w:val="center"/>
            <w:hideMark/>
          </w:tcPr>
          <w:p w14:paraId="6A16F681" w14:textId="77777777" w:rsidR="001967A0" w:rsidRPr="00C865B6" w:rsidRDefault="001967A0" w:rsidP="006B204A">
            <w:pPr>
              <w:spacing w:after="0" w:line="360" w:lineRule="auto"/>
              <w:rPr>
                <w:rFonts w:eastAsia="Times New Roman"/>
                <w:b/>
                <w:bCs/>
                <w:lang w:val="es-DO" w:eastAsia="es-DO"/>
              </w:rPr>
            </w:pPr>
            <w:r w:rsidRPr="00C865B6">
              <w:rPr>
                <w:rFonts w:eastAsia="Times New Roman"/>
                <w:b/>
                <w:bCs/>
                <w:lang w:val="es-DO" w:eastAsia="es-DO"/>
              </w:rPr>
              <w:t>Organismos del Estado Sujetos a Supervisión (Banco Nacional de las Exportaciones)</w:t>
            </w:r>
          </w:p>
        </w:tc>
        <w:tc>
          <w:tcPr>
            <w:tcW w:w="0" w:type="auto"/>
            <w:tcBorders>
              <w:top w:val="nil"/>
              <w:left w:val="nil"/>
              <w:bottom w:val="single" w:sz="8" w:space="0" w:color="auto"/>
              <w:right w:val="single" w:sz="8" w:space="0" w:color="auto"/>
            </w:tcBorders>
            <w:shd w:val="clear" w:color="auto" w:fill="auto"/>
            <w:vAlign w:val="center"/>
            <w:hideMark/>
          </w:tcPr>
          <w:p w14:paraId="0DFB9EB0" w14:textId="77777777" w:rsidR="001967A0" w:rsidRPr="00C865B6" w:rsidRDefault="001967A0" w:rsidP="006B204A">
            <w:pPr>
              <w:spacing w:after="0" w:line="360" w:lineRule="auto"/>
              <w:jc w:val="center"/>
              <w:rPr>
                <w:rFonts w:eastAsia="Times New Roman"/>
                <w:lang w:val="es-DO" w:eastAsia="es-DO"/>
              </w:rPr>
            </w:pPr>
            <w:r w:rsidRPr="00C865B6">
              <w:rPr>
                <w:rFonts w:eastAsia="Times New Roman"/>
                <w:lang w:val="es-DO" w:eastAsia="es-DO"/>
              </w:rPr>
              <w:t>0</w:t>
            </w:r>
          </w:p>
        </w:tc>
        <w:tc>
          <w:tcPr>
            <w:tcW w:w="0" w:type="auto"/>
            <w:tcBorders>
              <w:top w:val="nil"/>
              <w:left w:val="nil"/>
              <w:bottom w:val="single" w:sz="8" w:space="0" w:color="auto"/>
              <w:right w:val="single" w:sz="8" w:space="0" w:color="000000"/>
            </w:tcBorders>
            <w:shd w:val="clear" w:color="auto" w:fill="auto"/>
            <w:vAlign w:val="center"/>
            <w:hideMark/>
          </w:tcPr>
          <w:p w14:paraId="09038807" w14:textId="77777777" w:rsidR="001967A0" w:rsidRPr="00C865B6" w:rsidRDefault="001967A0" w:rsidP="006B204A">
            <w:pPr>
              <w:spacing w:after="0" w:line="360" w:lineRule="auto"/>
              <w:jc w:val="center"/>
              <w:rPr>
                <w:rFonts w:eastAsia="Times New Roman"/>
                <w:lang w:val="es-DO" w:eastAsia="es-DO"/>
              </w:rPr>
            </w:pPr>
            <w:r w:rsidRPr="00C865B6">
              <w:rPr>
                <w:rFonts w:eastAsia="Times New Roman"/>
                <w:lang w:val="es-DO" w:eastAsia="es-DO"/>
              </w:rPr>
              <w:t>0</w:t>
            </w:r>
          </w:p>
        </w:tc>
      </w:tr>
      <w:tr w:rsidR="001967A0" w:rsidRPr="00C865B6" w14:paraId="58AE2AE4" w14:textId="77777777">
        <w:trPr>
          <w:trHeight w:val="394"/>
          <w:tblHeader/>
          <w:jc w:val="center"/>
        </w:trPr>
        <w:tc>
          <w:tcPr>
            <w:tcW w:w="0" w:type="auto"/>
            <w:tcBorders>
              <w:top w:val="nil"/>
              <w:left w:val="single" w:sz="8" w:space="0" w:color="auto"/>
              <w:bottom w:val="single" w:sz="8" w:space="0" w:color="auto"/>
              <w:right w:val="single" w:sz="8" w:space="0" w:color="000000"/>
            </w:tcBorders>
            <w:shd w:val="clear" w:color="auto" w:fill="auto"/>
            <w:vAlign w:val="center"/>
            <w:hideMark/>
          </w:tcPr>
          <w:p w14:paraId="21EACBC8" w14:textId="77777777" w:rsidR="001967A0" w:rsidRPr="00C865B6" w:rsidRDefault="001967A0" w:rsidP="006B204A">
            <w:pPr>
              <w:spacing w:after="0" w:line="360" w:lineRule="auto"/>
              <w:rPr>
                <w:rFonts w:eastAsia="Times New Roman"/>
                <w:b/>
                <w:bCs/>
                <w:lang w:val="es-DO" w:eastAsia="es-DO"/>
              </w:rPr>
            </w:pPr>
            <w:r w:rsidRPr="00C865B6">
              <w:rPr>
                <w:rFonts w:eastAsia="Times New Roman"/>
                <w:b/>
                <w:bCs/>
                <w:lang w:val="es-DO" w:eastAsia="es-DO"/>
              </w:rPr>
              <w:t>Agentes de Cambio y Remesadoras</w:t>
            </w:r>
          </w:p>
        </w:tc>
        <w:tc>
          <w:tcPr>
            <w:tcW w:w="0" w:type="auto"/>
            <w:tcBorders>
              <w:top w:val="nil"/>
              <w:left w:val="nil"/>
              <w:bottom w:val="single" w:sz="8" w:space="0" w:color="auto"/>
              <w:right w:val="single" w:sz="8" w:space="0" w:color="auto"/>
            </w:tcBorders>
            <w:shd w:val="clear" w:color="auto" w:fill="auto"/>
            <w:vAlign w:val="center"/>
            <w:hideMark/>
          </w:tcPr>
          <w:p w14:paraId="47988236" w14:textId="77777777" w:rsidR="001967A0" w:rsidRPr="00C865B6" w:rsidRDefault="001967A0" w:rsidP="006B204A">
            <w:pPr>
              <w:spacing w:after="0" w:line="360" w:lineRule="auto"/>
              <w:jc w:val="center"/>
              <w:rPr>
                <w:rFonts w:eastAsia="Times New Roman"/>
                <w:lang w:val="es-DO" w:eastAsia="es-DO"/>
              </w:rPr>
            </w:pPr>
            <w:r w:rsidRPr="00106B25">
              <w:rPr>
                <w:rFonts w:eastAsia="Times New Roman"/>
                <w:lang w:val="es-DO" w:eastAsia="es-DO"/>
              </w:rPr>
              <w:t>5,569,589</w:t>
            </w:r>
          </w:p>
        </w:tc>
        <w:tc>
          <w:tcPr>
            <w:tcW w:w="0" w:type="auto"/>
            <w:tcBorders>
              <w:top w:val="nil"/>
              <w:left w:val="nil"/>
              <w:bottom w:val="single" w:sz="8" w:space="0" w:color="auto"/>
              <w:right w:val="single" w:sz="8" w:space="0" w:color="000000"/>
            </w:tcBorders>
            <w:shd w:val="clear" w:color="auto" w:fill="auto"/>
            <w:vAlign w:val="center"/>
            <w:hideMark/>
          </w:tcPr>
          <w:p w14:paraId="40C82131" w14:textId="77777777" w:rsidR="001967A0" w:rsidRPr="00C865B6" w:rsidRDefault="001967A0" w:rsidP="006B204A">
            <w:pPr>
              <w:spacing w:after="0" w:line="360" w:lineRule="auto"/>
              <w:jc w:val="center"/>
              <w:rPr>
                <w:rFonts w:eastAsia="Times New Roman"/>
                <w:lang w:val="es-DO" w:eastAsia="es-DO"/>
              </w:rPr>
            </w:pPr>
            <w:r w:rsidRPr="00106B25">
              <w:rPr>
                <w:rFonts w:eastAsia="Times New Roman"/>
                <w:lang w:val="es-DO" w:eastAsia="es-DO"/>
              </w:rPr>
              <w:t>5,569,589</w:t>
            </w:r>
          </w:p>
        </w:tc>
      </w:tr>
      <w:tr w:rsidR="001967A0" w:rsidRPr="00C865B6" w14:paraId="56624E23" w14:textId="77777777">
        <w:trPr>
          <w:trHeight w:val="394"/>
          <w:tblHeader/>
          <w:jc w:val="center"/>
        </w:trPr>
        <w:tc>
          <w:tcPr>
            <w:tcW w:w="0" w:type="auto"/>
            <w:tcBorders>
              <w:top w:val="nil"/>
              <w:left w:val="single" w:sz="8" w:space="0" w:color="auto"/>
              <w:bottom w:val="single" w:sz="8" w:space="0" w:color="auto"/>
              <w:right w:val="single" w:sz="8" w:space="0" w:color="000000"/>
            </w:tcBorders>
            <w:shd w:val="clear" w:color="auto" w:fill="003876"/>
            <w:vAlign w:val="center"/>
            <w:hideMark/>
          </w:tcPr>
          <w:p w14:paraId="2CB061B8" w14:textId="77777777" w:rsidR="001967A0" w:rsidRPr="00C865B6" w:rsidRDefault="001967A0" w:rsidP="006B204A">
            <w:pPr>
              <w:spacing w:after="0" w:line="360" w:lineRule="auto"/>
              <w:rPr>
                <w:rFonts w:eastAsia="Times New Roman"/>
                <w:b/>
                <w:bCs/>
                <w:color w:val="FFFFFF"/>
                <w:lang w:eastAsia="es-DO"/>
              </w:rPr>
            </w:pPr>
            <w:r w:rsidRPr="00C865B6">
              <w:rPr>
                <w:rFonts w:eastAsia="Times New Roman"/>
                <w:b/>
                <w:bCs/>
                <w:color w:val="FFFFFF"/>
                <w:lang w:eastAsia="es-DO"/>
              </w:rPr>
              <w:t>Total</w:t>
            </w:r>
          </w:p>
        </w:tc>
        <w:tc>
          <w:tcPr>
            <w:tcW w:w="0" w:type="auto"/>
            <w:tcBorders>
              <w:top w:val="nil"/>
              <w:left w:val="nil"/>
              <w:bottom w:val="single" w:sz="8" w:space="0" w:color="auto"/>
              <w:right w:val="single" w:sz="8" w:space="0" w:color="auto"/>
            </w:tcBorders>
            <w:shd w:val="clear" w:color="auto" w:fill="003876"/>
            <w:vAlign w:val="center"/>
            <w:hideMark/>
          </w:tcPr>
          <w:p w14:paraId="05A1911C" w14:textId="77777777" w:rsidR="001967A0" w:rsidRPr="00C865B6" w:rsidRDefault="001967A0" w:rsidP="006B204A">
            <w:pPr>
              <w:spacing w:after="0" w:line="360" w:lineRule="auto"/>
              <w:jc w:val="center"/>
              <w:rPr>
                <w:rFonts w:eastAsia="Times New Roman"/>
                <w:b/>
                <w:bCs/>
                <w:color w:val="FFFFFF"/>
                <w:lang w:eastAsia="es-DO"/>
              </w:rPr>
            </w:pPr>
            <w:r w:rsidRPr="00106B25">
              <w:rPr>
                <w:rFonts w:eastAsia="Times New Roman"/>
                <w:b/>
                <w:bCs/>
                <w:color w:val="FFFFFF"/>
                <w:lang w:eastAsia="es-DO"/>
              </w:rPr>
              <w:t>5,726,962,348</w:t>
            </w:r>
          </w:p>
        </w:tc>
        <w:tc>
          <w:tcPr>
            <w:tcW w:w="0" w:type="auto"/>
            <w:tcBorders>
              <w:top w:val="nil"/>
              <w:left w:val="nil"/>
              <w:bottom w:val="single" w:sz="8" w:space="0" w:color="auto"/>
              <w:right w:val="single" w:sz="8" w:space="0" w:color="000000"/>
            </w:tcBorders>
            <w:shd w:val="clear" w:color="auto" w:fill="003876"/>
            <w:vAlign w:val="center"/>
            <w:hideMark/>
          </w:tcPr>
          <w:p w14:paraId="22489AAB" w14:textId="77777777" w:rsidR="001967A0" w:rsidRPr="00C865B6" w:rsidRDefault="001967A0" w:rsidP="006B204A">
            <w:pPr>
              <w:spacing w:after="0" w:line="360" w:lineRule="auto"/>
              <w:jc w:val="center"/>
              <w:rPr>
                <w:rFonts w:eastAsia="Times New Roman"/>
                <w:b/>
                <w:bCs/>
                <w:color w:val="FFFFFF"/>
                <w:lang w:eastAsia="es-DO"/>
              </w:rPr>
            </w:pPr>
            <w:r w:rsidRPr="00106B25">
              <w:rPr>
                <w:rFonts w:eastAsia="Times New Roman"/>
                <w:b/>
                <w:bCs/>
                <w:color w:val="FFFFFF"/>
                <w:lang w:eastAsia="es-DO"/>
              </w:rPr>
              <w:t>5,726,962,348</w:t>
            </w:r>
          </w:p>
        </w:tc>
      </w:tr>
    </w:tbl>
    <w:p w14:paraId="662A2705" w14:textId="73075B0A" w:rsidR="00F8311E" w:rsidRPr="00CB1F0F" w:rsidRDefault="001967A0" w:rsidP="00CB1F0F">
      <w:pPr>
        <w:spacing w:line="360" w:lineRule="auto"/>
        <w:jc w:val="center"/>
        <w:rPr>
          <w:lang w:val="es-DO"/>
        </w:rPr>
      </w:pPr>
      <w:r w:rsidRPr="00CB1F0F">
        <w:rPr>
          <w:b/>
          <w:lang w:val="es-DO"/>
        </w:rPr>
        <w:t>Fuente</w:t>
      </w:r>
      <w:r w:rsidRPr="00CB1F0F">
        <w:rPr>
          <w:lang w:val="es-DO"/>
        </w:rPr>
        <w:t>: Departamento Administrativo, Financiero y de Planificación. Superintendencia de Bancos de la República Dominicana.</w:t>
      </w:r>
    </w:p>
    <w:p w14:paraId="3A6E776C" w14:textId="77777777" w:rsidR="0057082E" w:rsidRDefault="0057082E" w:rsidP="0057082E">
      <w:pPr>
        <w:spacing w:line="360" w:lineRule="auto"/>
        <w:rPr>
          <w:lang w:val="es-DO"/>
        </w:rPr>
      </w:pPr>
    </w:p>
    <w:p w14:paraId="7B25EF6E" w14:textId="77777777" w:rsidR="00CA473C" w:rsidRDefault="00CA473C" w:rsidP="00F8311E">
      <w:pPr>
        <w:pStyle w:val="CuerpoSB"/>
        <w:pBdr>
          <w:top w:val="none" w:sz="0" w:space="0" w:color="auto"/>
          <w:left w:val="none" w:sz="0" w:space="0" w:color="auto"/>
          <w:bottom w:val="none" w:sz="0" w:space="0" w:color="auto"/>
          <w:right w:val="none" w:sz="0" w:space="0" w:color="auto"/>
        </w:pBdr>
        <w:spacing w:line="360" w:lineRule="auto"/>
        <w:ind w:left="0"/>
        <w:contextualSpacing w:val="0"/>
        <w:jc w:val="left"/>
        <w:rPr>
          <w:rFonts w:ascii="Times New Roman" w:hAnsi="Times New Roman" w:cs="Times New Roman"/>
          <w:b/>
          <w:color w:val="767171"/>
          <w:spacing w:val="20"/>
          <w:sz w:val="24"/>
          <w:bdr w:val="none" w:sz="0" w:space="0" w:color="auto"/>
          <w:lang w:val="es-ES"/>
        </w:rPr>
      </w:pPr>
    </w:p>
    <w:p w14:paraId="7BCF97AC" w14:textId="436B0184" w:rsidR="00280F23" w:rsidRPr="008D3929" w:rsidRDefault="00280F23" w:rsidP="00F8311E">
      <w:pPr>
        <w:pStyle w:val="CuerpoSB"/>
        <w:pBdr>
          <w:top w:val="none" w:sz="0" w:space="0" w:color="auto"/>
          <w:left w:val="none" w:sz="0" w:space="0" w:color="auto"/>
          <w:bottom w:val="none" w:sz="0" w:space="0" w:color="auto"/>
          <w:right w:val="none" w:sz="0" w:space="0" w:color="auto"/>
        </w:pBdr>
        <w:spacing w:line="360" w:lineRule="auto"/>
        <w:ind w:left="0"/>
        <w:contextualSpacing w:val="0"/>
        <w:jc w:val="left"/>
        <w:rPr>
          <w:rFonts w:ascii="Times New Roman" w:hAnsi="Times New Roman" w:cs="Times New Roman"/>
          <w:b/>
          <w:color w:val="767171"/>
          <w:spacing w:val="20"/>
          <w:sz w:val="24"/>
          <w:bdr w:val="none" w:sz="0" w:space="0" w:color="auto"/>
          <w:lang w:val="es-ES"/>
        </w:rPr>
      </w:pPr>
      <w:r w:rsidRPr="008D3929">
        <w:rPr>
          <w:rFonts w:ascii="Times New Roman" w:hAnsi="Times New Roman" w:cs="Times New Roman"/>
          <w:b/>
          <w:color w:val="767171"/>
          <w:spacing w:val="20"/>
          <w:sz w:val="24"/>
          <w:bdr w:val="none" w:sz="0" w:space="0" w:color="auto"/>
          <w:lang w:val="es-ES"/>
        </w:rPr>
        <w:lastRenderedPageBreak/>
        <w:t xml:space="preserve">Presupuesto de </w:t>
      </w:r>
      <w:r w:rsidRPr="008D3929">
        <w:rPr>
          <w:rFonts w:ascii="Times New Roman" w:eastAsia="Calibri" w:hAnsi="Times New Roman" w:cs="Times New Roman"/>
          <w:b/>
          <w:color w:val="767171"/>
          <w:spacing w:val="20"/>
          <w:sz w:val="24"/>
          <w:szCs w:val="24"/>
          <w:bdr w:val="none" w:sz="0" w:space="0" w:color="auto"/>
          <w:lang w:val="es-ES" w:eastAsia="en-US"/>
        </w:rPr>
        <w:t>g</w:t>
      </w:r>
      <w:r w:rsidRPr="008D3929">
        <w:rPr>
          <w:rFonts w:ascii="Times New Roman" w:hAnsi="Times New Roman" w:cs="Times New Roman"/>
          <w:b/>
          <w:color w:val="767171"/>
          <w:spacing w:val="20"/>
          <w:sz w:val="24"/>
          <w:bdr w:val="none" w:sz="0" w:space="0" w:color="auto"/>
          <w:lang w:val="es-ES"/>
        </w:rPr>
        <w:t>astos</w:t>
      </w:r>
    </w:p>
    <w:p w14:paraId="65FA8AFB" w14:textId="77777777" w:rsidR="001967A0" w:rsidRPr="008D3929" w:rsidRDefault="001967A0" w:rsidP="006B204A">
      <w:pPr>
        <w:pStyle w:val="CuerpoSB"/>
        <w:pBdr>
          <w:top w:val="none" w:sz="0" w:space="0" w:color="auto"/>
          <w:left w:val="none" w:sz="0" w:space="0" w:color="auto"/>
          <w:bottom w:val="none" w:sz="0" w:space="0" w:color="auto"/>
          <w:right w:val="none" w:sz="0" w:space="0" w:color="auto"/>
        </w:pBdr>
        <w:spacing w:line="360" w:lineRule="auto"/>
        <w:ind w:left="0"/>
        <w:contextualSpacing w:val="0"/>
        <w:rPr>
          <w:rFonts w:ascii="Times New Roman" w:hAnsi="Times New Roman" w:cs="Times New Roman"/>
          <w:color w:val="767171"/>
          <w:spacing w:val="20"/>
          <w:sz w:val="24"/>
          <w:bdr w:val="none" w:sz="0" w:space="0" w:color="auto"/>
          <w:lang w:val="es-ES"/>
        </w:rPr>
      </w:pPr>
      <w:r w:rsidRPr="008D3929">
        <w:rPr>
          <w:rFonts w:ascii="Times New Roman" w:hAnsi="Times New Roman" w:cs="Times New Roman"/>
          <w:color w:val="767171"/>
          <w:spacing w:val="20"/>
          <w:sz w:val="24"/>
          <w:bdr w:val="none" w:sz="0" w:space="0" w:color="auto"/>
          <w:lang w:val="es-ES"/>
        </w:rPr>
        <w:t xml:space="preserve">Desde el punto de vista del gasto, para el año 2023 el presupuesto aprobado asciende a cuatro mil ochenta y dos millones, quinientos cuarenta y dos mil cuatrocientos noventa y siete pesos (RD$ 4,082,542,497). A esto se le suman transferencias extraordinarias al Gobierno Central por dos mil millones de pesos (RD$2,000,000,000), aprobadas mediante la Ley 366-22, que modifica el Presupuesto General de la Nación, y la adenda de modificación para el Presupuesto Reformulado aprobada por la Junta Monetaria a través de la Cuarta Resolución de fecha 26 de octubre del 2023. Lo que nos da como resultado un presupuesto total general de gastos y transferencias al Ministerio de Hacienda de seis mil ochenta dos millones, quinientos cuarenta y dos mil cuatrocientos noventa y siete pesos (RD$ 6,082,542,497). A continuación, se presenta en resumen de gastos: </w:t>
      </w:r>
    </w:p>
    <w:p w14:paraId="57B2B5CB" w14:textId="0D1F4A04" w:rsidR="001967A0" w:rsidRDefault="00D84806" w:rsidP="006B204A">
      <w:pPr>
        <w:spacing w:after="0" w:line="240" w:lineRule="auto"/>
        <w:jc w:val="center"/>
        <w:rPr>
          <w:b/>
          <w:bCs/>
          <w:lang w:val="es-DO"/>
        </w:rPr>
      </w:pPr>
      <w:r>
        <w:rPr>
          <w:b/>
          <w:bCs/>
          <w:lang w:val="es-DO"/>
        </w:rPr>
        <w:t>Tabla 6</w:t>
      </w:r>
      <w:r w:rsidR="001967A0" w:rsidRPr="00C865B6">
        <w:rPr>
          <w:b/>
          <w:bCs/>
          <w:lang w:val="es-DO"/>
        </w:rPr>
        <w:t>. Presupuesto de gastos de la Superintendencia de Bancos según Grupo de Cuentas.</w:t>
      </w:r>
    </w:p>
    <w:p w14:paraId="4F1253A2" w14:textId="77777777" w:rsidR="00977775" w:rsidRPr="00C865B6" w:rsidRDefault="00977775" w:rsidP="006B204A">
      <w:pPr>
        <w:spacing w:after="0" w:line="240" w:lineRule="auto"/>
        <w:rPr>
          <w:b/>
          <w:bCs/>
          <w:sz w:val="28"/>
          <w:szCs w:val="28"/>
          <w:lang w:val="es-DO"/>
        </w:rPr>
      </w:pPr>
    </w:p>
    <w:tbl>
      <w:tblPr>
        <w:tblW w:w="0" w:type="auto"/>
        <w:tblLayout w:type="fixed"/>
        <w:tblCellMar>
          <w:left w:w="70" w:type="dxa"/>
          <w:right w:w="70" w:type="dxa"/>
        </w:tblCellMar>
        <w:tblLook w:val="04A0" w:firstRow="1" w:lastRow="0" w:firstColumn="1" w:lastColumn="0" w:noHBand="0" w:noVBand="1"/>
      </w:tblPr>
      <w:tblGrid>
        <w:gridCol w:w="4324"/>
        <w:gridCol w:w="1983"/>
        <w:gridCol w:w="1843"/>
      </w:tblGrid>
      <w:tr w:rsidR="001967A0" w:rsidRPr="00C865B6" w14:paraId="39BA9429" w14:textId="77777777">
        <w:trPr>
          <w:trHeight w:val="384"/>
        </w:trPr>
        <w:tc>
          <w:tcPr>
            <w:tcW w:w="4324" w:type="dxa"/>
            <w:vMerge w:val="restart"/>
            <w:tcBorders>
              <w:top w:val="single" w:sz="8" w:space="0" w:color="auto"/>
              <w:left w:val="single" w:sz="8" w:space="0" w:color="auto"/>
              <w:bottom w:val="single" w:sz="8" w:space="0" w:color="000000"/>
              <w:right w:val="single" w:sz="8" w:space="0" w:color="auto"/>
            </w:tcBorders>
            <w:shd w:val="clear" w:color="auto" w:fill="003876"/>
            <w:noWrap/>
            <w:vAlign w:val="center"/>
            <w:hideMark/>
          </w:tcPr>
          <w:p w14:paraId="7DF51B30" w14:textId="77777777" w:rsidR="001967A0" w:rsidRPr="00C865B6" w:rsidRDefault="001967A0" w:rsidP="006B204A">
            <w:pPr>
              <w:spacing w:after="0" w:line="360" w:lineRule="auto"/>
              <w:jc w:val="center"/>
              <w:rPr>
                <w:rFonts w:eastAsia="Times New Roman"/>
                <w:b/>
                <w:bCs/>
                <w:color w:val="FFFFFF"/>
                <w:lang w:eastAsia="es-DO"/>
              </w:rPr>
            </w:pPr>
            <w:proofErr w:type="spellStart"/>
            <w:r w:rsidRPr="00C865B6">
              <w:rPr>
                <w:rFonts w:eastAsia="Times New Roman"/>
                <w:b/>
                <w:bCs/>
                <w:color w:val="FFFFFF"/>
                <w:lang w:eastAsia="es-DO"/>
              </w:rPr>
              <w:t>Detalle</w:t>
            </w:r>
            <w:proofErr w:type="spellEnd"/>
            <w:r w:rsidRPr="00C865B6">
              <w:rPr>
                <w:rFonts w:eastAsia="Times New Roman"/>
                <w:b/>
                <w:bCs/>
                <w:color w:val="FFFFFF"/>
                <w:lang w:eastAsia="es-DO"/>
              </w:rPr>
              <w:t xml:space="preserve"> Cuentas</w:t>
            </w:r>
          </w:p>
        </w:tc>
        <w:tc>
          <w:tcPr>
            <w:tcW w:w="1983" w:type="dxa"/>
            <w:tcBorders>
              <w:top w:val="single" w:sz="8" w:space="0" w:color="auto"/>
              <w:left w:val="nil"/>
              <w:bottom w:val="nil"/>
              <w:right w:val="single" w:sz="8" w:space="0" w:color="auto"/>
            </w:tcBorders>
            <w:shd w:val="clear" w:color="auto" w:fill="003876"/>
            <w:noWrap/>
            <w:vAlign w:val="center"/>
            <w:hideMark/>
          </w:tcPr>
          <w:p w14:paraId="3F20F69A" w14:textId="77777777" w:rsidR="001967A0" w:rsidRPr="00C865B6" w:rsidRDefault="001967A0" w:rsidP="006B204A">
            <w:pPr>
              <w:spacing w:after="0" w:line="360" w:lineRule="auto"/>
              <w:jc w:val="center"/>
              <w:rPr>
                <w:rFonts w:eastAsia="Times New Roman"/>
                <w:b/>
                <w:bCs/>
                <w:color w:val="FFFFFF"/>
                <w:lang w:eastAsia="es-DO"/>
              </w:rPr>
            </w:pPr>
            <w:r w:rsidRPr="00C865B6">
              <w:rPr>
                <w:rFonts w:eastAsia="Times New Roman"/>
                <w:b/>
                <w:bCs/>
                <w:color w:val="FFFFFF"/>
                <w:lang w:eastAsia="es-DO"/>
              </w:rPr>
              <w:t>Monto</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003876"/>
            <w:noWrap/>
            <w:vAlign w:val="center"/>
            <w:hideMark/>
          </w:tcPr>
          <w:p w14:paraId="6EA136A7" w14:textId="77777777" w:rsidR="001967A0" w:rsidRPr="00C865B6" w:rsidRDefault="001967A0" w:rsidP="006B204A">
            <w:pPr>
              <w:spacing w:after="0" w:line="360" w:lineRule="auto"/>
              <w:jc w:val="center"/>
              <w:rPr>
                <w:rFonts w:eastAsia="Times New Roman"/>
                <w:b/>
                <w:bCs/>
                <w:color w:val="FFFFFF"/>
                <w:lang w:eastAsia="es-DO"/>
              </w:rPr>
            </w:pPr>
            <w:proofErr w:type="spellStart"/>
            <w:r w:rsidRPr="00C865B6">
              <w:rPr>
                <w:rFonts w:eastAsia="Times New Roman"/>
                <w:b/>
                <w:bCs/>
                <w:color w:val="FFFFFF"/>
                <w:lang w:eastAsia="es-DO"/>
              </w:rPr>
              <w:t>Porcentaje</w:t>
            </w:r>
            <w:proofErr w:type="spellEnd"/>
            <w:r w:rsidRPr="00C865B6">
              <w:rPr>
                <w:rFonts w:eastAsia="Times New Roman"/>
                <w:b/>
                <w:bCs/>
                <w:color w:val="FFFFFF"/>
                <w:lang w:eastAsia="es-DO"/>
              </w:rPr>
              <w:t xml:space="preserve"> del total</w:t>
            </w:r>
          </w:p>
        </w:tc>
      </w:tr>
      <w:tr w:rsidR="001967A0" w:rsidRPr="00C865B6" w14:paraId="074F0679" w14:textId="77777777">
        <w:trPr>
          <w:trHeight w:val="403"/>
        </w:trPr>
        <w:tc>
          <w:tcPr>
            <w:tcW w:w="4324" w:type="dxa"/>
            <w:vMerge/>
            <w:tcBorders>
              <w:top w:val="single" w:sz="8" w:space="0" w:color="auto"/>
              <w:left w:val="single" w:sz="8" w:space="0" w:color="auto"/>
              <w:bottom w:val="single" w:sz="8" w:space="0" w:color="000000"/>
              <w:right w:val="single" w:sz="8" w:space="0" w:color="auto"/>
            </w:tcBorders>
            <w:shd w:val="clear" w:color="auto" w:fill="003876"/>
            <w:vAlign w:val="center"/>
            <w:hideMark/>
          </w:tcPr>
          <w:p w14:paraId="45D2CD86" w14:textId="77777777" w:rsidR="001967A0" w:rsidRPr="00C865B6" w:rsidRDefault="001967A0" w:rsidP="006B204A">
            <w:pPr>
              <w:spacing w:after="0" w:line="360" w:lineRule="auto"/>
              <w:rPr>
                <w:rFonts w:eastAsia="Times New Roman"/>
                <w:b/>
                <w:bCs/>
                <w:color w:val="FFFFFF"/>
                <w:lang w:eastAsia="es-DO"/>
              </w:rPr>
            </w:pPr>
          </w:p>
        </w:tc>
        <w:tc>
          <w:tcPr>
            <w:tcW w:w="1983" w:type="dxa"/>
            <w:tcBorders>
              <w:top w:val="nil"/>
              <w:left w:val="nil"/>
              <w:bottom w:val="nil"/>
              <w:right w:val="single" w:sz="8" w:space="0" w:color="auto"/>
            </w:tcBorders>
            <w:shd w:val="clear" w:color="auto" w:fill="003876"/>
            <w:noWrap/>
            <w:vAlign w:val="center"/>
            <w:hideMark/>
          </w:tcPr>
          <w:p w14:paraId="43236559" w14:textId="77777777" w:rsidR="001967A0" w:rsidRPr="00C865B6" w:rsidRDefault="001967A0" w:rsidP="006B204A">
            <w:pPr>
              <w:spacing w:after="0" w:line="360" w:lineRule="auto"/>
              <w:jc w:val="center"/>
              <w:rPr>
                <w:rFonts w:eastAsia="Times New Roman"/>
                <w:b/>
                <w:bCs/>
                <w:color w:val="FFFFFF"/>
                <w:lang w:eastAsia="es-DO"/>
              </w:rPr>
            </w:pPr>
            <w:proofErr w:type="spellStart"/>
            <w:r w:rsidRPr="00C865B6">
              <w:rPr>
                <w:rFonts w:eastAsia="Times New Roman"/>
                <w:b/>
                <w:bCs/>
                <w:color w:val="FFFFFF"/>
                <w:lang w:eastAsia="es-DO"/>
              </w:rPr>
              <w:t>Presupuesto</w:t>
            </w:r>
            <w:proofErr w:type="spellEnd"/>
          </w:p>
        </w:tc>
        <w:tc>
          <w:tcPr>
            <w:tcW w:w="1843" w:type="dxa"/>
            <w:vMerge/>
            <w:tcBorders>
              <w:top w:val="single" w:sz="8" w:space="0" w:color="auto"/>
              <w:left w:val="single" w:sz="8" w:space="0" w:color="auto"/>
              <w:bottom w:val="single" w:sz="8" w:space="0" w:color="000000"/>
              <w:right w:val="single" w:sz="8" w:space="0" w:color="auto"/>
            </w:tcBorders>
            <w:shd w:val="clear" w:color="auto" w:fill="003876"/>
            <w:vAlign w:val="center"/>
            <w:hideMark/>
          </w:tcPr>
          <w:p w14:paraId="3FF3CEBD" w14:textId="77777777" w:rsidR="001967A0" w:rsidRPr="00C865B6" w:rsidRDefault="001967A0" w:rsidP="006B204A">
            <w:pPr>
              <w:spacing w:after="0" w:line="360" w:lineRule="auto"/>
              <w:rPr>
                <w:rFonts w:eastAsia="Times New Roman"/>
                <w:b/>
                <w:bCs/>
                <w:color w:val="FFFFFF"/>
                <w:lang w:eastAsia="es-DO"/>
              </w:rPr>
            </w:pPr>
          </w:p>
        </w:tc>
      </w:tr>
      <w:tr w:rsidR="001967A0" w:rsidRPr="00C865B6" w14:paraId="51292F7F" w14:textId="77777777">
        <w:trPr>
          <w:trHeight w:val="403"/>
        </w:trPr>
        <w:tc>
          <w:tcPr>
            <w:tcW w:w="4324" w:type="dxa"/>
            <w:tcBorders>
              <w:top w:val="nil"/>
              <w:left w:val="single" w:sz="8" w:space="0" w:color="auto"/>
              <w:bottom w:val="single" w:sz="8" w:space="0" w:color="auto"/>
              <w:right w:val="single" w:sz="8" w:space="0" w:color="auto"/>
            </w:tcBorders>
            <w:shd w:val="clear" w:color="auto" w:fill="auto"/>
            <w:noWrap/>
            <w:vAlign w:val="center"/>
            <w:hideMark/>
          </w:tcPr>
          <w:p w14:paraId="7DB81350" w14:textId="77777777" w:rsidR="001967A0" w:rsidRPr="00C865B6" w:rsidRDefault="001967A0" w:rsidP="006B204A">
            <w:pPr>
              <w:spacing w:after="0" w:line="360" w:lineRule="auto"/>
              <w:rPr>
                <w:rFonts w:eastAsia="Times New Roman"/>
                <w:b/>
                <w:bCs/>
                <w:lang w:val="es-DO" w:eastAsia="es-DO"/>
              </w:rPr>
            </w:pPr>
            <w:r w:rsidRPr="00C865B6">
              <w:rPr>
                <w:rFonts w:eastAsia="Times New Roman"/>
                <w:b/>
                <w:bCs/>
                <w:lang w:val="es-DO" w:eastAsia="es-DO"/>
              </w:rPr>
              <w:t>Servicios Personales</w:t>
            </w:r>
          </w:p>
        </w:tc>
        <w:tc>
          <w:tcPr>
            <w:tcW w:w="1983" w:type="dxa"/>
            <w:tcBorders>
              <w:top w:val="single" w:sz="8" w:space="0" w:color="auto"/>
              <w:left w:val="nil"/>
              <w:bottom w:val="single" w:sz="8" w:space="0" w:color="auto"/>
              <w:right w:val="single" w:sz="8" w:space="0" w:color="auto"/>
            </w:tcBorders>
            <w:shd w:val="clear" w:color="auto" w:fill="auto"/>
            <w:noWrap/>
            <w:vAlign w:val="center"/>
            <w:hideMark/>
          </w:tcPr>
          <w:p w14:paraId="19C9EF95" w14:textId="77777777" w:rsidR="001967A0" w:rsidRPr="00C865B6" w:rsidRDefault="001967A0" w:rsidP="006B204A">
            <w:pPr>
              <w:spacing w:after="0" w:line="360" w:lineRule="auto"/>
              <w:jc w:val="center"/>
              <w:rPr>
                <w:rFonts w:eastAsia="Times New Roman"/>
                <w:lang w:val="es-DO" w:eastAsia="es-DO"/>
              </w:rPr>
            </w:pPr>
            <w:r w:rsidRPr="006B4BE3">
              <w:t>2,394,034,297</w:t>
            </w:r>
          </w:p>
        </w:tc>
        <w:tc>
          <w:tcPr>
            <w:tcW w:w="1843" w:type="dxa"/>
            <w:tcBorders>
              <w:top w:val="nil"/>
              <w:left w:val="nil"/>
              <w:bottom w:val="single" w:sz="8" w:space="0" w:color="auto"/>
              <w:right w:val="single" w:sz="8" w:space="0" w:color="auto"/>
            </w:tcBorders>
            <w:shd w:val="clear" w:color="auto" w:fill="auto"/>
            <w:noWrap/>
            <w:vAlign w:val="center"/>
            <w:hideMark/>
          </w:tcPr>
          <w:p w14:paraId="72F8E2FE" w14:textId="77777777" w:rsidR="001967A0" w:rsidRPr="00C865B6" w:rsidRDefault="001967A0" w:rsidP="006B204A">
            <w:pPr>
              <w:spacing w:after="0" w:line="360" w:lineRule="auto"/>
              <w:jc w:val="center"/>
              <w:rPr>
                <w:rFonts w:eastAsia="Times New Roman"/>
                <w:lang w:val="es-DO" w:eastAsia="es-DO"/>
              </w:rPr>
            </w:pPr>
            <w:r w:rsidRPr="00E84DC0">
              <w:t>39.4%</w:t>
            </w:r>
          </w:p>
        </w:tc>
      </w:tr>
      <w:tr w:rsidR="001967A0" w:rsidRPr="00C865B6" w14:paraId="31F8106E" w14:textId="77777777">
        <w:trPr>
          <w:trHeight w:val="403"/>
        </w:trPr>
        <w:tc>
          <w:tcPr>
            <w:tcW w:w="4324" w:type="dxa"/>
            <w:tcBorders>
              <w:top w:val="nil"/>
              <w:left w:val="single" w:sz="8" w:space="0" w:color="auto"/>
              <w:bottom w:val="single" w:sz="8" w:space="0" w:color="auto"/>
              <w:right w:val="single" w:sz="8" w:space="0" w:color="auto"/>
            </w:tcBorders>
            <w:shd w:val="clear" w:color="auto" w:fill="auto"/>
            <w:noWrap/>
            <w:vAlign w:val="center"/>
            <w:hideMark/>
          </w:tcPr>
          <w:p w14:paraId="340FF37A" w14:textId="77777777" w:rsidR="001967A0" w:rsidRPr="00C865B6" w:rsidRDefault="001967A0" w:rsidP="006B204A">
            <w:pPr>
              <w:spacing w:after="0" w:line="360" w:lineRule="auto"/>
              <w:rPr>
                <w:rFonts w:eastAsia="Times New Roman"/>
                <w:b/>
                <w:bCs/>
                <w:lang w:val="es-DO" w:eastAsia="es-DO"/>
              </w:rPr>
            </w:pPr>
            <w:r w:rsidRPr="00C865B6">
              <w:rPr>
                <w:rFonts w:eastAsia="Times New Roman"/>
                <w:b/>
                <w:bCs/>
                <w:lang w:val="es-DO" w:eastAsia="es-DO"/>
              </w:rPr>
              <w:t>Servicios No Personales</w:t>
            </w:r>
          </w:p>
        </w:tc>
        <w:tc>
          <w:tcPr>
            <w:tcW w:w="1983" w:type="dxa"/>
            <w:tcBorders>
              <w:top w:val="nil"/>
              <w:left w:val="nil"/>
              <w:bottom w:val="single" w:sz="8" w:space="0" w:color="auto"/>
              <w:right w:val="single" w:sz="8" w:space="0" w:color="auto"/>
            </w:tcBorders>
            <w:shd w:val="clear" w:color="auto" w:fill="auto"/>
            <w:noWrap/>
            <w:vAlign w:val="center"/>
            <w:hideMark/>
          </w:tcPr>
          <w:p w14:paraId="62FC6F14" w14:textId="77777777" w:rsidR="001967A0" w:rsidRPr="00C865B6" w:rsidRDefault="001967A0" w:rsidP="006B204A">
            <w:pPr>
              <w:spacing w:after="0" w:line="360" w:lineRule="auto"/>
              <w:jc w:val="center"/>
              <w:rPr>
                <w:rFonts w:eastAsia="Times New Roman"/>
                <w:lang w:val="es-DO" w:eastAsia="es-DO"/>
              </w:rPr>
            </w:pPr>
            <w:r w:rsidRPr="006B4BE3">
              <w:t>595,487,887</w:t>
            </w:r>
          </w:p>
        </w:tc>
        <w:tc>
          <w:tcPr>
            <w:tcW w:w="1843" w:type="dxa"/>
            <w:tcBorders>
              <w:top w:val="nil"/>
              <w:left w:val="nil"/>
              <w:bottom w:val="single" w:sz="8" w:space="0" w:color="auto"/>
              <w:right w:val="single" w:sz="8" w:space="0" w:color="auto"/>
            </w:tcBorders>
            <w:shd w:val="clear" w:color="auto" w:fill="auto"/>
            <w:noWrap/>
            <w:vAlign w:val="center"/>
            <w:hideMark/>
          </w:tcPr>
          <w:p w14:paraId="093E315A" w14:textId="77777777" w:rsidR="001967A0" w:rsidRPr="00C865B6" w:rsidRDefault="001967A0" w:rsidP="006B204A">
            <w:pPr>
              <w:spacing w:after="0" w:line="360" w:lineRule="auto"/>
              <w:jc w:val="center"/>
              <w:rPr>
                <w:rFonts w:eastAsia="Times New Roman"/>
                <w:lang w:val="es-DO" w:eastAsia="es-DO"/>
              </w:rPr>
            </w:pPr>
            <w:r w:rsidRPr="00E84DC0">
              <w:t>9.8%</w:t>
            </w:r>
          </w:p>
        </w:tc>
      </w:tr>
      <w:tr w:rsidR="001967A0" w:rsidRPr="00C865B6" w14:paraId="359EE974" w14:textId="77777777">
        <w:trPr>
          <w:trHeight w:val="225"/>
        </w:trPr>
        <w:tc>
          <w:tcPr>
            <w:tcW w:w="4324" w:type="dxa"/>
            <w:tcBorders>
              <w:top w:val="nil"/>
              <w:left w:val="single" w:sz="8" w:space="0" w:color="auto"/>
              <w:bottom w:val="single" w:sz="8" w:space="0" w:color="auto"/>
              <w:right w:val="single" w:sz="8" w:space="0" w:color="auto"/>
            </w:tcBorders>
            <w:shd w:val="clear" w:color="auto" w:fill="auto"/>
            <w:noWrap/>
            <w:vAlign w:val="center"/>
            <w:hideMark/>
          </w:tcPr>
          <w:p w14:paraId="149B116C" w14:textId="77777777" w:rsidR="001967A0" w:rsidRPr="00C865B6" w:rsidRDefault="001967A0" w:rsidP="006B204A">
            <w:pPr>
              <w:spacing w:after="0" w:line="360" w:lineRule="auto"/>
              <w:rPr>
                <w:rFonts w:eastAsia="Times New Roman"/>
                <w:b/>
                <w:bCs/>
                <w:lang w:val="es-DO" w:eastAsia="es-DO"/>
              </w:rPr>
            </w:pPr>
            <w:r w:rsidRPr="00C865B6">
              <w:rPr>
                <w:rFonts w:eastAsia="Times New Roman"/>
                <w:b/>
                <w:bCs/>
                <w:lang w:val="es-DO" w:eastAsia="es-DO"/>
              </w:rPr>
              <w:t>Materiales y Suministros</w:t>
            </w:r>
          </w:p>
        </w:tc>
        <w:tc>
          <w:tcPr>
            <w:tcW w:w="1983" w:type="dxa"/>
            <w:tcBorders>
              <w:top w:val="nil"/>
              <w:left w:val="nil"/>
              <w:bottom w:val="single" w:sz="8" w:space="0" w:color="auto"/>
              <w:right w:val="single" w:sz="8" w:space="0" w:color="auto"/>
            </w:tcBorders>
            <w:shd w:val="clear" w:color="auto" w:fill="auto"/>
            <w:noWrap/>
            <w:vAlign w:val="center"/>
            <w:hideMark/>
          </w:tcPr>
          <w:p w14:paraId="1BF81E53" w14:textId="77777777" w:rsidR="001967A0" w:rsidRPr="00C865B6" w:rsidRDefault="001967A0" w:rsidP="006B204A">
            <w:pPr>
              <w:spacing w:after="0" w:line="360" w:lineRule="auto"/>
              <w:jc w:val="center"/>
              <w:rPr>
                <w:rFonts w:eastAsia="Times New Roman"/>
                <w:lang w:val="es-DO" w:eastAsia="es-DO"/>
              </w:rPr>
            </w:pPr>
            <w:r w:rsidRPr="006B4BE3">
              <w:t>50,600,753</w:t>
            </w:r>
          </w:p>
        </w:tc>
        <w:tc>
          <w:tcPr>
            <w:tcW w:w="1843" w:type="dxa"/>
            <w:tcBorders>
              <w:top w:val="nil"/>
              <w:left w:val="nil"/>
              <w:bottom w:val="single" w:sz="8" w:space="0" w:color="auto"/>
              <w:right w:val="single" w:sz="8" w:space="0" w:color="auto"/>
            </w:tcBorders>
            <w:shd w:val="clear" w:color="auto" w:fill="auto"/>
            <w:noWrap/>
            <w:vAlign w:val="center"/>
            <w:hideMark/>
          </w:tcPr>
          <w:p w14:paraId="18B01193" w14:textId="77777777" w:rsidR="001967A0" w:rsidRPr="00C865B6" w:rsidRDefault="001967A0" w:rsidP="006B204A">
            <w:pPr>
              <w:spacing w:after="0" w:line="360" w:lineRule="auto"/>
              <w:jc w:val="center"/>
              <w:rPr>
                <w:rFonts w:eastAsia="Times New Roman"/>
                <w:lang w:val="es-DO" w:eastAsia="es-DO"/>
              </w:rPr>
            </w:pPr>
            <w:r w:rsidRPr="00E84DC0">
              <w:t>0.8%</w:t>
            </w:r>
          </w:p>
        </w:tc>
      </w:tr>
      <w:tr w:rsidR="001967A0" w:rsidRPr="00C865B6" w14:paraId="662CCF23" w14:textId="77777777">
        <w:trPr>
          <w:trHeight w:val="403"/>
        </w:trPr>
        <w:tc>
          <w:tcPr>
            <w:tcW w:w="4324" w:type="dxa"/>
            <w:tcBorders>
              <w:top w:val="nil"/>
              <w:left w:val="single" w:sz="8" w:space="0" w:color="auto"/>
              <w:bottom w:val="single" w:sz="8" w:space="0" w:color="auto"/>
              <w:right w:val="single" w:sz="8" w:space="0" w:color="auto"/>
            </w:tcBorders>
            <w:shd w:val="clear" w:color="auto" w:fill="auto"/>
            <w:noWrap/>
            <w:vAlign w:val="center"/>
            <w:hideMark/>
          </w:tcPr>
          <w:p w14:paraId="2C6ED1B2" w14:textId="77777777" w:rsidR="001967A0" w:rsidRPr="00C865B6" w:rsidRDefault="001967A0" w:rsidP="006B204A">
            <w:pPr>
              <w:spacing w:after="0" w:line="360" w:lineRule="auto"/>
              <w:rPr>
                <w:rFonts w:eastAsia="Times New Roman"/>
                <w:b/>
                <w:bCs/>
                <w:lang w:val="es-DO" w:eastAsia="es-DO"/>
              </w:rPr>
            </w:pPr>
            <w:r w:rsidRPr="00C865B6">
              <w:rPr>
                <w:rFonts w:eastAsia="Times New Roman"/>
                <w:b/>
                <w:bCs/>
                <w:lang w:val="es-DO" w:eastAsia="es-DO"/>
              </w:rPr>
              <w:t>Transferencias Corrientes</w:t>
            </w:r>
          </w:p>
        </w:tc>
        <w:tc>
          <w:tcPr>
            <w:tcW w:w="1983" w:type="dxa"/>
            <w:tcBorders>
              <w:top w:val="nil"/>
              <w:left w:val="nil"/>
              <w:bottom w:val="single" w:sz="8" w:space="0" w:color="auto"/>
              <w:right w:val="single" w:sz="8" w:space="0" w:color="auto"/>
            </w:tcBorders>
            <w:shd w:val="clear" w:color="auto" w:fill="auto"/>
            <w:noWrap/>
            <w:vAlign w:val="center"/>
            <w:hideMark/>
          </w:tcPr>
          <w:p w14:paraId="326F693D" w14:textId="77777777" w:rsidR="001967A0" w:rsidRPr="00C865B6" w:rsidRDefault="001967A0" w:rsidP="006B204A">
            <w:pPr>
              <w:spacing w:after="0" w:line="360" w:lineRule="auto"/>
              <w:jc w:val="center"/>
              <w:rPr>
                <w:rFonts w:eastAsia="Times New Roman"/>
                <w:lang w:val="es-DO" w:eastAsia="es-DO"/>
              </w:rPr>
            </w:pPr>
            <w:r w:rsidRPr="006B4BE3">
              <w:t>2,405,525,551</w:t>
            </w:r>
          </w:p>
        </w:tc>
        <w:tc>
          <w:tcPr>
            <w:tcW w:w="1843" w:type="dxa"/>
            <w:tcBorders>
              <w:top w:val="nil"/>
              <w:left w:val="nil"/>
              <w:bottom w:val="single" w:sz="8" w:space="0" w:color="auto"/>
              <w:right w:val="single" w:sz="8" w:space="0" w:color="auto"/>
            </w:tcBorders>
            <w:shd w:val="clear" w:color="auto" w:fill="auto"/>
            <w:noWrap/>
            <w:vAlign w:val="center"/>
            <w:hideMark/>
          </w:tcPr>
          <w:p w14:paraId="77251F40" w14:textId="77777777" w:rsidR="001967A0" w:rsidRPr="00C865B6" w:rsidRDefault="001967A0" w:rsidP="006B204A">
            <w:pPr>
              <w:spacing w:after="0" w:line="360" w:lineRule="auto"/>
              <w:jc w:val="center"/>
              <w:rPr>
                <w:rFonts w:eastAsia="Times New Roman"/>
                <w:lang w:val="es-DO" w:eastAsia="es-DO"/>
              </w:rPr>
            </w:pPr>
            <w:r w:rsidRPr="00E84DC0">
              <w:t>39.5%</w:t>
            </w:r>
          </w:p>
        </w:tc>
      </w:tr>
      <w:tr w:rsidR="001967A0" w:rsidRPr="00C865B6" w14:paraId="16784AAF" w14:textId="77777777">
        <w:trPr>
          <w:trHeight w:val="403"/>
        </w:trPr>
        <w:tc>
          <w:tcPr>
            <w:tcW w:w="4324" w:type="dxa"/>
            <w:tcBorders>
              <w:top w:val="nil"/>
              <w:left w:val="single" w:sz="8" w:space="0" w:color="auto"/>
              <w:bottom w:val="single" w:sz="8" w:space="0" w:color="auto"/>
              <w:right w:val="single" w:sz="8" w:space="0" w:color="auto"/>
            </w:tcBorders>
            <w:shd w:val="clear" w:color="auto" w:fill="auto"/>
            <w:vAlign w:val="center"/>
            <w:hideMark/>
          </w:tcPr>
          <w:p w14:paraId="60135957" w14:textId="77777777" w:rsidR="001967A0" w:rsidRPr="00C865B6" w:rsidRDefault="001967A0" w:rsidP="006B204A">
            <w:pPr>
              <w:spacing w:after="0" w:line="360" w:lineRule="auto"/>
              <w:rPr>
                <w:rFonts w:eastAsia="Times New Roman"/>
                <w:b/>
                <w:bCs/>
                <w:lang w:val="es-DO" w:eastAsia="es-DO"/>
              </w:rPr>
            </w:pPr>
            <w:r w:rsidRPr="00C865B6">
              <w:rPr>
                <w:rFonts w:eastAsia="Times New Roman"/>
                <w:b/>
                <w:bCs/>
                <w:lang w:val="es-DO" w:eastAsia="es-DO"/>
              </w:rPr>
              <w:t>Bienes Muebles, Inmuebles e Intangibles</w:t>
            </w:r>
          </w:p>
        </w:tc>
        <w:tc>
          <w:tcPr>
            <w:tcW w:w="1983" w:type="dxa"/>
            <w:tcBorders>
              <w:top w:val="nil"/>
              <w:left w:val="nil"/>
              <w:bottom w:val="single" w:sz="8" w:space="0" w:color="auto"/>
              <w:right w:val="single" w:sz="8" w:space="0" w:color="auto"/>
            </w:tcBorders>
            <w:shd w:val="clear" w:color="auto" w:fill="auto"/>
            <w:noWrap/>
            <w:vAlign w:val="center"/>
            <w:hideMark/>
          </w:tcPr>
          <w:p w14:paraId="61574076" w14:textId="77777777" w:rsidR="001967A0" w:rsidRPr="00C865B6" w:rsidRDefault="001967A0" w:rsidP="006B204A">
            <w:pPr>
              <w:spacing w:after="0" w:line="360" w:lineRule="auto"/>
              <w:jc w:val="center"/>
              <w:rPr>
                <w:rFonts w:eastAsia="Times New Roman"/>
                <w:lang w:val="es-DO" w:eastAsia="es-DO"/>
              </w:rPr>
            </w:pPr>
            <w:r w:rsidRPr="006B4BE3">
              <w:t>466,608,616</w:t>
            </w:r>
          </w:p>
        </w:tc>
        <w:tc>
          <w:tcPr>
            <w:tcW w:w="1843" w:type="dxa"/>
            <w:tcBorders>
              <w:top w:val="nil"/>
              <w:left w:val="nil"/>
              <w:bottom w:val="single" w:sz="8" w:space="0" w:color="auto"/>
              <w:right w:val="single" w:sz="8" w:space="0" w:color="auto"/>
            </w:tcBorders>
            <w:shd w:val="clear" w:color="auto" w:fill="auto"/>
            <w:noWrap/>
            <w:vAlign w:val="center"/>
            <w:hideMark/>
          </w:tcPr>
          <w:p w14:paraId="6B50D13F" w14:textId="77777777" w:rsidR="001967A0" w:rsidRPr="00C865B6" w:rsidRDefault="001967A0" w:rsidP="006B204A">
            <w:pPr>
              <w:spacing w:after="0" w:line="360" w:lineRule="auto"/>
              <w:jc w:val="center"/>
              <w:rPr>
                <w:rFonts w:eastAsia="Times New Roman"/>
                <w:lang w:val="es-DO" w:eastAsia="es-DO"/>
              </w:rPr>
            </w:pPr>
            <w:r w:rsidRPr="00E84DC0">
              <w:t>7.7%</w:t>
            </w:r>
          </w:p>
        </w:tc>
      </w:tr>
      <w:tr w:rsidR="001967A0" w:rsidRPr="00C865B6" w14:paraId="281A7BFB" w14:textId="77777777">
        <w:trPr>
          <w:trHeight w:val="403"/>
        </w:trPr>
        <w:tc>
          <w:tcPr>
            <w:tcW w:w="4324" w:type="dxa"/>
            <w:tcBorders>
              <w:top w:val="nil"/>
              <w:left w:val="single" w:sz="8" w:space="0" w:color="auto"/>
              <w:bottom w:val="single" w:sz="8" w:space="0" w:color="auto"/>
              <w:right w:val="single" w:sz="8" w:space="0" w:color="auto"/>
            </w:tcBorders>
            <w:shd w:val="clear" w:color="auto" w:fill="auto"/>
            <w:noWrap/>
            <w:vAlign w:val="center"/>
            <w:hideMark/>
          </w:tcPr>
          <w:p w14:paraId="1FD5EB86" w14:textId="77777777" w:rsidR="001967A0" w:rsidRPr="00C865B6" w:rsidRDefault="001967A0" w:rsidP="006B204A">
            <w:pPr>
              <w:spacing w:after="0" w:line="360" w:lineRule="auto"/>
              <w:rPr>
                <w:rFonts w:eastAsia="Times New Roman"/>
                <w:b/>
                <w:bCs/>
                <w:lang w:val="es-DO" w:eastAsia="es-DO"/>
              </w:rPr>
            </w:pPr>
            <w:r w:rsidRPr="00C865B6">
              <w:rPr>
                <w:rFonts w:eastAsia="Times New Roman"/>
                <w:b/>
                <w:bCs/>
                <w:lang w:val="es-DO" w:eastAsia="es-DO"/>
              </w:rPr>
              <w:t>Obras</w:t>
            </w:r>
          </w:p>
        </w:tc>
        <w:tc>
          <w:tcPr>
            <w:tcW w:w="1983" w:type="dxa"/>
            <w:tcBorders>
              <w:top w:val="nil"/>
              <w:left w:val="nil"/>
              <w:bottom w:val="single" w:sz="8" w:space="0" w:color="auto"/>
              <w:right w:val="single" w:sz="8" w:space="0" w:color="auto"/>
            </w:tcBorders>
            <w:shd w:val="clear" w:color="auto" w:fill="auto"/>
            <w:noWrap/>
            <w:vAlign w:val="center"/>
            <w:hideMark/>
          </w:tcPr>
          <w:p w14:paraId="6CB94640" w14:textId="77777777" w:rsidR="001967A0" w:rsidRPr="00C865B6" w:rsidRDefault="001967A0" w:rsidP="006B204A">
            <w:pPr>
              <w:spacing w:after="0" w:line="360" w:lineRule="auto"/>
              <w:jc w:val="center"/>
              <w:rPr>
                <w:rFonts w:eastAsia="Times New Roman"/>
                <w:lang w:val="es-DO" w:eastAsia="es-DO"/>
              </w:rPr>
            </w:pPr>
            <w:r w:rsidRPr="006B4BE3">
              <w:t>170,285,393</w:t>
            </w:r>
          </w:p>
        </w:tc>
        <w:tc>
          <w:tcPr>
            <w:tcW w:w="1843" w:type="dxa"/>
            <w:tcBorders>
              <w:top w:val="nil"/>
              <w:left w:val="nil"/>
              <w:bottom w:val="single" w:sz="8" w:space="0" w:color="auto"/>
              <w:right w:val="single" w:sz="8" w:space="0" w:color="auto"/>
            </w:tcBorders>
            <w:shd w:val="clear" w:color="auto" w:fill="auto"/>
            <w:noWrap/>
            <w:vAlign w:val="center"/>
            <w:hideMark/>
          </w:tcPr>
          <w:p w14:paraId="1AC8E589" w14:textId="77777777" w:rsidR="001967A0" w:rsidRPr="00C865B6" w:rsidRDefault="001967A0" w:rsidP="006B204A">
            <w:pPr>
              <w:spacing w:after="0" w:line="360" w:lineRule="auto"/>
              <w:jc w:val="center"/>
              <w:rPr>
                <w:rFonts w:eastAsia="Times New Roman"/>
                <w:lang w:val="es-DO" w:eastAsia="es-DO"/>
              </w:rPr>
            </w:pPr>
            <w:r w:rsidRPr="00E84DC0">
              <w:t>2.8%</w:t>
            </w:r>
          </w:p>
        </w:tc>
      </w:tr>
      <w:tr w:rsidR="001967A0" w:rsidRPr="00C865B6" w14:paraId="7EC4B29E" w14:textId="77777777">
        <w:trPr>
          <w:trHeight w:val="403"/>
        </w:trPr>
        <w:tc>
          <w:tcPr>
            <w:tcW w:w="4324" w:type="dxa"/>
            <w:tcBorders>
              <w:top w:val="nil"/>
              <w:left w:val="single" w:sz="8" w:space="0" w:color="auto"/>
              <w:bottom w:val="single" w:sz="8" w:space="0" w:color="auto"/>
              <w:right w:val="single" w:sz="8" w:space="0" w:color="auto"/>
            </w:tcBorders>
            <w:shd w:val="clear" w:color="auto" w:fill="003876"/>
            <w:noWrap/>
            <w:vAlign w:val="center"/>
            <w:hideMark/>
          </w:tcPr>
          <w:p w14:paraId="1B132367" w14:textId="77777777" w:rsidR="001967A0" w:rsidRPr="00C865B6" w:rsidRDefault="001967A0" w:rsidP="006B204A">
            <w:pPr>
              <w:spacing w:after="0" w:line="360" w:lineRule="auto"/>
              <w:rPr>
                <w:rFonts w:eastAsia="Times New Roman"/>
                <w:b/>
                <w:bCs/>
                <w:color w:val="FFFFFF"/>
                <w:lang w:eastAsia="es-DO"/>
              </w:rPr>
            </w:pPr>
            <w:r w:rsidRPr="00C865B6">
              <w:rPr>
                <w:rFonts w:eastAsia="Times New Roman"/>
                <w:b/>
                <w:bCs/>
                <w:color w:val="FFFFFF"/>
                <w:lang w:eastAsia="es-DO"/>
              </w:rPr>
              <w:t xml:space="preserve">Total de </w:t>
            </w:r>
            <w:proofErr w:type="spellStart"/>
            <w:r w:rsidRPr="00C865B6">
              <w:rPr>
                <w:rFonts w:eastAsia="Times New Roman"/>
                <w:b/>
                <w:bCs/>
                <w:color w:val="FFFFFF"/>
                <w:lang w:eastAsia="es-DO"/>
              </w:rPr>
              <w:t>Gastos</w:t>
            </w:r>
            <w:proofErr w:type="spellEnd"/>
          </w:p>
        </w:tc>
        <w:tc>
          <w:tcPr>
            <w:tcW w:w="1983" w:type="dxa"/>
            <w:tcBorders>
              <w:top w:val="nil"/>
              <w:left w:val="nil"/>
              <w:bottom w:val="single" w:sz="8" w:space="0" w:color="auto"/>
              <w:right w:val="single" w:sz="8" w:space="0" w:color="auto"/>
            </w:tcBorders>
            <w:shd w:val="clear" w:color="auto" w:fill="003876"/>
            <w:noWrap/>
            <w:vAlign w:val="center"/>
            <w:hideMark/>
          </w:tcPr>
          <w:p w14:paraId="4841EA61" w14:textId="77777777" w:rsidR="001967A0" w:rsidRPr="00C865B6" w:rsidRDefault="001967A0" w:rsidP="006B204A">
            <w:pPr>
              <w:spacing w:after="0" w:line="360" w:lineRule="auto"/>
              <w:jc w:val="center"/>
              <w:rPr>
                <w:rFonts w:eastAsia="Times New Roman"/>
                <w:b/>
                <w:bCs/>
                <w:color w:val="FFFFFF"/>
                <w:lang w:eastAsia="es-DO"/>
              </w:rPr>
            </w:pPr>
            <w:r w:rsidRPr="00D750B2">
              <w:rPr>
                <w:rFonts w:eastAsia="Times New Roman"/>
                <w:b/>
                <w:bCs/>
                <w:color w:val="FFFFFF"/>
                <w:lang w:eastAsia="es-DO"/>
              </w:rPr>
              <w:t>6,082,542,497</w:t>
            </w:r>
          </w:p>
        </w:tc>
        <w:tc>
          <w:tcPr>
            <w:tcW w:w="1843" w:type="dxa"/>
            <w:tcBorders>
              <w:top w:val="nil"/>
              <w:left w:val="nil"/>
              <w:bottom w:val="single" w:sz="8" w:space="0" w:color="auto"/>
              <w:right w:val="single" w:sz="8" w:space="0" w:color="auto"/>
            </w:tcBorders>
            <w:shd w:val="clear" w:color="auto" w:fill="003876"/>
            <w:noWrap/>
            <w:vAlign w:val="center"/>
            <w:hideMark/>
          </w:tcPr>
          <w:p w14:paraId="23C95B6A" w14:textId="77777777" w:rsidR="001967A0" w:rsidRPr="00C865B6" w:rsidRDefault="001967A0" w:rsidP="006B204A">
            <w:pPr>
              <w:spacing w:after="0" w:line="360" w:lineRule="auto"/>
              <w:jc w:val="center"/>
              <w:rPr>
                <w:rFonts w:eastAsia="Times New Roman"/>
                <w:b/>
                <w:bCs/>
                <w:color w:val="FFFFFF"/>
                <w:lang w:eastAsia="es-DO"/>
              </w:rPr>
            </w:pPr>
            <w:r w:rsidRPr="00C865B6">
              <w:rPr>
                <w:rFonts w:eastAsia="Times New Roman"/>
                <w:b/>
                <w:bCs/>
                <w:color w:val="FFFFFF"/>
                <w:lang w:eastAsia="es-DO"/>
              </w:rPr>
              <w:t>100%</w:t>
            </w:r>
          </w:p>
        </w:tc>
      </w:tr>
    </w:tbl>
    <w:p w14:paraId="14DE596E" w14:textId="31BF6869" w:rsidR="00280F23" w:rsidRPr="00CA473C" w:rsidRDefault="001967A0" w:rsidP="00CA473C">
      <w:pPr>
        <w:tabs>
          <w:tab w:val="left" w:pos="6420"/>
        </w:tabs>
        <w:spacing w:line="360" w:lineRule="auto"/>
        <w:jc w:val="center"/>
        <w:rPr>
          <w:sz w:val="22"/>
          <w:szCs w:val="22"/>
          <w:lang w:val="es-DO"/>
        </w:rPr>
      </w:pPr>
      <w:r w:rsidRPr="00CA473C">
        <w:rPr>
          <w:b/>
          <w:sz w:val="22"/>
          <w:szCs w:val="22"/>
          <w:lang w:val="es-DO"/>
        </w:rPr>
        <w:t>Fuente</w:t>
      </w:r>
      <w:r w:rsidRPr="00CA473C">
        <w:rPr>
          <w:sz w:val="22"/>
          <w:szCs w:val="22"/>
          <w:lang w:val="es-DO"/>
        </w:rPr>
        <w:t>: Departamento Administrativo, Financiero y de Planificación. Superintendencia de Bancos de la República Dominicana.</w:t>
      </w:r>
    </w:p>
    <w:p w14:paraId="311981BE" w14:textId="77777777" w:rsidR="00280F23" w:rsidRPr="00D8680B" w:rsidRDefault="00280F23" w:rsidP="00F8311E">
      <w:pPr>
        <w:pStyle w:val="CuerpoSB"/>
        <w:pBdr>
          <w:top w:val="none" w:sz="0" w:space="0" w:color="auto"/>
          <w:left w:val="none" w:sz="0" w:space="0" w:color="auto"/>
          <w:bottom w:val="none" w:sz="0" w:space="0" w:color="auto"/>
          <w:right w:val="none" w:sz="0" w:space="0" w:color="auto"/>
        </w:pBdr>
        <w:spacing w:line="360" w:lineRule="auto"/>
        <w:ind w:left="0"/>
        <w:contextualSpacing w:val="0"/>
        <w:jc w:val="left"/>
        <w:rPr>
          <w:rFonts w:ascii="Times New Roman" w:hAnsi="Times New Roman" w:cs="Times New Roman"/>
          <w:b/>
          <w:color w:val="767171"/>
          <w:spacing w:val="20"/>
          <w:sz w:val="24"/>
          <w:bdr w:val="none" w:sz="0" w:space="0" w:color="auto"/>
          <w:lang w:val="es-ES"/>
        </w:rPr>
      </w:pPr>
      <w:r w:rsidRPr="00D8680B">
        <w:rPr>
          <w:rFonts w:ascii="Times New Roman" w:hAnsi="Times New Roman" w:cs="Times New Roman"/>
          <w:b/>
          <w:color w:val="767171"/>
          <w:spacing w:val="20"/>
          <w:sz w:val="24"/>
          <w:bdr w:val="none" w:sz="0" w:space="0" w:color="auto"/>
          <w:lang w:val="es-ES"/>
        </w:rPr>
        <w:lastRenderedPageBreak/>
        <w:t>Ejecución presupuestaria</w:t>
      </w:r>
    </w:p>
    <w:p w14:paraId="3A931304" w14:textId="6202564B" w:rsidR="001967A0" w:rsidRDefault="001967A0" w:rsidP="006B204A">
      <w:pPr>
        <w:pStyle w:val="CuerpoSB"/>
        <w:pBdr>
          <w:top w:val="none" w:sz="0" w:space="0" w:color="auto"/>
          <w:left w:val="none" w:sz="0" w:space="0" w:color="auto"/>
          <w:bottom w:val="none" w:sz="0" w:space="0" w:color="auto"/>
          <w:right w:val="none" w:sz="0" w:space="0" w:color="auto"/>
        </w:pBdr>
        <w:spacing w:line="360" w:lineRule="auto"/>
        <w:ind w:left="0"/>
        <w:contextualSpacing w:val="0"/>
        <w:rPr>
          <w:rFonts w:ascii="Times New Roman" w:hAnsi="Times New Roman" w:cs="Times New Roman"/>
          <w:color w:val="767171"/>
          <w:spacing w:val="20"/>
          <w:sz w:val="24"/>
          <w:bdr w:val="none" w:sz="0" w:space="0" w:color="auto"/>
          <w:lang w:val="es-ES"/>
        </w:rPr>
      </w:pPr>
      <w:r w:rsidRPr="00D8680B">
        <w:rPr>
          <w:rFonts w:ascii="Times New Roman" w:hAnsi="Times New Roman" w:cs="Times New Roman"/>
          <w:color w:val="767171"/>
          <w:spacing w:val="20"/>
          <w:sz w:val="24"/>
          <w:bdr w:val="none" w:sz="0" w:space="0" w:color="auto"/>
          <w:lang w:val="es-ES"/>
        </w:rPr>
        <w:t>Al corte del 3</w:t>
      </w:r>
      <w:r w:rsidR="00A1453A">
        <w:rPr>
          <w:rFonts w:ascii="Times New Roman" w:hAnsi="Times New Roman" w:cs="Times New Roman"/>
          <w:color w:val="767171"/>
          <w:spacing w:val="20"/>
          <w:sz w:val="24"/>
          <w:bdr w:val="none" w:sz="0" w:space="0" w:color="auto"/>
          <w:lang w:val="es-ES"/>
        </w:rPr>
        <w:t>0</w:t>
      </w:r>
      <w:r w:rsidRPr="00D8680B">
        <w:rPr>
          <w:rFonts w:ascii="Times New Roman" w:hAnsi="Times New Roman" w:cs="Times New Roman"/>
          <w:color w:val="767171"/>
          <w:spacing w:val="20"/>
          <w:sz w:val="24"/>
          <w:bdr w:val="none" w:sz="0" w:space="0" w:color="auto"/>
          <w:lang w:val="es-ES"/>
        </w:rPr>
        <w:t xml:space="preserve"> de </w:t>
      </w:r>
      <w:r w:rsidR="00A1453A">
        <w:rPr>
          <w:rFonts w:ascii="Times New Roman" w:hAnsi="Times New Roman" w:cs="Times New Roman"/>
          <w:color w:val="767171"/>
          <w:spacing w:val="20"/>
          <w:sz w:val="24"/>
          <w:bdr w:val="none" w:sz="0" w:space="0" w:color="auto"/>
          <w:lang w:val="es-ES"/>
        </w:rPr>
        <w:t>noviembre</w:t>
      </w:r>
      <w:r w:rsidRPr="00D8680B">
        <w:rPr>
          <w:rFonts w:ascii="Times New Roman" w:hAnsi="Times New Roman" w:cs="Times New Roman"/>
          <w:color w:val="767171"/>
          <w:spacing w:val="20"/>
          <w:sz w:val="24"/>
          <w:bdr w:val="none" w:sz="0" w:space="0" w:color="auto"/>
          <w:lang w:val="es-ES"/>
        </w:rPr>
        <w:t xml:space="preserve"> del año 2023, la ejecución del gasto de la Superintendencia de Bancos asciende a un total de </w:t>
      </w:r>
      <w:r w:rsidR="00397483">
        <w:rPr>
          <w:rFonts w:ascii="Times New Roman" w:hAnsi="Times New Roman" w:cs="Times New Roman"/>
          <w:color w:val="767171"/>
          <w:spacing w:val="20"/>
          <w:sz w:val="24"/>
          <w:bdr w:val="none" w:sz="0" w:space="0" w:color="auto"/>
          <w:lang w:val="es-ES"/>
        </w:rPr>
        <w:t>dos</w:t>
      </w:r>
      <w:r w:rsidRPr="00D8680B">
        <w:rPr>
          <w:rFonts w:ascii="Times New Roman" w:hAnsi="Times New Roman" w:cs="Times New Roman"/>
          <w:color w:val="767171"/>
          <w:spacing w:val="20"/>
          <w:sz w:val="24"/>
          <w:bdr w:val="none" w:sz="0" w:space="0" w:color="auto"/>
          <w:lang w:val="es-ES"/>
        </w:rPr>
        <w:t xml:space="preserve"> mil </w:t>
      </w:r>
      <w:r w:rsidR="00B1135C">
        <w:rPr>
          <w:rFonts w:ascii="Times New Roman" w:hAnsi="Times New Roman" w:cs="Times New Roman"/>
          <w:color w:val="767171"/>
          <w:spacing w:val="20"/>
          <w:sz w:val="24"/>
          <w:bdr w:val="none" w:sz="0" w:space="0" w:color="auto"/>
          <w:lang w:val="es-ES"/>
        </w:rPr>
        <w:t>ochocientos</w:t>
      </w:r>
      <w:r w:rsidRPr="00D8680B">
        <w:rPr>
          <w:rFonts w:ascii="Times New Roman" w:hAnsi="Times New Roman" w:cs="Times New Roman"/>
          <w:color w:val="767171"/>
          <w:spacing w:val="20"/>
          <w:sz w:val="24"/>
          <w:bdr w:val="none" w:sz="0" w:space="0" w:color="auto"/>
          <w:lang w:val="es-ES"/>
        </w:rPr>
        <w:t xml:space="preserve"> </w:t>
      </w:r>
      <w:r w:rsidR="00B1135C">
        <w:rPr>
          <w:rFonts w:ascii="Times New Roman" w:hAnsi="Times New Roman" w:cs="Times New Roman"/>
          <w:color w:val="767171"/>
          <w:spacing w:val="20"/>
          <w:sz w:val="24"/>
          <w:bdr w:val="none" w:sz="0" w:space="0" w:color="auto"/>
          <w:lang w:val="es-ES"/>
        </w:rPr>
        <w:t>cincuenta</w:t>
      </w:r>
      <w:r w:rsidRPr="00D8680B">
        <w:rPr>
          <w:rFonts w:ascii="Times New Roman" w:hAnsi="Times New Roman" w:cs="Times New Roman"/>
          <w:color w:val="767171"/>
          <w:spacing w:val="20"/>
          <w:sz w:val="24"/>
          <w:bdr w:val="none" w:sz="0" w:space="0" w:color="auto"/>
          <w:lang w:val="es-ES"/>
        </w:rPr>
        <w:t xml:space="preserve"> y un mil millones, </w:t>
      </w:r>
      <w:r w:rsidR="00B1135C">
        <w:rPr>
          <w:rFonts w:ascii="Times New Roman" w:hAnsi="Times New Roman" w:cs="Times New Roman"/>
          <w:color w:val="767171"/>
          <w:spacing w:val="20"/>
          <w:sz w:val="24"/>
          <w:bdr w:val="none" w:sz="0" w:space="0" w:color="auto"/>
          <w:lang w:val="es-ES"/>
        </w:rPr>
        <w:t>tres</w:t>
      </w:r>
      <w:r w:rsidRPr="00D8680B">
        <w:rPr>
          <w:rFonts w:ascii="Times New Roman" w:hAnsi="Times New Roman" w:cs="Times New Roman"/>
          <w:color w:val="767171"/>
          <w:spacing w:val="20"/>
          <w:sz w:val="24"/>
          <w:bdr w:val="none" w:sz="0" w:space="0" w:color="auto"/>
          <w:lang w:val="es-ES"/>
        </w:rPr>
        <w:t xml:space="preserve">cientos sesenta y </w:t>
      </w:r>
      <w:r w:rsidR="00B1135C">
        <w:rPr>
          <w:rFonts w:ascii="Times New Roman" w:hAnsi="Times New Roman" w:cs="Times New Roman"/>
          <w:color w:val="767171"/>
          <w:spacing w:val="20"/>
          <w:sz w:val="24"/>
          <w:bdr w:val="none" w:sz="0" w:space="0" w:color="auto"/>
          <w:lang w:val="es-ES"/>
        </w:rPr>
        <w:t>cinco</w:t>
      </w:r>
      <w:r w:rsidRPr="00D8680B">
        <w:rPr>
          <w:rFonts w:ascii="Times New Roman" w:hAnsi="Times New Roman" w:cs="Times New Roman"/>
          <w:color w:val="767171"/>
          <w:spacing w:val="20"/>
          <w:sz w:val="24"/>
          <w:bdr w:val="none" w:sz="0" w:space="0" w:color="auto"/>
          <w:lang w:val="es-ES"/>
        </w:rPr>
        <w:t xml:space="preserve"> mil, </w:t>
      </w:r>
      <w:r w:rsidR="00B1135C">
        <w:rPr>
          <w:rFonts w:ascii="Times New Roman" w:hAnsi="Times New Roman" w:cs="Times New Roman"/>
          <w:color w:val="767171"/>
          <w:spacing w:val="20"/>
          <w:sz w:val="24"/>
          <w:bdr w:val="none" w:sz="0" w:space="0" w:color="auto"/>
          <w:lang w:val="es-ES"/>
        </w:rPr>
        <w:t>ciento</w:t>
      </w:r>
      <w:r w:rsidRPr="00D8680B">
        <w:rPr>
          <w:rFonts w:ascii="Times New Roman" w:hAnsi="Times New Roman" w:cs="Times New Roman"/>
          <w:color w:val="767171"/>
          <w:spacing w:val="20"/>
          <w:sz w:val="24"/>
          <w:bdr w:val="none" w:sz="0" w:space="0" w:color="auto"/>
          <w:lang w:val="es-ES"/>
        </w:rPr>
        <w:t xml:space="preserve"> </w:t>
      </w:r>
      <w:r w:rsidR="00B1135C">
        <w:rPr>
          <w:rFonts w:ascii="Times New Roman" w:hAnsi="Times New Roman" w:cs="Times New Roman"/>
          <w:color w:val="767171"/>
          <w:spacing w:val="20"/>
          <w:sz w:val="24"/>
          <w:bdr w:val="none" w:sz="0" w:space="0" w:color="auto"/>
          <w:lang w:val="es-ES"/>
        </w:rPr>
        <w:t>veintinueve</w:t>
      </w:r>
      <w:r w:rsidRPr="00D8680B">
        <w:rPr>
          <w:rFonts w:ascii="Times New Roman" w:hAnsi="Times New Roman" w:cs="Times New Roman"/>
          <w:color w:val="767171"/>
          <w:spacing w:val="20"/>
          <w:sz w:val="24"/>
          <w:bdr w:val="none" w:sz="0" w:space="0" w:color="auto"/>
          <w:lang w:val="es-ES"/>
        </w:rPr>
        <w:t xml:space="preserve"> (</w:t>
      </w:r>
      <w:r w:rsidRPr="005A5297">
        <w:rPr>
          <w:rFonts w:ascii="Times New Roman" w:hAnsi="Times New Roman" w:cs="Times New Roman"/>
          <w:color w:val="767171"/>
          <w:spacing w:val="20"/>
          <w:sz w:val="24"/>
          <w:bdr w:val="none" w:sz="0" w:space="0" w:color="auto"/>
          <w:lang w:val="es-ES"/>
        </w:rPr>
        <w:t xml:space="preserve">RD$ </w:t>
      </w:r>
      <w:r w:rsidR="00397483" w:rsidRPr="00397483">
        <w:rPr>
          <w:rFonts w:ascii="Times New Roman" w:hAnsi="Times New Roman" w:cs="Times New Roman"/>
          <w:color w:val="767171"/>
          <w:spacing w:val="20"/>
          <w:sz w:val="24"/>
          <w:bdr w:val="none" w:sz="0" w:space="0" w:color="auto"/>
          <w:lang w:val="es-ES"/>
        </w:rPr>
        <w:t>2,851,375,12</w:t>
      </w:r>
      <w:r w:rsidR="00397483">
        <w:rPr>
          <w:rFonts w:ascii="Times New Roman" w:hAnsi="Times New Roman" w:cs="Times New Roman"/>
          <w:color w:val="767171"/>
          <w:spacing w:val="20"/>
          <w:sz w:val="24"/>
          <w:bdr w:val="none" w:sz="0" w:space="0" w:color="auto"/>
          <w:lang w:val="es-ES"/>
        </w:rPr>
        <w:t>9</w:t>
      </w:r>
      <w:r w:rsidRPr="00D8680B">
        <w:rPr>
          <w:rFonts w:ascii="Times New Roman" w:hAnsi="Times New Roman" w:cs="Times New Roman"/>
          <w:color w:val="767171"/>
          <w:spacing w:val="20"/>
          <w:sz w:val="24"/>
          <w:bdr w:val="none" w:sz="0" w:space="0" w:color="auto"/>
          <w:lang w:val="es-ES"/>
        </w:rPr>
        <w:t>)</w:t>
      </w:r>
      <w:r w:rsidR="00FD0D11">
        <w:rPr>
          <w:rFonts w:ascii="Times New Roman" w:hAnsi="Times New Roman" w:cs="Times New Roman"/>
          <w:color w:val="767171"/>
          <w:spacing w:val="20"/>
          <w:sz w:val="24"/>
          <w:bdr w:val="none" w:sz="0" w:space="0" w:color="auto"/>
          <w:lang w:val="es-ES"/>
        </w:rPr>
        <w:t xml:space="preserve"> para una ejecución de</w:t>
      </w:r>
      <w:r w:rsidR="00C36B90">
        <w:rPr>
          <w:rFonts w:ascii="Times New Roman" w:hAnsi="Times New Roman" w:cs="Times New Roman"/>
          <w:color w:val="767171"/>
          <w:spacing w:val="20"/>
          <w:sz w:val="24"/>
          <w:bdr w:val="none" w:sz="0" w:space="0" w:color="auto"/>
          <w:lang w:val="es-ES"/>
        </w:rPr>
        <w:t xml:space="preserve">l </w:t>
      </w:r>
      <w:r w:rsidR="00397483">
        <w:rPr>
          <w:rFonts w:ascii="Times New Roman" w:hAnsi="Times New Roman" w:cs="Times New Roman"/>
          <w:color w:val="767171"/>
          <w:spacing w:val="20"/>
          <w:sz w:val="24"/>
          <w:bdr w:val="none" w:sz="0" w:space="0" w:color="auto"/>
          <w:lang w:val="es-ES"/>
        </w:rPr>
        <w:t>70</w:t>
      </w:r>
      <w:r w:rsidR="00C36B90">
        <w:rPr>
          <w:rFonts w:ascii="Times New Roman" w:hAnsi="Times New Roman" w:cs="Times New Roman"/>
          <w:color w:val="767171"/>
          <w:spacing w:val="20"/>
          <w:sz w:val="24"/>
          <w:bdr w:val="none" w:sz="0" w:space="0" w:color="auto"/>
          <w:lang w:val="es-ES"/>
        </w:rPr>
        <w:t>%</w:t>
      </w:r>
      <w:r w:rsidR="00735AC9">
        <w:rPr>
          <w:rFonts w:ascii="Times New Roman" w:hAnsi="Times New Roman" w:cs="Times New Roman"/>
          <w:color w:val="767171"/>
          <w:spacing w:val="20"/>
          <w:sz w:val="24"/>
          <w:bdr w:val="none" w:sz="0" w:space="0" w:color="auto"/>
          <w:lang w:val="es-ES"/>
        </w:rPr>
        <w:t xml:space="preserve"> en base al presupuesto aprobado de </w:t>
      </w:r>
      <w:r w:rsidR="0006315C">
        <w:rPr>
          <w:rFonts w:ascii="Times New Roman" w:hAnsi="Times New Roman" w:cs="Times New Roman"/>
          <w:color w:val="767171"/>
          <w:spacing w:val="20"/>
          <w:sz w:val="24"/>
          <w:bdr w:val="none" w:sz="0" w:space="0" w:color="auto"/>
          <w:lang w:val="es-ES"/>
        </w:rPr>
        <w:t>RD$</w:t>
      </w:r>
      <w:r w:rsidR="0006315C" w:rsidRPr="0006315C">
        <w:rPr>
          <w:rFonts w:ascii="Times New Roman" w:hAnsi="Times New Roman" w:cs="Times New Roman"/>
          <w:color w:val="767171"/>
          <w:spacing w:val="20"/>
          <w:sz w:val="24"/>
          <w:bdr w:val="none" w:sz="0" w:space="0" w:color="auto"/>
          <w:lang w:val="es-ES"/>
        </w:rPr>
        <w:t>4,082,542,497</w:t>
      </w:r>
      <w:r w:rsidRPr="00D8680B">
        <w:rPr>
          <w:rFonts w:ascii="Times New Roman" w:hAnsi="Times New Roman" w:cs="Times New Roman"/>
          <w:color w:val="767171"/>
          <w:spacing w:val="20"/>
          <w:sz w:val="24"/>
          <w:bdr w:val="none" w:sz="0" w:space="0" w:color="auto"/>
          <w:lang w:val="es-ES"/>
        </w:rPr>
        <w:t>. Se proyecta que la ejecución termine en tres mil seiscientos once millones, quinientos</w:t>
      </w:r>
      <w:r w:rsidRPr="008F6E80">
        <w:rPr>
          <w:rFonts w:ascii="Times New Roman" w:hAnsi="Times New Roman" w:cs="Times New Roman"/>
          <w:color w:val="auto"/>
          <w:spacing w:val="20"/>
          <w:sz w:val="24"/>
          <w:bdr w:val="none" w:sz="0" w:space="0" w:color="auto"/>
          <w:lang w:val="es-ES"/>
        </w:rPr>
        <w:t xml:space="preserve"> </w:t>
      </w:r>
      <w:r w:rsidRPr="00AA5889">
        <w:rPr>
          <w:rFonts w:ascii="Times New Roman" w:hAnsi="Times New Roman" w:cs="Times New Roman"/>
          <w:color w:val="767171"/>
          <w:spacing w:val="20"/>
          <w:sz w:val="24"/>
          <w:bdr w:val="none" w:sz="0" w:space="0" w:color="auto"/>
          <w:lang w:val="es-ES"/>
        </w:rPr>
        <w:t>setenta y seis mil ciento cuarenta y tres pesos (</w:t>
      </w:r>
      <w:r w:rsidRPr="005A5297">
        <w:rPr>
          <w:rFonts w:ascii="Times New Roman" w:hAnsi="Times New Roman" w:cs="Times New Roman"/>
          <w:color w:val="767171"/>
          <w:spacing w:val="20"/>
          <w:sz w:val="24"/>
          <w:bdr w:val="none" w:sz="0" w:space="0" w:color="auto"/>
          <w:lang w:val="es-ES"/>
        </w:rPr>
        <w:t>RD$ 3,611,576,143</w:t>
      </w:r>
      <w:r w:rsidRPr="00AA5889">
        <w:rPr>
          <w:rFonts w:ascii="Times New Roman" w:hAnsi="Times New Roman" w:cs="Times New Roman"/>
          <w:color w:val="767171"/>
          <w:spacing w:val="20"/>
          <w:sz w:val="24"/>
          <w:bdr w:val="none" w:sz="0" w:space="0" w:color="auto"/>
          <w:lang w:val="es-ES"/>
        </w:rPr>
        <w:t>) equivalente a una ejecución presupuestaria</w:t>
      </w:r>
      <w:r w:rsidR="00B6439B">
        <w:rPr>
          <w:rFonts w:ascii="Times New Roman" w:hAnsi="Times New Roman" w:cs="Times New Roman"/>
          <w:color w:val="767171"/>
          <w:spacing w:val="20"/>
          <w:sz w:val="24"/>
          <w:bdr w:val="none" w:sz="0" w:space="0" w:color="auto"/>
          <w:lang w:val="es-ES"/>
        </w:rPr>
        <w:t xml:space="preserve"> proyectada</w:t>
      </w:r>
      <w:r w:rsidRPr="00AA5889">
        <w:rPr>
          <w:rFonts w:ascii="Times New Roman" w:hAnsi="Times New Roman" w:cs="Times New Roman"/>
          <w:color w:val="767171"/>
          <w:spacing w:val="20"/>
          <w:sz w:val="24"/>
          <w:bdr w:val="none" w:sz="0" w:space="0" w:color="auto"/>
          <w:lang w:val="es-ES"/>
        </w:rPr>
        <w:t xml:space="preserve"> </w:t>
      </w:r>
      <w:r w:rsidRPr="005A5297">
        <w:rPr>
          <w:rFonts w:ascii="Times New Roman" w:hAnsi="Times New Roman" w:cs="Times New Roman"/>
          <w:color w:val="767171"/>
          <w:spacing w:val="20"/>
          <w:sz w:val="24"/>
          <w:bdr w:val="none" w:sz="0" w:space="0" w:color="auto"/>
          <w:lang w:val="es-ES"/>
        </w:rPr>
        <w:t>de 88%</w:t>
      </w:r>
      <w:r w:rsidR="005A5297" w:rsidRPr="005A5297">
        <w:rPr>
          <w:rStyle w:val="Refdenotaalpie"/>
          <w:rFonts w:ascii="Times New Roman" w:hAnsi="Times New Roman" w:cs="Times New Roman"/>
          <w:color w:val="767171"/>
          <w:spacing w:val="20"/>
          <w:sz w:val="24"/>
          <w:bdr w:val="none" w:sz="0" w:space="0" w:color="auto"/>
          <w:lang w:val="es-ES"/>
        </w:rPr>
        <w:footnoteReference w:id="3"/>
      </w:r>
      <w:r w:rsidRPr="005A5297">
        <w:rPr>
          <w:rFonts w:ascii="Times New Roman" w:hAnsi="Times New Roman" w:cs="Times New Roman"/>
          <w:color w:val="767171"/>
          <w:spacing w:val="20"/>
          <w:sz w:val="24"/>
          <w:bdr w:val="none" w:sz="0" w:space="0" w:color="auto"/>
          <w:lang w:val="es-ES"/>
        </w:rPr>
        <w:t>.</w:t>
      </w:r>
      <w:r w:rsidRPr="00AA5889">
        <w:rPr>
          <w:rFonts w:ascii="Times New Roman" w:hAnsi="Times New Roman" w:cs="Times New Roman"/>
          <w:color w:val="767171"/>
          <w:spacing w:val="20"/>
          <w:sz w:val="24"/>
          <w:bdr w:val="none" w:sz="0" w:space="0" w:color="auto"/>
          <w:lang w:val="es-ES"/>
        </w:rPr>
        <w:t xml:space="preserve"> Cuando agregamos las transferencias al Ministerio de Hacienda por dos mil millones de pesos (</w:t>
      </w:r>
      <w:r w:rsidRPr="005A5297">
        <w:rPr>
          <w:rFonts w:ascii="Times New Roman" w:hAnsi="Times New Roman" w:cs="Times New Roman"/>
          <w:color w:val="767171"/>
          <w:spacing w:val="20"/>
          <w:sz w:val="24"/>
          <w:bdr w:val="none" w:sz="0" w:space="0" w:color="auto"/>
          <w:lang w:val="es-ES"/>
        </w:rPr>
        <w:t>RD$ 2,000,000,000)</w:t>
      </w:r>
      <w:r w:rsidRPr="00AA5889">
        <w:rPr>
          <w:rFonts w:ascii="Times New Roman" w:hAnsi="Times New Roman" w:cs="Times New Roman"/>
          <w:color w:val="767171"/>
          <w:spacing w:val="20"/>
          <w:sz w:val="24"/>
          <w:bdr w:val="none" w:sz="0" w:space="0" w:color="auto"/>
          <w:lang w:val="es-ES"/>
        </w:rPr>
        <w:t xml:space="preserve"> tenemos una ejecución proyectada cinco mil seiscientos once millones, quinientos setenta y seis mil ciento cuarenta y tres pesos (RD</w:t>
      </w:r>
      <w:r w:rsidRPr="005A5297">
        <w:rPr>
          <w:rFonts w:ascii="Times New Roman" w:hAnsi="Times New Roman" w:cs="Times New Roman"/>
          <w:color w:val="767171"/>
          <w:spacing w:val="20"/>
          <w:sz w:val="24"/>
          <w:bdr w:val="none" w:sz="0" w:space="0" w:color="auto"/>
          <w:lang w:val="es-ES"/>
        </w:rPr>
        <w:t>$ 5,611,576,143</w:t>
      </w:r>
      <w:r w:rsidRPr="00AA5889">
        <w:rPr>
          <w:rFonts w:ascii="Times New Roman" w:hAnsi="Times New Roman" w:cs="Times New Roman"/>
          <w:color w:val="767171"/>
          <w:spacing w:val="20"/>
          <w:sz w:val="24"/>
          <w:bdr w:val="none" w:sz="0" w:space="0" w:color="auto"/>
          <w:lang w:val="es-ES"/>
        </w:rPr>
        <w:t xml:space="preserve">) equivalente a una ejecución presupuestaria </w:t>
      </w:r>
      <w:r w:rsidR="00B6439B">
        <w:rPr>
          <w:rFonts w:ascii="Times New Roman" w:hAnsi="Times New Roman" w:cs="Times New Roman"/>
          <w:color w:val="767171"/>
          <w:spacing w:val="20"/>
          <w:sz w:val="24"/>
          <w:bdr w:val="none" w:sz="0" w:space="0" w:color="auto"/>
          <w:lang w:val="es-ES"/>
        </w:rPr>
        <w:t xml:space="preserve">proyectada </w:t>
      </w:r>
      <w:r w:rsidRPr="00AA5889">
        <w:rPr>
          <w:rFonts w:ascii="Times New Roman" w:hAnsi="Times New Roman" w:cs="Times New Roman"/>
          <w:color w:val="767171"/>
          <w:spacing w:val="20"/>
          <w:sz w:val="24"/>
          <w:bdr w:val="none" w:sz="0" w:space="0" w:color="auto"/>
          <w:lang w:val="es-ES"/>
        </w:rPr>
        <w:t xml:space="preserve">de </w:t>
      </w:r>
      <w:r w:rsidRPr="005A5297">
        <w:rPr>
          <w:rFonts w:ascii="Times New Roman" w:hAnsi="Times New Roman" w:cs="Times New Roman"/>
          <w:color w:val="767171"/>
          <w:spacing w:val="20"/>
          <w:sz w:val="24"/>
          <w:bdr w:val="none" w:sz="0" w:space="0" w:color="auto"/>
          <w:lang w:val="es-ES"/>
        </w:rPr>
        <w:t>9</w:t>
      </w:r>
      <w:r w:rsidR="005D18BC" w:rsidRPr="005A5297">
        <w:rPr>
          <w:rFonts w:ascii="Times New Roman" w:hAnsi="Times New Roman" w:cs="Times New Roman"/>
          <w:color w:val="767171"/>
          <w:spacing w:val="20"/>
          <w:sz w:val="24"/>
          <w:bdr w:val="none" w:sz="0" w:space="0" w:color="auto"/>
          <w:lang w:val="es-ES"/>
        </w:rPr>
        <w:t>2</w:t>
      </w:r>
      <w:r w:rsidRPr="005A5297">
        <w:rPr>
          <w:rFonts w:ascii="Times New Roman" w:hAnsi="Times New Roman" w:cs="Times New Roman"/>
          <w:color w:val="767171"/>
          <w:spacing w:val="20"/>
          <w:sz w:val="24"/>
          <w:bdr w:val="none" w:sz="0" w:space="0" w:color="auto"/>
          <w:lang w:val="es-ES"/>
        </w:rPr>
        <w:t>%. (Ver anexo</w:t>
      </w:r>
      <w:r w:rsidRPr="00AA5889">
        <w:rPr>
          <w:rFonts w:ascii="Times New Roman" w:hAnsi="Times New Roman" w:cs="Times New Roman"/>
          <w:color w:val="767171"/>
          <w:spacing w:val="20"/>
          <w:sz w:val="24"/>
          <w:bdr w:val="none" w:sz="0" w:space="0" w:color="auto"/>
          <w:lang w:val="es-ES"/>
        </w:rPr>
        <w:t xml:space="preserve"> </w:t>
      </w:r>
      <w:r w:rsidR="00A05C81">
        <w:rPr>
          <w:rFonts w:ascii="Times New Roman" w:hAnsi="Times New Roman" w:cs="Times New Roman"/>
          <w:color w:val="767171"/>
          <w:spacing w:val="20"/>
          <w:sz w:val="24"/>
          <w:bdr w:val="none" w:sz="0" w:space="0" w:color="auto"/>
          <w:lang w:val="es-ES"/>
        </w:rPr>
        <w:t>1</w:t>
      </w:r>
      <w:r w:rsidRPr="00AA5889">
        <w:rPr>
          <w:rFonts w:ascii="Times New Roman" w:hAnsi="Times New Roman" w:cs="Times New Roman"/>
          <w:color w:val="767171"/>
          <w:spacing w:val="20"/>
          <w:sz w:val="24"/>
          <w:bdr w:val="none" w:sz="0" w:space="0" w:color="auto"/>
          <w:lang w:val="es-ES"/>
        </w:rPr>
        <w:t>).</w:t>
      </w:r>
    </w:p>
    <w:bookmarkEnd w:id="81"/>
    <w:p w14:paraId="374D54C0" w14:textId="74B2AD22" w:rsidR="00E52ED4" w:rsidRPr="00AA5889" w:rsidRDefault="00E52ED4" w:rsidP="00F8311E">
      <w:pPr>
        <w:pStyle w:val="CuerpoSB"/>
        <w:pBdr>
          <w:top w:val="none" w:sz="0" w:space="0" w:color="auto"/>
          <w:left w:val="none" w:sz="0" w:space="0" w:color="auto"/>
          <w:bottom w:val="none" w:sz="0" w:space="0" w:color="auto"/>
          <w:right w:val="none" w:sz="0" w:space="0" w:color="auto"/>
        </w:pBdr>
        <w:spacing w:line="360" w:lineRule="auto"/>
        <w:ind w:left="0"/>
        <w:contextualSpacing w:val="0"/>
        <w:jc w:val="left"/>
        <w:rPr>
          <w:rFonts w:ascii="Times New Roman" w:hAnsi="Times New Roman" w:cs="Times New Roman"/>
          <w:b/>
          <w:color w:val="767171"/>
          <w:spacing w:val="20"/>
          <w:sz w:val="24"/>
          <w:bdr w:val="none" w:sz="0" w:space="0" w:color="auto"/>
          <w:lang w:val="es-ES"/>
        </w:rPr>
      </w:pPr>
      <w:r w:rsidRPr="00AA5889">
        <w:rPr>
          <w:rFonts w:ascii="Times New Roman" w:hAnsi="Times New Roman" w:cs="Times New Roman"/>
          <w:b/>
          <w:color w:val="767171"/>
          <w:spacing w:val="20"/>
          <w:sz w:val="24"/>
          <w:bdr w:val="none" w:sz="0" w:space="0" w:color="auto"/>
          <w:lang w:val="es-ES"/>
        </w:rPr>
        <w:t xml:space="preserve">Iniciativas para fortalecer los procesos administrativos y financieros </w:t>
      </w:r>
    </w:p>
    <w:p w14:paraId="2CB90A7D" w14:textId="75E18766" w:rsidR="001967A0" w:rsidRPr="00AA5889" w:rsidRDefault="001967A0" w:rsidP="006B204A">
      <w:pPr>
        <w:pStyle w:val="CuerpoSB"/>
        <w:spacing w:line="360" w:lineRule="auto"/>
        <w:ind w:left="0"/>
        <w:contextualSpacing w:val="0"/>
        <w:rPr>
          <w:rFonts w:ascii="Times New Roman" w:hAnsi="Times New Roman" w:cs="Times New Roman"/>
          <w:color w:val="767171"/>
          <w:spacing w:val="20"/>
          <w:sz w:val="24"/>
          <w:bdr w:val="none" w:sz="0" w:space="0" w:color="auto"/>
          <w:lang w:val="es-ES"/>
        </w:rPr>
      </w:pPr>
      <w:r w:rsidRPr="00AA5889">
        <w:rPr>
          <w:rFonts w:ascii="Times New Roman" w:hAnsi="Times New Roman" w:cs="Times New Roman"/>
          <w:color w:val="767171"/>
          <w:spacing w:val="20"/>
          <w:sz w:val="24"/>
          <w:bdr w:val="none" w:sz="0" w:space="0" w:color="auto"/>
          <w:lang w:val="es-ES"/>
        </w:rPr>
        <w:t>Las iniciativas en el año 2023 se han</w:t>
      </w:r>
      <w:r w:rsidR="005225A9">
        <w:rPr>
          <w:rFonts w:ascii="Times New Roman" w:hAnsi="Times New Roman" w:cs="Times New Roman"/>
          <w:color w:val="767171"/>
          <w:spacing w:val="20"/>
          <w:sz w:val="24"/>
          <w:bdr w:val="none" w:sz="0" w:space="0" w:color="auto"/>
          <w:lang w:val="es-ES"/>
        </w:rPr>
        <w:t xml:space="preserve"> centrado en </w:t>
      </w:r>
      <w:r w:rsidRPr="00AA5889">
        <w:rPr>
          <w:rFonts w:ascii="Times New Roman" w:hAnsi="Times New Roman" w:cs="Times New Roman"/>
          <w:color w:val="767171"/>
          <w:spacing w:val="20"/>
          <w:sz w:val="24"/>
          <w:bdr w:val="none" w:sz="0" w:space="0" w:color="auto"/>
          <w:lang w:val="es-ES"/>
        </w:rPr>
        <w:t xml:space="preserve">continuar la implementación y fortalecimiento de un sistema de gestión, control y mitigación de los riesgos asociados a las operaciones administrativas y financieras de la institución y a la implementación de controles y procesos adecuados, que aseguren una información financiera completa, neutral y libre de error. </w:t>
      </w:r>
    </w:p>
    <w:p w14:paraId="51D434DA" w14:textId="132582B5" w:rsidR="001967A0" w:rsidRPr="00AA5889" w:rsidRDefault="001C3061" w:rsidP="006B204A">
      <w:pPr>
        <w:pStyle w:val="CuerpoSB"/>
        <w:spacing w:line="360" w:lineRule="auto"/>
        <w:ind w:left="0"/>
        <w:contextualSpacing w:val="0"/>
        <w:rPr>
          <w:rFonts w:ascii="Times New Roman" w:hAnsi="Times New Roman" w:cs="Times New Roman"/>
          <w:color w:val="767171"/>
          <w:spacing w:val="20"/>
          <w:sz w:val="24"/>
          <w:bdr w:val="none" w:sz="0" w:space="0" w:color="auto"/>
          <w:lang w:val="es-ES"/>
        </w:rPr>
      </w:pPr>
      <w:r>
        <w:rPr>
          <w:rFonts w:ascii="Times New Roman" w:hAnsi="Times New Roman" w:cs="Times New Roman"/>
          <w:color w:val="767171"/>
          <w:spacing w:val="20"/>
          <w:sz w:val="24"/>
          <w:bdr w:val="none" w:sz="0" w:space="0" w:color="auto"/>
          <w:lang w:val="es-ES"/>
        </w:rPr>
        <w:t xml:space="preserve">A causa de esto, </w:t>
      </w:r>
      <w:r w:rsidR="00DC77D3">
        <w:rPr>
          <w:rFonts w:ascii="Times New Roman" w:hAnsi="Times New Roman" w:cs="Times New Roman"/>
          <w:color w:val="767171"/>
          <w:spacing w:val="20"/>
          <w:sz w:val="24"/>
          <w:bdr w:val="none" w:sz="0" w:space="0" w:color="auto"/>
          <w:lang w:val="es-ES"/>
        </w:rPr>
        <w:t xml:space="preserve">en el 3er trimestre del </w:t>
      </w:r>
      <w:r w:rsidR="00FF008E">
        <w:rPr>
          <w:rFonts w:ascii="Times New Roman" w:hAnsi="Times New Roman" w:cs="Times New Roman"/>
          <w:color w:val="767171"/>
          <w:spacing w:val="20"/>
          <w:sz w:val="24"/>
          <w:bdr w:val="none" w:sz="0" w:space="0" w:color="auto"/>
          <w:lang w:val="es-ES"/>
        </w:rPr>
        <w:t xml:space="preserve">año </w:t>
      </w:r>
      <w:r w:rsidR="006B7534">
        <w:rPr>
          <w:rFonts w:ascii="Times New Roman" w:hAnsi="Times New Roman" w:cs="Times New Roman"/>
          <w:color w:val="767171"/>
          <w:spacing w:val="20"/>
          <w:sz w:val="24"/>
          <w:bdr w:val="none" w:sz="0" w:space="0" w:color="auto"/>
          <w:lang w:val="es-ES"/>
        </w:rPr>
        <w:t>la SB</w:t>
      </w:r>
      <w:r w:rsidR="005225A9">
        <w:rPr>
          <w:rFonts w:ascii="Times New Roman" w:hAnsi="Times New Roman" w:cs="Times New Roman"/>
          <w:color w:val="767171"/>
          <w:spacing w:val="20"/>
          <w:sz w:val="24"/>
          <w:bdr w:val="none" w:sz="0" w:space="0" w:color="auto"/>
          <w:lang w:val="es-ES"/>
        </w:rPr>
        <w:t xml:space="preserve"> </w:t>
      </w:r>
      <w:r w:rsidR="006B7534">
        <w:rPr>
          <w:rFonts w:ascii="Times New Roman" w:hAnsi="Times New Roman" w:cs="Times New Roman"/>
          <w:color w:val="767171"/>
          <w:spacing w:val="20"/>
          <w:sz w:val="24"/>
          <w:bdr w:val="none" w:sz="0" w:space="0" w:color="auto"/>
          <w:lang w:val="es-ES"/>
        </w:rPr>
        <w:t>obtuvo</w:t>
      </w:r>
      <w:r w:rsidR="001967A0" w:rsidRPr="00AA5889">
        <w:rPr>
          <w:rFonts w:ascii="Times New Roman" w:hAnsi="Times New Roman" w:cs="Times New Roman"/>
          <w:color w:val="767171"/>
          <w:spacing w:val="20"/>
          <w:sz w:val="24"/>
          <w:bdr w:val="none" w:sz="0" w:space="0" w:color="auto"/>
          <w:lang w:val="es-ES"/>
        </w:rPr>
        <w:t xml:space="preserve"> una puntuación de 97.25% </w:t>
      </w:r>
      <w:r w:rsidR="007A5AA6">
        <w:rPr>
          <w:rFonts w:ascii="Times New Roman" w:hAnsi="Times New Roman" w:cs="Times New Roman"/>
          <w:color w:val="767171"/>
          <w:spacing w:val="20"/>
          <w:sz w:val="24"/>
          <w:bdr w:val="none" w:sz="0" w:space="0" w:color="auto"/>
          <w:lang w:val="es-ES"/>
        </w:rPr>
        <w:t>en el indicador de uso del sistema nacional de compras públicas (SISCOMPRAS)</w:t>
      </w:r>
      <w:r w:rsidR="006B7534">
        <w:rPr>
          <w:rFonts w:ascii="Times New Roman" w:hAnsi="Times New Roman" w:cs="Times New Roman"/>
          <w:color w:val="767171"/>
          <w:spacing w:val="20"/>
          <w:sz w:val="24"/>
          <w:bdr w:val="none" w:sz="0" w:space="0" w:color="auto"/>
          <w:lang w:val="es-ES"/>
        </w:rPr>
        <w:t xml:space="preserve">, representando esto una mejor significativa contra </w:t>
      </w:r>
      <w:r w:rsidR="00DF4E66">
        <w:rPr>
          <w:rFonts w:ascii="Times New Roman" w:hAnsi="Times New Roman" w:cs="Times New Roman"/>
          <w:color w:val="767171"/>
          <w:spacing w:val="20"/>
          <w:sz w:val="24"/>
          <w:bdr w:val="none" w:sz="0" w:space="0" w:color="auto"/>
          <w:lang w:val="es-ES"/>
        </w:rPr>
        <w:t xml:space="preserve">el segundo trimestre </w:t>
      </w:r>
      <w:r w:rsidR="007F2761">
        <w:rPr>
          <w:rFonts w:ascii="Times New Roman" w:hAnsi="Times New Roman" w:cs="Times New Roman"/>
          <w:color w:val="767171"/>
          <w:spacing w:val="20"/>
          <w:sz w:val="24"/>
          <w:bdr w:val="none" w:sz="0" w:space="0" w:color="auto"/>
          <w:lang w:val="es-ES"/>
        </w:rPr>
        <w:t xml:space="preserve">en el cual la puntuación </w:t>
      </w:r>
      <w:r w:rsidR="007F2761">
        <w:rPr>
          <w:rFonts w:ascii="Times New Roman" w:hAnsi="Times New Roman" w:cs="Times New Roman"/>
          <w:color w:val="767171"/>
          <w:spacing w:val="20"/>
          <w:sz w:val="24"/>
          <w:bdr w:val="none" w:sz="0" w:space="0" w:color="auto"/>
          <w:lang w:val="es-ES"/>
        </w:rPr>
        <w:lastRenderedPageBreak/>
        <w:t>obtenida fue de</w:t>
      </w:r>
      <w:r w:rsidR="001967A0" w:rsidRPr="00AA5889">
        <w:rPr>
          <w:rFonts w:ascii="Times New Roman" w:hAnsi="Times New Roman" w:cs="Times New Roman"/>
          <w:color w:val="767171"/>
          <w:spacing w:val="20"/>
          <w:sz w:val="24"/>
          <w:bdr w:val="none" w:sz="0" w:space="0" w:color="auto"/>
          <w:lang w:val="es-ES"/>
        </w:rPr>
        <w:t xml:space="preserve"> 10.29%</w:t>
      </w:r>
      <w:r w:rsidR="007A5AA6">
        <w:rPr>
          <w:rFonts w:ascii="Times New Roman" w:hAnsi="Times New Roman" w:cs="Times New Roman"/>
          <w:color w:val="767171"/>
          <w:spacing w:val="20"/>
          <w:sz w:val="24"/>
          <w:bdr w:val="none" w:sz="0" w:space="0" w:color="auto"/>
          <w:lang w:val="es-ES"/>
        </w:rPr>
        <w:t xml:space="preserve">. </w:t>
      </w:r>
      <w:r w:rsidR="00DE53C9">
        <w:rPr>
          <w:rFonts w:ascii="Times New Roman" w:hAnsi="Times New Roman" w:cs="Times New Roman"/>
          <w:color w:val="767171"/>
          <w:spacing w:val="20"/>
          <w:sz w:val="24"/>
          <w:bdr w:val="none" w:sz="0" w:space="0" w:color="auto"/>
          <w:lang w:val="es-ES"/>
        </w:rPr>
        <w:t xml:space="preserve">En total, </w:t>
      </w:r>
      <w:r w:rsidR="00574459">
        <w:rPr>
          <w:rFonts w:ascii="Times New Roman" w:hAnsi="Times New Roman" w:cs="Times New Roman"/>
          <w:color w:val="767171"/>
          <w:spacing w:val="20"/>
          <w:sz w:val="24"/>
          <w:bdr w:val="none" w:sz="0" w:space="0" w:color="auto"/>
          <w:lang w:val="es-ES"/>
        </w:rPr>
        <w:t xml:space="preserve">en los tres primeros trimestres del año fueron gestionados </w:t>
      </w:r>
      <w:r w:rsidR="001967A0" w:rsidRPr="00AA5889">
        <w:rPr>
          <w:rFonts w:ascii="Times New Roman" w:hAnsi="Times New Roman" w:cs="Times New Roman"/>
          <w:color w:val="767171"/>
          <w:spacing w:val="20"/>
          <w:sz w:val="24"/>
          <w:bdr w:val="none" w:sz="0" w:space="0" w:color="auto"/>
          <w:lang w:val="es-ES"/>
        </w:rPr>
        <w:t xml:space="preserve">304 procesos y </w:t>
      </w:r>
      <w:r w:rsidR="007B7294">
        <w:rPr>
          <w:rFonts w:ascii="Times New Roman" w:hAnsi="Times New Roman" w:cs="Times New Roman"/>
          <w:color w:val="767171"/>
          <w:spacing w:val="20"/>
          <w:sz w:val="24"/>
          <w:bdr w:val="none" w:sz="0" w:space="0" w:color="auto"/>
          <w:lang w:val="es-ES"/>
        </w:rPr>
        <w:t xml:space="preserve">administrados </w:t>
      </w:r>
      <w:r w:rsidR="001967A0" w:rsidRPr="00AA5889">
        <w:rPr>
          <w:rFonts w:ascii="Times New Roman" w:hAnsi="Times New Roman" w:cs="Times New Roman"/>
          <w:color w:val="767171"/>
          <w:spacing w:val="20"/>
          <w:sz w:val="24"/>
          <w:bdr w:val="none" w:sz="0" w:space="0" w:color="auto"/>
          <w:lang w:val="es-ES"/>
        </w:rPr>
        <w:t>272 contratos. Es importante destacar que esta puntuación alcanzada fue bajo una nueva metodología que hace más estricto el seguimiento a la planificación de las compras.</w:t>
      </w:r>
    </w:p>
    <w:p w14:paraId="1F4519AB" w14:textId="77777777" w:rsidR="002D7938" w:rsidRDefault="005C1DEB" w:rsidP="006B204A">
      <w:pPr>
        <w:pStyle w:val="CuerpoSB"/>
        <w:spacing w:line="360" w:lineRule="auto"/>
        <w:ind w:left="0"/>
        <w:contextualSpacing w:val="0"/>
        <w:rPr>
          <w:rFonts w:ascii="Times New Roman" w:hAnsi="Times New Roman" w:cs="Times New Roman"/>
          <w:color w:val="767171"/>
          <w:spacing w:val="20"/>
          <w:sz w:val="24"/>
          <w:bdr w:val="none" w:sz="0" w:space="0" w:color="auto"/>
          <w:lang w:val="es-ES"/>
        </w:rPr>
      </w:pPr>
      <w:r>
        <w:rPr>
          <w:rFonts w:ascii="Times New Roman" w:hAnsi="Times New Roman" w:cs="Times New Roman"/>
          <w:color w:val="767171"/>
          <w:spacing w:val="20"/>
          <w:sz w:val="24"/>
          <w:bdr w:val="none" w:sz="0" w:space="0" w:color="auto"/>
          <w:lang w:val="es-ES"/>
        </w:rPr>
        <w:t>Asimismo</w:t>
      </w:r>
      <w:r w:rsidR="002203DE">
        <w:rPr>
          <w:rFonts w:ascii="Times New Roman" w:hAnsi="Times New Roman" w:cs="Times New Roman"/>
          <w:color w:val="767171"/>
          <w:spacing w:val="20"/>
          <w:sz w:val="24"/>
          <w:bdr w:val="none" w:sz="0" w:space="0" w:color="auto"/>
          <w:lang w:val="es-ES"/>
        </w:rPr>
        <w:t xml:space="preserve">, la Dirección General de Contrataciones Públicas </w:t>
      </w:r>
      <w:r>
        <w:rPr>
          <w:rFonts w:ascii="Times New Roman" w:hAnsi="Times New Roman" w:cs="Times New Roman"/>
          <w:color w:val="767171"/>
          <w:spacing w:val="20"/>
          <w:sz w:val="24"/>
          <w:bdr w:val="none" w:sz="0" w:space="0" w:color="auto"/>
          <w:lang w:val="es-ES"/>
        </w:rPr>
        <w:t xml:space="preserve">(DGCP) otorgó </w:t>
      </w:r>
      <w:r w:rsidR="003914AA">
        <w:rPr>
          <w:rFonts w:ascii="Times New Roman" w:hAnsi="Times New Roman" w:cs="Times New Roman"/>
          <w:color w:val="767171"/>
          <w:spacing w:val="20"/>
          <w:sz w:val="24"/>
          <w:bdr w:val="none" w:sz="0" w:space="0" w:color="auto"/>
          <w:lang w:val="es-ES"/>
        </w:rPr>
        <w:t>una distinción</w:t>
      </w:r>
      <w:r w:rsidR="00AC5BF3">
        <w:rPr>
          <w:rFonts w:ascii="Times New Roman" w:hAnsi="Times New Roman" w:cs="Times New Roman"/>
          <w:color w:val="767171"/>
          <w:spacing w:val="20"/>
          <w:sz w:val="24"/>
          <w:bdr w:val="none" w:sz="0" w:space="0" w:color="auto"/>
          <w:lang w:val="es-ES"/>
        </w:rPr>
        <w:t xml:space="preserve"> </w:t>
      </w:r>
      <w:r w:rsidR="00461536">
        <w:rPr>
          <w:rFonts w:ascii="Times New Roman" w:hAnsi="Times New Roman" w:cs="Times New Roman"/>
          <w:color w:val="767171"/>
          <w:spacing w:val="20"/>
          <w:sz w:val="24"/>
          <w:bdr w:val="none" w:sz="0" w:space="0" w:color="auto"/>
          <w:lang w:val="es-ES"/>
        </w:rPr>
        <w:t>a la SB</w:t>
      </w:r>
      <w:r w:rsidR="003914AA">
        <w:rPr>
          <w:rFonts w:ascii="Times New Roman" w:hAnsi="Times New Roman" w:cs="Times New Roman"/>
          <w:color w:val="767171"/>
          <w:spacing w:val="20"/>
          <w:sz w:val="24"/>
          <w:bdr w:val="none" w:sz="0" w:space="0" w:color="auto"/>
          <w:lang w:val="es-ES"/>
        </w:rPr>
        <w:t xml:space="preserve"> para reconocer</w:t>
      </w:r>
      <w:r w:rsidR="00461536">
        <w:rPr>
          <w:rFonts w:ascii="Times New Roman" w:hAnsi="Times New Roman" w:cs="Times New Roman"/>
          <w:color w:val="767171"/>
          <w:spacing w:val="20"/>
          <w:sz w:val="24"/>
          <w:bdr w:val="none" w:sz="0" w:space="0" w:color="auto"/>
          <w:lang w:val="es-ES"/>
        </w:rPr>
        <w:t xml:space="preserve"> </w:t>
      </w:r>
      <w:r w:rsidR="00AF3048">
        <w:rPr>
          <w:rFonts w:ascii="Times New Roman" w:hAnsi="Times New Roman" w:cs="Times New Roman"/>
          <w:color w:val="767171"/>
          <w:spacing w:val="20"/>
          <w:sz w:val="24"/>
          <w:bdr w:val="none" w:sz="0" w:space="0" w:color="auto"/>
          <w:lang w:val="es-ES"/>
        </w:rPr>
        <w:t xml:space="preserve">los esfuerzos realizados </w:t>
      </w:r>
      <w:r w:rsidR="00530282">
        <w:rPr>
          <w:rFonts w:ascii="Times New Roman" w:hAnsi="Times New Roman" w:cs="Times New Roman"/>
          <w:color w:val="767171"/>
          <w:spacing w:val="20"/>
          <w:sz w:val="24"/>
          <w:bdr w:val="none" w:sz="0" w:space="0" w:color="auto"/>
          <w:lang w:val="es-ES"/>
        </w:rPr>
        <w:t xml:space="preserve">en materia de </w:t>
      </w:r>
      <w:r w:rsidR="001967A0" w:rsidRPr="00AA5889">
        <w:rPr>
          <w:rFonts w:ascii="Times New Roman" w:hAnsi="Times New Roman" w:cs="Times New Roman"/>
          <w:color w:val="767171"/>
          <w:spacing w:val="20"/>
          <w:sz w:val="24"/>
          <w:bdr w:val="none" w:sz="0" w:space="0" w:color="auto"/>
          <w:lang w:val="es-ES"/>
        </w:rPr>
        <w:t>compras verdes</w:t>
      </w:r>
      <w:r w:rsidR="00417D1A">
        <w:rPr>
          <w:rFonts w:ascii="Times New Roman" w:hAnsi="Times New Roman" w:cs="Times New Roman"/>
          <w:color w:val="767171"/>
          <w:spacing w:val="20"/>
          <w:sz w:val="24"/>
          <w:bdr w:val="none" w:sz="0" w:space="0" w:color="auto"/>
          <w:lang w:val="es-ES"/>
        </w:rPr>
        <w:t xml:space="preserve">, </w:t>
      </w:r>
      <w:r w:rsidR="001967A0" w:rsidRPr="00AA5889">
        <w:rPr>
          <w:rFonts w:ascii="Times New Roman" w:hAnsi="Times New Roman" w:cs="Times New Roman"/>
          <w:color w:val="767171"/>
          <w:spacing w:val="20"/>
          <w:sz w:val="24"/>
          <w:bdr w:val="none" w:sz="0" w:space="0" w:color="auto"/>
          <w:lang w:val="es-ES"/>
        </w:rPr>
        <w:t xml:space="preserve">en el marco de la celebración XV semana de la calidad del 2023. </w:t>
      </w:r>
    </w:p>
    <w:p w14:paraId="54FC680F" w14:textId="5AEB60BC" w:rsidR="001967A0" w:rsidRPr="00AA5889" w:rsidRDefault="00442C44" w:rsidP="006B204A">
      <w:pPr>
        <w:pStyle w:val="CuerpoSB"/>
        <w:spacing w:line="360" w:lineRule="auto"/>
        <w:ind w:left="0"/>
        <w:contextualSpacing w:val="0"/>
        <w:rPr>
          <w:rFonts w:ascii="Times New Roman" w:hAnsi="Times New Roman" w:cs="Times New Roman"/>
          <w:color w:val="767171"/>
          <w:spacing w:val="20"/>
          <w:sz w:val="24"/>
          <w:bdr w:val="none" w:sz="0" w:space="0" w:color="auto"/>
          <w:lang w:val="es-ES"/>
        </w:rPr>
      </w:pPr>
      <w:r>
        <w:rPr>
          <w:rFonts w:ascii="Times New Roman" w:hAnsi="Times New Roman" w:cs="Times New Roman"/>
          <w:color w:val="767171"/>
          <w:spacing w:val="20"/>
          <w:sz w:val="24"/>
          <w:bdr w:val="none" w:sz="0" w:space="0" w:color="auto"/>
          <w:lang w:val="es-ES"/>
        </w:rPr>
        <w:t xml:space="preserve">Por otro lado, </w:t>
      </w:r>
      <w:r w:rsidR="009304FF">
        <w:rPr>
          <w:rFonts w:ascii="Times New Roman" w:hAnsi="Times New Roman" w:cs="Times New Roman"/>
          <w:color w:val="767171"/>
          <w:spacing w:val="20"/>
          <w:sz w:val="24"/>
          <w:bdr w:val="none" w:sz="0" w:space="0" w:color="auto"/>
          <w:lang w:val="es-ES"/>
        </w:rPr>
        <w:t xml:space="preserve">cabe </w:t>
      </w:r>
      <w:r w:rsidR="001967A0" w:rsidRPr="00AA5889">
        <w:rPr>
          <w:rFonts w:ascii="Times New Roman" w:hAnsi="Times New Roman" w:cs="Times New Roman"/>
          <w:color w:val="767171"/>
          <w:spacing w:val="20"/>
          <w:sz w:val="24"/>
          <w:bdr w:val="none" w:sz="0" w:space="0" w:color="auto"/>
          <w:lang w:val="es-ES"/>
        </w:rPr>
        <w:t>destacar la mejora de la calidad de las informaciones publicadas en el portal de transparencia donde en el mes de septiembre la Superintendencia de Bancos obtuvo una calificación de 100 puntos.</w:t>
      </w:r>
    </w:p>
    <w:p w14:paraId="5AB2495C" w14:textId="77777777" w:rsidR="001967A0" w:rsidRDefault="001967A0" w:rsidP="006B204A">
      <w:pPr>
        <w:pStyle w:val="CuerpoSB"/>
        <w:spacing w:line="360" w:lineRule="auto"/>
        <w:ind w:left="0"/>
        <w:contextualSpacing w:val="0"/>
        <w:rPr>
          <w:rFonts w:ascii="Times New Roman" w:hAnsi="Times New Roman" w:cs="Times New Roman"/>
          <w:color w:val="auto"/>
          <w:spacing w:val="20"/>
          <w:sz w:val="24"/>
          <w:szCs w:val="24"/>
        </w:rPr>
      </w:pPr>
      <w:r>
        <w:rPr>
          <w:rFonts w:ascii="Times New Roman" w:hAnsi="Times New Roman" w:cs="Times New Roman"/>
          <w:noProof/>
          <w:color w:val="auto"/>
          <w:spacing w:val="20"/>
          <w:sz w:val="24"/>
          <w:szCs w:val="24"/>
        </w:rPr>
        <w:drawing>
          <wp:inline distT="0" distB="0" distL="0" distR="0" wp14:anchorId="04B493E5" wp14:editId="54DB527A">
            <wp:extent cx="5029200" cy="2866478"/>
            <wp:effectExtent l="0" t="0" r="0" b="0"/>
            <wp:docPr id="1213382821" name="Imagen 121338282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10;&#10;Descripción generada automáticament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33249" cy="2868786"/>
                    </a:xfrm>
                    <a:prstGeom prst="rect">
                      <a:avLst/>
                    </a:prstGeom>
                  </pic:spPr>
                </pic:pic>
              </a:graphicData>
            </a:graphic>
          </wp:inline>
        </w:drawing>
      </w:r>
    </w:p>
    <w:p w14:paraId="1DD9B059" w14:textId="59D2C36B" w:rsidR="00CB1F0F" w:rsidRPr="00CB1F0F" w:rsidRDefault="00CB1F0F" w:rsidP="00CB1F0F">
      <w:pPr>
        <w:pStyle w:val="CuerpoSB"/>
        <w:spacing w:line="360" w:lineRule="auto"/>
        <w:ind w:left="0"/>
        <w:contextualSpacing w:val="0"/>
        <w:jc w:val="center"/>
        <w:rPr>
          <w:rFonts w:ascii="Times New Roman" w:hAnsi="Times New Roman" w:cs="Times New Roman"/>
          <w:color w:val="auto"/>
          <w:spacing w:val="20"/>
          <w:sz w:val="24"/>
          <w:szCs w:val="24"/>
        </w:rPr>
      </w:pPr>
      <w:r w:rsidRPr="00CB1F0F">
        <w:rPr>
          <w:rFonts w:ascii="Times New Roman" w:eastAsiaTheme="minorHAnsi" w:hAnsi="Times New Roman" w:cs="Times New Roman"/>
          <w:b/>
          <w:color w:val="767171"/>
          <w:spacing w:val="20"/>
          <w:sz w:val="24"/>
          <w:szCs w:val="24"/>
          <w:bdr w:val="none" w:sz="0" w:space="0" w:color="auto"/>
          <w:lang w:eastAsia="en-US"/>
        </w:rPr>
        <w:t xml:space="preserve">Fuente: </w:t>
      </w:r>
      <w:r w:rsidRPr="00CB1F0F">
        <w:rPr>
          <w:rFonts w:ascii="Times New Roman" w:eastAsiaTheme="minorHAnsi" w:hAnsi="Times New Roman" w:cs="Times New Roman"/>
          <w:bCs/>
          <w:color w:val="767171"/>
          <w:spacing w:val="20"/>
          <w:sz w:val="24"/>
          <w:szCs w:val="24"/>
          <w:bdr w:val="none" w:sz="0" w:space="0" w:color="auto"/>
          <w:lang w:eastAsia="en-US"/>
        </w:rPr>
        <w:t>Portal de SISCOMPRAS</w:t>
      </w:r>
      <w:r w:rsidR="00BE0AFF">
        <w:rPr>
          <w:rFonts w:ascii="Times New Roman" w:eastAsiaTheme="minorHAnsi" w:hAnsi="Times New Roman" w:cs="Times New Roman"/>
          <w:bCs/>
          <w:color w:val="767171"/>
          <w:spacing w:val="20"/>
          <w:sz w:val="24"/>
          <w:szCs w:val="24"/>
          <w:bdr w:val="none" w:sz="0" w:space="0" w:color="auto"/>
          <w:lang w:eastAsia="en-US"/>
        </w:rPr>
        <w:t>,</w:t>
      </w:r>
      <w:r w:rsidRPr="00CB1F0F">
        <w:rPr>
          <w:rFonts w:ascii="Times New Roman" w:eastAsiaTheme="minorHAnsi" w:hAnsi="Times New Roman" w:cs="Times New Roman"/>
          <w:bCs/>
          <w:color w:val="767171"/>
          <w:spacing w:val="20"/>
          <w:sz w:val="24"/>
          <w:szCs w:val="24"/>
          <w:bdr w:val="none" w:sz="0" w:space="0" w:color="auto"/>
          <w:lang w:eastAsia="en-US"/>
        </w:rPr>
        <w:t xml:space="preserve"> Dirección General Contrataciones Públicas</w:t>
      </w:r>
      <w:r w:rsidRPr="00CB1F0F">
        <w:rPr>
          <w:rFonts w:ascii="Times New Roman" w:hAnsi="Times New Roman" w:cs="Times New Roman"/>
          <w:bCs/>
          <w:sz w:val="24"/>
          <w:szCs w:val="24"/>
        </w:rPr>
        <w:t>.</w:t>
      </w:r>
    </w:p>
    <w:p w14:paraId="3FA55E11" w14:textId="5D451A09" w:rsidR="00CB1F0F" w:rsidRPr="00CB1F0F" w:rsidRDefault="009D60E8" w:rsidP="00CB1F0F">
      <w:pPr>
        <w:tabs>
          <w:tab w:val="left" w:pos="6420"/>
        </w:tabs>
        <w:spacing w:line="360" w:lineRule="auto"/>
        <w:jc w:val="center"/>
        <w:rPr>
          <w:lang w:val="es-DO"/>
        </w:rPr>
      </w:pPr>
      <w:r w:rsidRPr="00190197">
        <w:rPr>
          <w:color w:val="auto"/>
        </w:rPr>
        <w:object w:dxaOrig="13575" w:dyaOrig="6794" w14:anchorId="054C4DF2">
          <v:shape id="_x0000_i1030" type="#_x0000_t75" style="width:400.5pt;height:200.25pt" o:ole="">
            <v:imagedata r:id="rId21" o:title=""/>
          </v:shape>
          <o:OLEObject Type="Embed" ProgID="Excel.Sheet.12" ShapeID="_x0000_i1030" DrawAspect="Content" ObjectID="_1765967859" r:id="rId22"/>
        </w:object>
      </w:r>
      <w:r w:rsidR="00CB1F0F" w:rsidRPr="00CB1F0F">
        <w:rPr>
          <w:b/>
          <w:sz w:val="22"/>
          <w:szCs w:val="22"/>
          <w:lang w:val="es-DO"/>
        </w:rPr>
        <w:t xml:space="preserve"> </w:t>
      </w:r>
      <w:r w:rsidR="00CB1F0F" w:rsidRPr="00CB1F0F">
        <w:rPr>
          <w:b/>
          <w:lang w:val="es-DO"/>
        </w:rPr>
        <w:t>Fuente</w:t>
      </w:r>
      <w:r w:rsidR="00CB1F0F" w:rsidRPr="00CB1F0F">
        <w:rPr>
          <w:lang w:val="es-DO"/>
        </w:rPr>
        <w:t>: Portal de SISCOMPRAS</w:t>
      </w:r>
      <w:r w:rsidR="00BE0AFF">
        <w:rPr>
          <w:lang w:val="es-DO"/>
        </w:rPr>
        <w:t>,</w:t>
      </w:r>
      <w:r w:rsidR="00CB1F0F" w:rsidRPr="00CB1F0F">
        <w:rPr>
          <w:lang w:val="es-DO"/>
        </w:rPr>
        <w:t xml:space="preserve"> Dirección General Contrataciones Públicas.</w:t>
      </w:r>
    </w:p>
    <w:p w14:paraId="09D33A77" w14:textId="77777777" w:rsidR="00CB1F0F" w:rsidRPr="00CB1F0F" w:rsidRDefault="00CB1F0F" w:rsidP="00F06A77">
      <w:pPr>
        <w:pStyle w:val="CuerpoSB"/>
        <w:spacing w:line="360" w:lineRule="auto"/>
        <w:ind w:left="0"/>
        <w:contextualSpacing w:val="0"/>
        <w:jc w:val="left"/>
        <w:rPr>
          <w:rFonts w:ascii="Times New Roman" w:eastAsia="Calibri" w:hAnsi="Times New Roman" w:cs="Times New Roman"/>
          <w:b/>
          <w:bCs/>
          <w:color w:val="767171"/>
          <w:spacing w:val="20"/>
          <w:sz w:val="24"/>
          <w:szCs w:val="24"/>
          <w:bdr w:val="none" w:sz="0" w:space="0" w:color="auto"/>
          <w:lang w:eastAsia="en-US"/>
        </w:rPr>
      </w:pPr>
    </w:p>
    <w:p w14:paraId="0A2C79A2" w14:textId="7E8D3265" w:rsidR="00E52ED4" w:rsidRPr="003E38F8" w:rsidRDefault="00E52ED4" w:rsidP="00F06A77">
      <w:pPr>
        <w:pStyle w:val="CuerpoSB"/>
        <w:spacing w:line="360" w:lineRule="auto"/>
        <w:ind w:left="0"/>
        <w:contextualSpacing w:val="0"/>
        <w:jc w:val="left"/>
        <w:rPr>
          <w:rFonts w:ascii="Times New Roman" w:eastAsia="Calibri" w:hAnsi="Times New Roman" w:cs="Times New Roman"/>
          <w:b/>
          <w:bCs/>
          <w:color w:val="767171"/>
          <w:spacing w:val="20"/>
          <w:sz w:val="24"/>
          <w:szCs w:val="24"/>
          <w:bdr w:val="none" w:sz="0" w:space="0" w:color="auto"/>
          <w:lang w:val="es-ES" w:eastAsia="en-US"/>
        </w:rPr>
      </w:pPr>
      <w:r w:rsidRPr="003E38F8">
        <w:rPr>
          <w:rFonts w:ascii="Times New Roman" w:eastAsia="Calibri" w:hAnsi="Times New Roman" w:cs="Times New Roman"/>
          <w:b/>
          <w:bCs/>
          <w:color w:val="767171"/>
          <w:spacing w:val="20"/>
          <w:sz w:val="24"/>
          <w:szCs w:val="24"/>
          <w:bdr w:val="none" w:sz="0" w:space="0" w:color="auto"/>
          <w:lang w:val="es-ES" w:eastAsia="en-US"/>
        </w:rPr>
        <w:t>Fortalecimiento de la Auditoría Interna</w:t>
      </w:r>
    </w:p>
    <w:p w14:paraId="4FDA9DEB" w14:textId="6F15F3FB" w:rsidR="003E38F8" w:rsidRPr="003E38F8" w:rsidRDefault="003E38F8" w:rsidP="006B204A">
      <w:pPr>
        <w:pStyle w:val="paragraph"/>
        <w:spacing w:before="0" w:beforeAutospacing="0" w:after="0" w:afterAutospacing="0" w:line="360" w:lineRule="auto"/>
        <w:jc w:val="both"/>
        <w:textAlignment w:val="baseline"/>
        <w:rPr>
          <w:rFonts w:eastAsiaTheme="minorHAnsi"/>
          <w:color w:val="767171"/>
          <w:spacing w:val="20"/>
          <w:lang w:eastAsia="es-ES"/>
        </w:rPr>
      </w:pPr>
      <w:r w:rsidRPr="003E38F8">
        <w:rPr>
          <w:rFonts w:eastAsiaTheme="minorHAnsi"/>
          <w:color w:val="767171"/>
          <w:spacing w:val="20"/>
          <w:lang w:eastAsia="es-ES"/>
        </w:rPr>
        <w:t>Durante el año 2023 la Superintendencia de Bancos ha continuado avanzando en las gestiones de auditoria con el propósito de seguir fortaleciendo el sistema de control de calidad de cara al cumplimiento con la Certificación del Programa de Aseguramiento y Mejora de la Calidad (PAMC), y con el propósito de robustecer su actividad y función en la adecuación de los lineamientos y normativas pertinentes. Entre los principales logros que se han alcanzado desde esta unidad, se citan los siguientes:</w:t>
      </w:r>
    </w:p>
    <w:p w14:paraId="7AB595AD" w14:textId="77777777" w:rsidR="006359B0" w:rsidRPr="003E38F8" w:rsidRDefault="006359B0" w:rsidP="006B204A">
      <w:pPr>
        <w:pStyle w:val="CuerpoSB"/>
        <w:spacing w:line="360" w:lineRule="auto"/>
        <w:ind w:left="0"/>
        <w:contextualSpacing w:val="0"/>
        <w:rPr>
          <w:rFonts w:ascii="Times New Roman" w:eastAsia="Calibri" w:hAnsi="Times New Roman" w:cs="Times New Roman"/>
          <w:b/>
          <w:bCs/>
          <w:color w:val="767171"/>
          <w:spacing w:val="20"/>
          <w:sz w:val="24"/>
          <w:szCs w:val="24"/>
          <w:highlight w:val="yellow"/>
          <w:bdr w:val="none" w:sz="0" w:space="0" w:color="auto"/>
          <w:lang w:eastAsia="en-US"/>
        </w:rPr>
      </w:pPr>
    </w:p>
    <w:p w14:paraId="3B8F95F7" w14:textId="03FC511A" w:rsidR="00E52ED4" w:rsidRPr="005C03B2" w:rsidRDefault="0014465A" w:rsidP="006B204A">
      <w:pPr>
        <w:pStyle w:val="Estilo3"/>
        <w:spacing w:before="0" w:after="160" w:line="360" w:lineRule="auto"/>
        <w:rPr>
          <w:b/>
          <w:szCs w:val="24"/>
        </w:rPr>
      </w:pPr>
      <w:bookmarkStart w:id="83" w:name="_Toc122435018"/>
      <w:bookmarkStart w:id="84" w:name="_Toc123046923"/>
      <w:bookmarkStart w:id="85" w:name="_Toc155354620"/>
      <w:r>
        <w:rPr>
          <w:b/>
          <w:szCs w:val="24"/>
        </w:rPr>
        <w:t>4</w:t>
      </w:r>
      <w:r w:rsidR="00E52ED4" w:rsidRPr="005C03B2">
        <w:rPr>
          <w:b/>
          <w:szCs w:val="24"/>
        </w:rPr>
        <w:t xml:space="preserve">.2 Desempeño de los </w:t>
      </w:r>
      <w:bookmarkEnd w:id="83"/>
      <w:bookmarkEnd w:id="84"/>
      <w:r w:rsidR="00630E6F">
        <w:rPr>
          <w:b/>
          <w:szCs w:val="24"/>
        </w:rPr>
        <w:t>R</w:t>
      </w:r>
      <w:r w:rsidR="00E52ED4" w:rsidRPr="005C03B2">
        <w:rPr>
          <w:b/>
          <w:szCs w:val="24"/>
        </w:rPr>
        <w:t xml:space="preserve">ecursos </w:t>
      </w:r>
      <w:r w:rsidR="00630E6F">
        <w:rPr>
          <w:b/>
          <w:szCs w:val="24"/>
        </w:rPr>
        <w:t>H</w:t>
      </w:r>
      <w:r w:rsidR="00E52ED4" w:rsidRPr="005C03B2">
        <w:rPr>
          <w:b/>
          <w:szCs w:val="24"/>
        </w:rPr>
        <w:t>umanos</w:t>
      </w:r>
      <w:bookmarkEnd w:id="85"/>
    </w:p>
    <w:p w14:paraId="3A9F423D" w14:textId="65FF7C6A" w:rsidR="003936CB" w:rsidRPr="003936CB" w:rsidRDefault="003936CB" w:rsidP="00F06A77">
      <w:pPr>
        <w:spacing w:line="360" w:lineRule="auto"/>
        <w:jc w:val="both"/>
        <w:rPr>
          <w:lang w:val="es-DO"/>
        </w:rPr>
      </w:pPr>
      <w:r w:rsidRPr="003936CB">
        <w:rPr>
          <w:lang w:val="es-DO"/>
        </w:rPr>
        <w:t xml:space="preserve">Durante el 2023, la Superintendencia de Bancos ha llevado a cabo la implementación de diversas estrategias con el objetivo de fortalecer su capital humano y su cultura institucional. Estos esfuerzos se han destacado por la atracción e integración del talento, la capacitación </w:t>
      </w:r>
      <w:r w:rsidRPr="003936CB">
        <w:rPr>
          <w:lang w:val="es-DO"/>
        </w:rPr>
        <w:lastRenderedPageBreak/>
        <w:t>y el desarrollo organizacional y la provisión de servicios médicos de calidad en la institución.</w:t>
      </w:r>
    </w:p>
    <w:p w14:paraId="0D66567A" w14:textId="453ED7E2" w:rsidR="003936CB" w:rsidRPr="003936CB" w:rsidRDefault="00BD13EE" w:rsidP="00F06A77">
      <w:pPr>
        <w:spacing w:line="360" w:lineRule="auto"/>
        <w:jc w:val="both"/>
        <w:rPr>
          <w:lang w:val="es-DO"/>
        </w:rPr>
      </w:pPr>
      <w:r>
        <w:rPr>
          <w:lang w:val="es-DO"/>
        </w:rPr>
        <w:t>Se llevo</w:t>
      </w:r>
      <w:r w:rsidR="003936CB" w:rsidRPr="003936CB">
        <w:rPr>
          <w:lang w:val="es-DO"/>
        </w:rPr>
        <w:t xml:space="preserve"> a cabo la documentación y publicación de 7 políticas, procedimientos y formularios generales de Diseño y Valoración de Puestos, Reconocimiento a Colaboradores(as), Salud, Atracción del Talento y Capacitación con el objetivo de estandarizar y mejorar los procesos internos.</w:t>
      </w:r>
    </w:p>
    <w:p w14:paraId="4F1B0F87" w14:textId="72FDF453" w:rsidR="003936CB" w:rsidRDefault="003936CB" w:rsidP="00B16990">
      <w:pPr>
        <w:spacing w:line="360" w:lineRule="auto"/>
        <w:jc w:val="both"/>
        <w:rPr>
          <w:lang w:val="es-DO"/>
        </w:rPr>
      </w:pPr>
      <w:r w:rsidRPr="003936CB">
        <w:rPr>
          <w:lang w:val="es-DO"/>
        </w:rPr>
        <w:t>Como parte de las acciones para fortalecer el nivel de satisfacción de los colaboradores(as) se definió la estrategia de bienestar laboral en la cual se llevaron a cabo activades de integración temáticas, 24 actividades de orientación para colaboradores(as), programas de nutrición, jornadas de promoción y prevención de salud.</w:t>
      </w:r>
    </w:p>
    <w:p w14:paraId="7939297E" w14:textId="77777777" w:rsidR="00E179DB" w:rsidRPr="003936CB" w:rsidRDefault="00E179DB" w:rsidP="00E179DB">
      <w:pPr>
        <w:spacing w:line="360" w:lineRule="auto"/>
        <w:jc w:val="both"/>
        <w:rPr>
          <w:lang w:val="es-DO"/>
        </w:rPr>
      </w:pPr>
      <w:r w:rsidRPr="003936CB">
        <w:rPr>
          <w:lang w:val="es-DO"/>
        </w:rPr>
        <w:t xml:space="preserve">Se fortaleció la estructura organizacional mediante la alineación con el plan estratégico, realizando las revisiones y actualizaciones de 10 departamentos. </w:t>
      </w:r>
    </w:p>
    <w:p w14:paraId="3592B662" w14:textId="20F9C3E8" w:rsidR="00E179DB" w:rsidRPr="003936CB" w:rsidRDefault="00E179DB" w:rsidP="00E179DB">
      <w:pPr>
        <w:spacing w:line="360" w:lineRule="auto"/>
        <w:jc w:val="both"/>
        <w:rPr>
          <w:lang w:val="es-DO"/>
        </w:rPr>
      </w:pPr>
      <w:r w:rsidRPr="003936CB">
        <w:rPr>
          <w:lang w:val="es-DO"/>
        </w:rPr>
        <w:t>Se actualizo el Manual de Funciones Institucional incluyendo todos los puestos conformados en la estructura de la SB a mayo del 2023 logrando el cumplimiento con la máxima calificación por transparencia y gobierno abierto por la DIGEIG</w:t>
      </w:r>
    </w:p>
    <w:p w14:paraId="6C35DE70" w14:textId="7FB9B052" w:rsidR="003936CB" w:rsidRPr="00963C76" w:rsidRDefault="003936CB" w:rsidP="004F430E">
      <w:pPr>
        <w:spacing w:line="360" w:lineRule="auto"/>
        <w:rPr>
          <w:b/>
          <w:bCs/>
          <w:lang w:val="es-DO"/>
        </w:rPr>
      </w:pPr>
      <w:r w:rsidRPr="003936CB">
        <w:rPr>
          <w:b/>
          <w:bCs/>
          <w:lang w:val="es-DO"/>
        </w:rPr>
        <w:t>Atracción e Integración de Talentos</w:t>
      </w:r>
    </w:p>
    <w:p w14:paraId="2E1CA949" w14:textId="2A112DBF" w:rsidR="003936CB" w:rsidRPr="003936CB" w:rsidRDefault="003936CB" w:rsidP="00230F25">
      <w:pPr>
        <w:spacing w:line="360" w:lineRule="auto"/>
        <w:jc w:val="both"/>
        <w:rPr>
          <w:lang w:val="es-DO"/>
        </w:rPr>
      </w:pPr>
      <w:r w:rsidRPr="003936CB">
        <w:rPr>
          <w:lang w:val="es-DO"/>
        </w:rPr>
        <w:t xml:space="preserve">De </w:t>
      </w:r>
      <w:r w:rsidR="008D6F99">
        <w:rPr>
          <w:lang w:val="es-DO"/>
        </w:rPr>
        <w:t>c</w:t>
      </w:r>
      <w:r w:rsidRPr="003936CB">
        <w:rPr>
          <w:lang w:val="es-DO"/>
        </w:rPr>
        <w:t>ara a apoyar la transformación digital, en marzo de 2023, se llevó a cabo un proceso masivo</w:t>
      </w:r>
      <w:r w:rsidR="00141EC1">
        <w:rPr>
          <w:lang w:val="es-DO"/>
        </w:rPr>
        <w:t xml:space="preserve"> de digitalización de expedientes,</w:t>
      </w:r>
      <w:r w:rsidRPr="003936CB">
        <w:rPr>
          <w:lang w:val="es-DO"/>
        </w:rPr>
        <w:t xml:space="preserve"> </w:t>
      </w:r>
      <w:r w:rsidR="007429D7">
        <w:rPr>
          <w:lang w:val="es-DO"/>
        </w:rPr>
        <w:t xml:space="preserve">utilizar </w:t>
      </w:r>
      <w:r w:rsidR="00A92DCA">
        <w:rPr>
          <w:lang w:val="es-DO"/>
        </w:rPr>
        <w:t>los datos</w:t>
      </w:r>
      <w:r w:rsidR="007429D7">
        <w:rPr>
          <w:lang w:val="es-DO"/>
        </w:rPr>
        <w:t xml:space="preserve"> </w:t>
      </w:r>
      <w:r w:rsidR="00B622A5">
        <w:rPr>
          <w:lang w:val="es-DO"/>
        </w:rPr>
        <w:t xml:space="preserve">de </w:t>
      </w:r>
      <w:r w:rsidR="00176555">
        <w:rPr>
          <w:lang w:val="es-DO"/>
        </w:rPr>
        <w:t>estos</w:t>
      </w:r>
      <w:r w:rsidR="00B622A5">
        <w:rPr>
          <w:lang w:val="es-DO"/>
        </w:rPr>
        <w:t xml:space="preserve"> de forma más eficiente</w:t>
      </w:r>
      <w:r w:rsidR="00A92DCA">
        <w:rPr>
          <w:lang w:val="es-DO"/>
        </w:rPr>
        <w:t xml:space="preserve"> para la toma de decisiones</w:t>
      </w:r>
      <w:r w:rsidR="00B622A5">
        <w:rPr>
          <w:lang w:val="es-DO"/>
        </w:rPr>
        <w:t xml:space="preserve">, a la vez que permite a </w:t>
      </w:r>
      <w:r w:rsidR="00FB42AA">
        <w:rPr>
          <w:lang w:val="es-DO"/>
        </w:rPr>
        <w:t>los colaboradores(as)</w:t>
      </w:r>
      <w:r w:rsidR="00AE63C3">
        <w:rPr>
          <w:lang w:val="es-DO"/>
        </w:rPr>
        <w:t xml:space="preserve"> </w:t>
      </w:r>
      <w:r w:rsidR="00383337">
        <w:rPr>
          <w:lang w:val="es-DO"/>
        </w:rPr>
        <w:t xml:space="preserve">solicitar </w:t>
      </w:r>
      <w:r w:rsidR="00770C1D">
        <w:rPr>
          <w:lang w:val="es-DO"/>
        </w:rPr>
        <w:t xml:space="preserve">y aprobar </w:t>
      </w:r>
      <w:r w:rsidR="00971E44">
        <w:rPr>
          <w:lang w:val="es-DO"/>
        </w:rPr>
        <w:t xml:space="preserve">solicitudes </w:t>
      </w:r>
      <w:r w:rsidR="00A92DCA">
        <w:rPr>
          <w:lang w:val="es-DO"/>
        </w:rPr>
        <w:t>con mayor agilidad.</w:t>
      </w:r>
    </w:p>
    <w:p w14:paraId="6AED3D09" w14:textId="1ADA6507" w:rsidR="003936CB" w:rsidRPr="003936CB" w:rsidRDefault="0093581E" w:rsidP="00230F25">
      <w:pPr>
        <w:spacing w:line="360" w:lineRule="auto"/>
        <w:jc w:val="both"/>
        <w:rPr>
          <w:lang w:val="es-DO"/>
        </w:rPr>
      </w:pPr>
      <w:r>
        <w:rPr>
          <w:lang w:val="es-DO"/>
        </w:rPr>
        <w:t>Así mismo, se lanzó</w:t>
      </w:r>
      <w:r w:rsidR="003936CB" w:rsidRPr="003936CB">
        <w:rPr>
          <w:lang w:val="es-DO"/>
        </w:rPr>
        <w:t xml:space="preserve"> la política de conflicto de intereses marcando un hito significativo hacia la transparencia y la integridad en nuestras </w:t>
      </w:r>
      <w:r w:rsidR="003936CB" w:rsidRPr="003936CB">
        <w:rPr>
          <w:lang w:val="es-DO"/>
        </w:rPr>
        <w:lastRenderedPageBreak/>
        <w:t>operaciones. Esta iniciativa busca garantizar que todas las decisiones y acciones dentro de la organización se tomen de manera imparcial y ética, minimizando cualquier posibilidad de influencia indebida.</w:t>
      </w:r>
    </w:p>
    <w:p w14:paraId="1BD52786" w14:textId="53673422" w:rsidR="003936CB" w:rsidRPr="003936CB" w:rsidRDefault="0093581E" w:rsidP="00230F25">
      <w:pPr>
        <w:spacing w:line="360" w:lineRule="auto"/>
        <w:jc w:val="both"/>
        <w:rPr>
          <w:lang w:val="es-DO"/>
        </w:rPr>
      </w:pPr>
      <w:r>
        <w:rPr>
          <w:lang w:val="es-DO"/>
        </w:rPr>
        <w:t>De igual forma, se lanzó</w:t>
      </w:r>
      <w:r w:rsidR="003936CB" w:rsidRPr="003936CB">
        <w:rPr>
          <w:lang w:val="es-DO"/>
        </w:rPr>
        <w:t xml:space="preserve"> </w:t>
      </w:r>
      <w:r>
        <w:rPr>
          <w:lang w:val="es-DO"/>
        </w:rPr>
        <w:t>la</w:t>
      </w:r>
      <w:r w:rsidR="003936CB" w:rsidRPr="003936CB">
        <w:rPr>
          <w:lang w:val="es-DO"/>
        </w:rPr>
        <w:t xml:space="preserve"> nueva intranet dando un paso significativo hacia la mejora de la interacción y conectividad entre nuestros colaboradores(as). Esta plataforma está diseñada para facilitar la comunicación fluida, compartir información de manera eficiente y fomentar la colaboración en tiempo real</w:t>
      </w:r>
      <w:r w:rsidR="00981E85">
        <w:rPr>
          <w:lang w:val="es-DO"/>
        </w:rPr>
        <w:t xml:space="preserve">, </w:t>
      </w:r>
      <w:r w:rsidR="003936CB" w:rsidRPr="003936CB">
        <w:rPr>
          <w:lang w:val="es-DO"/>
        </w:rPr>
        <w:t xml:space="preserve">promoviendo así un ambiente de trabajo más cohesionado y dinámico. </w:t>
      </w:r>
    </w:p>
    <w:p w14:paraId="61FBEF9A" w14:textId="11410E97" w:rsidR="003936CB" w:rsidRPr="00230F25" w:rsidRDefault="003936CB" w:rsidP="00230F25">
      <w:pPr>
        <w:spacing w:line="360" w:lineRule="auto"/>
        <w:ind w:right="-285"/>
        <w:rPr>
          <w:b/>
          <w:bCs/>
          <w:lang w:val="es-DO"/>
        </w:rPr>
      </w:pPr>
      <w:r w:rsidRPr="00D76399">
        <w:rPr>
          <w:b/>
          <w:bCs/>
          <w:lang w:val="es-DO"/>
        </w:rPr>
        <w:t>Capacitación y Desarrollo</w:t>
      </w:r>
    </w:p>
    <w:p w14:paraId="0F81A456" w14:textId="700F2B1C" w:rsidR="003936CB" w:rsidRDefault="001B53F7" w:rsidP="00230F25">
      <w:pPr>
        <w:spacing w:line="360" w:lineRule="auto"/>
        <w:jc w:val="both"/>
        <w:rPr>
          <w:lang w:val="es-DO"/>
        </w:rPr>
      </w:pPr>
      <w:r>
        <w:rPr>
          <w:lang w:val="es-DO"/>
        </w:rPr>
        <w:t xml:space="preserve">En cuanto </w:t>
      </w:r>
      <w:r w:rsidR="00754398">
        <w:rPr>
          <w:lang w:val="es-DO"/>
        </w:rPr>
        <w:t xml:space="preserve">a la formación continua </w:t>
      </w:r>
      <w:r>
        <w:rPr>
          <w:lang w:val="es-DO"/>
        </w:rPr>
        <w:t xml:space="preserve">del personal, a través del </w:t>
      </w:r>
      <w:r w:rsidR="003936CB" w:rsidRPr="003936CB">
        <w:rPr>
          <w:lang w:val="es-DO"/>
        </w:rPr>
        <w:t xml:space="preserve">programa de </w:t>
      </w:r>
      <w:r>
        <w:rPr>
          <w:lang w:val="es-DO"/>
        </w:rPr>
        <w:t xml:space="preserve">capacitación fueron </w:t>
      </w:r>
      <w:r w:rsidR="003936CB" w:rsidRPr="003936CB">
        <w:rPr>
          <w:lang w:val="es-DO"/>
        </w:rPr>
        <w:t>imparti</w:t>
      </w:r>
      <w:r>
        <w:rPr>
          <w:lang w:val="es-DO"/>
        </w:rPr>
        <w:t>dos</w:t>
      </w:r>
      <w:r w:rsidR="003936CB" w:rsidRPr="003936CB">
        <w:rPr>
          <w:lang w:val="es-DO"/>
        </w:rPr>
        <w:t xml:space="preserve"> 192 </w:t>
      </w:r>
      <w:r w:rsidR="00754398">
        <w:rPr>
          <w:lang w:val="es-DO"/>
        </w:rPr>
        <w:t>acciones formativas</w:t>
      </w:r>
      <w:r w:rsidR="003936CB" w:rsidRPr="003936CB">
        <w:rPr>
          <w:lang w:val="es-DO"/>
        </w:rPr>
        <w:t xml:space="preserve"> a 595 empleados, equivalente al 83% de la población total. Logro obtenido mediante más de 25,900 horas de capacitación total o 43 horas por colaborador.</w:t>
      </w:r>
    </w:p>
    <w:p w14:paraId="163F6832" w14:textId="1F171120" w:rsidR="00625782" w:rsidRPr="003936CB" w:rsidRDefault="00625782" w:rsidP="00625782">
      <w:pPr>
        <w:spacing w:line="360" w:lineRule="auto"/>
        <w:jc w:val="both"/>
        <w:rPr>
          <w:lang w:val="es-DO"/>
        </w:rPr>
      </w:pPr>
      <w:r w:rsidRPr="003936CB">
        <w:rPr>
          <w:lang w:val="es-DO"/>
        </w:rPr>
        <w:t>Dentro de los principales programas impartidos para el fortalecimiento institucional se encuentran</w:t>
      </w:r>
      <w:r>
        <w:rPr>
          <w:lang w:val="es-DO"/>
        </w:rPr>
        <w:t>:</w:t>
      </w:r>
      <w:r w:rsidRPr="003936CB">
        <w:rPr>
          <w:lang w:val="es-DO"/>
        </w:rPr>
        <w:t xml:space="preserve"> la Certificación Auditor Forense Antifraude (AFA), donde se certificaron 34 colaboradores(as)</w:t>
      </w:r>
      <w:r>
        <w:rPr>
          <w:lang w:val="es-DO"/>
        </w:rPr>
        <w:t>;</w:t>
      </w:r>
      <w:r w:rsidRPr="003936CB">
        <w:rPr>
          <w:lang w:val="es-DO"/>
        </w:rPr>
        <w:t xml:space="preserve"> el </w:t>
      </w:r>
      <w:proofErr w:type="spellStart"/>
      <w:r w:rsidRPr="003936CB">
        <w:rPr>
          <w:lang w:val="es-DO"/>
        </w:rPr>
        <w:t>Anti-money</w:t>
      </w:r>
      <w:proofErr w:type="spellEnd"/>
      <w:r w:rsidRPr="003936CB">
        <w:rPr>
          <w:lang w:val="es-DO"/>
        </w:rPr>
        <w:t xml:space="preserve"> </w:t>
      </w:r>
      <w:proofErr w:type="spellStart"/>
      <w:r w:rsidRPr="003936CB">
        <w:rPr>
          <w:lang w:val="es-DO"/>
        </w:rPr>
        <w:t>Laundering</w:t>
      </w:r>
      <w:proofErr w:type="spellEnd"/>
      <w:r w:rsidRPr="003936CB">
        <w:rPr>
          <w:lang w:val="es-DO"/>
        </w:rPr>
        <w:t xml:space="preserve"> </w:t>
      </w:r>
      <w:proofErr w:type="spellStart"/>
      <w:r w:rsidRPr="003936CB">
        <w:rPr>
          <w:lang w:val="es-DO"/>
        </w:rPr>
        <w:t>Certified</w:t>
      </w:r>
      <w:proofErr w:type="spellEnd"/>
      <w:r w:rsidRPr="003936CB">
        <w:rPr>
          <w:lang w:val="es-DO"/>
        </w:rPr>
        <w:t xml:space="preserve"> </w:t>
      </w:r>
      <w:proofErr w:type="spellStart"/>
      <w:r w:rsidRPr="003936CB">
        <w:rPr>
          <w:lang w:val="es-DO"/>
        </w:rPr>
        <w:t>Associate</w:t>
      </w:r>
      <w:proofErr w:type="spellEnd"/>
      <w:r w:rsidRPr="003936CB">
        <w:rPr>
          <w:lang w:val="es-DO"/>
        </w:rPr>
        <w:t xml:space="preserve"> donde un total de 20 colaboradores(as) recibieron la certificación; se impartieron 4 programas de sensibilización ISO 9001, ISO 31000, ISO 22301 e ISO 19011, ISO 37301</w:t>
      </w:r>
      <w:r w:rsidR="00C24CF2">
        <w:rPr>
          <w:lang w:val="es-DO"/>
        </w:rPr>
        <w:t xml:space="preserve">; </w:t>
      </w:r>
      <w:r w:rsidR="003F2730">
        <w:rPr>
          <w:lang w:val="es-DO"/>
        </w:rPr>
        <w:t xml:space="preserve">se certificaron </w:t>
      </w:r>
      <w:r w:rsidRPr="003936CB">
        <w:rPr>
          <w:lang w:val="es-DO"/>
        </w:rPr>
        <w:t>40 colaboradores(as) sobre Gestión de Riesgos</w:t>
      </w:r>
      <w:r w:rsidR="003F2730">
        <w:rPr>
          <w:lang w:val="es-DO"/>
        </w:rPr>
        <w:t>;</w:t>
      </w:r>
      <w:r w:rsidRPr="003936CB">
        <w:rPr>
          <w:lang w:val="es-DO"/>
        </w:rPr>
        <w:t xml:space="preserve"> Dos </w:t>
      </w:r>
      <w:r w:rsidR="00F1273D">
        <w:rPr>
          <w:lang w:val="es-DO"/>
        </w:rPr>
        <w:t>c</w:t>
      </w:r>
      <w:r w:rsidRPr="003936CB">
        <w:rPr>
          <w:lang w:val="es-DO"/>
        </w:rPr>
        <w:t>olaborador</w:t>
      </w:r>
      <w:r w:rsidR="00F1273D">
        <w:rPr>
          <w:lang w:val="es-DO"/>
        </w:rPr>
        <w:t>a</w:t>
      </w:r>
      <w:r w:rsidRPr="003936CB">
        <w:rPr>
          <w:lang w:val="es-DO"/>
        </w:rPr>
        <w:t>s</w:t>
      </w:r>
      <w:r w:rsidR="00F1273D">
        <w:rPr>
          <w:lang w:val="es-DO"/>
        </w:rPr>
        <w:t xml:space="preserve"> </w:t>
      </w:r>
      <w:r w:rsidRPr="003936CB">
        <w:rPr>
          <w:lang w:val="es-DO"/>
        </w:rPr>
        <w:t xml:space="preserve">obtuvieron la titulación como </w:t>
      </w:r>
      <w:proofErr w:type="spellStart"/>
      <w:r w:rsidRPr="003936CB">
        <w:rPr>
          <w:lang w:val="es-DO"/>
        </w:rPr>
        <w:t>Certified</w:t>
      </w:r>
      <w:proofErr w:type="spellEnd"/>
      <w:r w:rsidRPr="003936CB">
        <w:rPr>
          <w:lang w:val="es-DO"/>
        </w:rPr>
        <w:t xml:space="preserve"> </w:t>
      </w:r>
      <w:proofErr w:type="spellStart"/>
      <w:r w:rsidRPr="003936CB">
        <w:rPr>
          <w:lang w:val="es-DO"/>
        </w:rPr>
        <w:t>Baseline</w:t>
      </w:r>
      <w:proofErr w:type="spellEnd"/>
      <w:r w:rsidRPr="003936CB">
        <w:rPr>
          <w:lang w:val="es-DO"/>
        </w:rPr>
        <w:t xml:space="preserve"> PMO </w:t>
      </w:r>
      <w:proofErr w:type="spellStart"/>
      <w:r w:rsidRPr="003936CB">
        <w:rPr>
          <w:lang w:val="es-DO"/>
        </w:rPr>
        <w:t>Consultant</w:t>
      </w:r>
      <w:proofErr w:type="spellEnd"/>
      <w:r w:rsidRPr="003936CB">
        <w:rPr>
          <w:lang w:val="es-DO"/>
        </w:rPr>
        <w:t>, siendo las dos primeras dominicanas en obtener dicha certificación en el país</w:t>
      </w:r>
      <w:r w:rsidR="00F942AD">
        <w:rPr>
          <w:lang w:val="es-DO"/>
        </w:rPr>
        <w:t xml:space="preserve"> </w:t>
      </w:r>
      <w:r w:rsidR="007C29CF">
        <w:rPr>
          <w:lang w:val="es-DO"/>
        </w:rPr>
        <w:t>y</w:t>
      </w:r>
      <w:r w:rsidR="002F46EC">
        <w:rPr>
          <w:lang w:val="es-DO"/>
        </w:rPr>
        <w:t xml:space="preserve"> </w:t>
      </w:r>
      <w:r w:rsidR="007C29CF">
        <w:rPr>
          <w:lang w:val="es-DO"/>
        </w:rPr>
        <w:t>240 colaboradores</w:t>
      </w:r>
      <w:r w:rsidR="00FB42AA">
        <w:rPr>
          <w:lang w:val="es-DO"/>
        </w:rPr>
        <w:t>(as)</w:t>
      </w:r>
      <w:r w:rsidR="007C29CF">
        <w:rPr>
          <w:lang w:val="es-DO"/>
        </w:rPr>
        <w:t xml:space="preserve"> y colaboradoras </w:t>
      </w:r>
      <w:r w:rsidR="00826B4D">
        <w:rPr>
          <w:lang w:val="es-DO"/>
        </w:rPr>
        <w:t xml:space="preserve">del grupo ocupacional de Profesionales y Técnicos </w:t>
      </w:r>
      <w:r w:rsidR="00094462">
        <w:rPr>
          <w:lang w:val="es-DO"/>
        </w:rPr>
        <w:t xml:space="preserve">participaron de un programa de </w:t>
      </w:r>
      <w:r w:rsidR="008F5C5F">
        <w:rPr>
          <w:lang w:val="es-DO"/>
        </w:rPr>
        <w:t>desarrollo de habilidades blandas</w:t>
      </w:r>
      <w:r w:rsidRPr="003936CB">
        <w:rPr>
          <w:lang w:val="es-DO"/>
        </w:rPr>
        <w:t xml:space="preserve">. En cuanto a formación superior </w:t>
      </w:r>
      <w:r w:rsidRPr="003936CB">
        <w:rPr>
          <w:lang w:val="es-DO"/>
        </w:rPr>
        <w:lastRenderedPageBreak/>
        <w:t xml:space="preserve">17 </w:t>
      </w:r>
      <w:r w:rsidR="009769C5" w:rsidRPr="003936CB">
        <w:rPr>
          <w:lang w:val="es-DO"/>
        </w:rPr>
        <w:t>colaboradores</w:t>
      </w:r>
      <w:r w:rsidR="00FB42AA">
        <w:rPr>
          <w:lang w:val="es-DO"/>
        </w:rPr>
        <w:t>(as)</w:t>
      </w:r>
      <w:r w:rsidRPr="003936CB">
        <w:rPr>
          <w:lang w:val="es-DO"/>
        </w:rPr>
        <w:t xml:space="preserve"> obtuvieron titulación de Maestría en Auditoría Integral con UNAPEC</w:t>
      </w:r>
      <w:r w:rsidR="008F5C5F">
        <w:rPr>
          <w:lang w:val="es-DO"/>
        </w:rPr>
        <w:t>.</w:t>
      </w:r>
    </w:p>
    <w:p w14:paraId="7F677D12" w14:textId="1BA8B078" w:rsidR="003936CB" w:rsidRPr="003936CB" w:rsidRDefault="00625782" w:rsidP="003B3D76">
      <w:pPr>
        <w:spacing w:line="360" w:lineRule="auto"/>
        <w:jc w:val="both"/>
        <w:rPr>
          <w:lang w:val="es-DO"/>
        </w:rPr>
      </w:pPr>
      <w:r>
        <w:rPr>
          <w:lang w:val="es-DO"/>
        </w:rPr>
        <w:t>Concomitantemente, s</w:t>
      </w:r>
      <w:r w:rsidR="008C5610">
        <w:rPr>
          <w:lang w:val="es-DO"/>
        </w:rPr>
        <w:t xml:space="preserve">e </w:t>
      </w:r>
      <w:r w:rsidR="008F5C5F">
        <w:rPr>
          <w:lang w:val="es-DO"/>
        </w:rPr>
        <w:t>implementó</w:t>
      </w:r>
      <w:r w:rsidR="003936CB" w:rsidRPr="003936CB">
        <w:rPr>
          <w:lang w:val="es-DO"/>
        </w:rPr>
        <w:t xml:space="preserve"> la primera fase del plan de carrera y ruta de desarrollo en la Subgerencia de Supervisión el cual facilitará el crecimiento de los colaboradores(as) dentro de la institución, potencializando sus capacidades y</w:t>
      </w:r>
      <w:r w:rsidR="00B66354">
        <w:rPr>
          <w:lang w:val="es-DO"/>
        </w:rPr>
        <w:t xml:space="preserve"> propiciando</w:t>
      </w:r>
      <w:r w:rsidR="003936CB" w:rsidRPr="003936CB">
        <w:rPr>
          <w:lang w:val="es-DO"/>
        </w:rPr>
        <w:t xml:space="preserve"> </w:t>
      </w:r>
      <w:r w:rsidR="00B66354">
        <w:rPr>
          <w:lang w:val="es-DO"/>
        </w:rPr>
        <w:t>su retención</w:t>
      </w:r>
      <w:r w:rsidR="003936CB" w:rsidRPr="003936CB">
        <w:rPr>
          <w:lang w:val="es-DO"/>
        </w:rPr>
        <w:t xml:space="preserve">. Como conclusión de esta iniciativa se pudieron </w:t>
      </w:r>
      <w:r w:rsidR="003B5C4A">
        <w:rPr>
          <w:lang w:val="es-DO"/>
        </w:rPr>
        <w:t>las rutas de desarrollo de</w:t>
      </w:r>
      <w:r w:rsidR="003936CB" w:rsidRPr="003936CB">
        <w:rPr>
          <w:lang w:val="es-DO"/>
        </w:rPr>
        <w:t xml:space="preserve"> 33 puestos críticos, se identificaron los colaboradores(as) de altos potencial para ser desarrollados y se actualizaron 67 descriptivos de puestos. </w:t>
      </w:r>
    </w:p>
    <w:p w14:paraId="6EF0BAE9" w14:textId="6C756583" w:rsidR="003936CB" w:rsidRPr="003B3D76" w:rsidRDefault="003936CB" w:rsidP="003B3D76">
      <w:pPr>
        <w:spacing w:line="360" w:lineRule="auto"/>
        <w:rPr>
          <w:b/>
          <w:bCs/>
          <w:lang w:val="es-DO"/>
        </w:rPr>
      </w:pPr>
      <w:r w:rsidRPr="00D76399">
        <w:rPr>
          <w:b/>
          <w:bCs/>
          <w:lang w:val="es-DO"/>
        </w:rPr>
        <w:t>Desempeño y Clima</w:t>
      </w:r>
    </w:p>
    <w:p w14:paraId="2DC01AF7" w14:textId="311B4162" w:rsidR="003936CB" w:rsidRPr="003936CB" w:rsidRDefault="003936CB" w:rsidP="003B3D76">
      <w:pPr>
        <w:spacing w:line="360" w:lineRule="auto"/>
        <w:jc w:val="both"/>
        <w:rPr>
          <w:lang w:val="es-DO"/>
        </w:rPr>
      </w:pPr>
      <w:r w:rsidRPr="003936CB">
        <w:rPr>
          <w:lang w:val="es-DO"/>
        </w:rPr>
        <w:t xml:space="preserve">Para marzo 2023 fue conformada la Unidad de Clima y Desempeño, cuyo foco estratégico es promover una cultura de trabajo que contribuya al éxito de la institución, apoyando la transformación cultural, el enfoque en resultados y un buen ambiente de trabajo que promueva el bienestar de todos y la valoración del talento. </w:t>
      </w:r>
    </w:p>
    <w:p w14:paraId="081D0554" w14:textId="6923633C" w:rsidR="003936CB" w:rsidRPr="003936CB" w:rsidRDefault="003936CB" w:rsidP="003B3D76">
      <w:pPr>
        <w:spacing w:line="360" w:lineRule="auto"/>
        <w:jc w:val="both"/>
        <w:rPr>
          <w:lang w:val="es-DO"/>
        </w:rPr>
      </w:pPr>
      <w:r w:rsidRPr="003936CB">
        <w:rPr>
          <w:lang w:val="es-DO"/>
        </w:rPr>
        <w:t>En términos de Evaluación del Desempeño Individual (EDI)</w:t>
      </w:r>
      <w:r w:rsidR="00807D11">
        <w:rPr>
          <w:lang w:val="es-DO"/>
        </w:rPr>
        <w:t xml:space="preserve"> s</w:t>
      </w:r>
      <w:r w:rsidRPr="003936CB">
        <w:rPr>
          <w:lang w:val="es-DO"/>
        </w:rPr>
        <w:t>e implementó la herramienta de evaluación de desempeño digital EDI 3.0</w:t>
      </w:r>
      <w:r w:rsidR="00807D11">
        <w:rPr>
          <w:lang w:val="es-DO"/>
        </w:rPr>
        <w:t xml:space="preserve">, integrada </w:t>
      </w:r>
      <w:r w:rsidR="00B210A3">
        <w:rPr>
          <w:lang w:val="es-DO"/>
        </w:rPr>
        <w:t xml:space="preserve">al sistema de </w:t>
      </w:r>
      <w:r w:rsidR="00ED0765">
        <w:rPr>
          <w:lang w:val="es-DO"/>
        </w:rPr>
        <w:t>planificación y gestión de recursos</w:t>
      </w:r>
      <w:r w:rsidR="00241B84">
        <w:rPr>
          <w:lang w:val="es-DO"/>
        </w:rPr>
        <w:t xml:space="preserve"> </w:t>
      </w:r>
      <w:r w:rsidR="00ED0765">
        <w:rPr>
          <w:lang w:val="es-DO"/>
        </w:rPr>
        <w:t>ERP</w:t>
      </w:r>
      <w:r w:rsidR="00241B84">
        <w:rPr>
          <w:lang w:val="es-DO"/>
        </w:rPr>
        <w:t xml:space="preserve"> </w:t>
      </w:r>
      <w:r w:rsidR="00241B84" w:rsidRPr="003936CB">
        <w:rPr>
          <w:lang w:val="es-DO"/>
        </w:rPr>
        <w:t>Dynamics 365</w:t>
      </w:r>
      <w:r w:rsidRPr="003936CB">
        <w:rPr>
          <w:lang w:val="es-DO"/>
        </w:rPr>
        <w:t>, dando pasos significativos para la digitalización de este proceso</w:t>
      </w:r>
      <w:r w:rsidR="00DC551D">
        <w:rPr>
          <w:lang w:val="es-DO"/>
        </w:rPr>
        <w:t>.</w:t>
      </w:r>
    </w:p>
    <w:p w14:paraId="3C8E9FE3" w14:textId="3B805848" w:rsidR="003936CB" w:rsidRPr="003936CB" w:rsidRDefault="003936CB" w:rsidP="003B3D76">
      <w:pPr>
        <w:spacing w:line="360" w:lineRule="auto"/>
        <w:jc w:val="both"/>
        <w:rPr>
          <w:lang w:val="es-DO"/>
        </w:rPr>
      </w:pPr>
      <w:r w:rsidRPr="003936CB">
        <w:rPr>
          <w:lang w:val="es-DO"/>
        </w:rPr>
        <w:t xml:space="preserve">Para </w:t>
      </w:r>
      <w:r w:rsidR="000D6426">
        <w:rPr>
          <w:lang w:val="es-DO"/>
        </w:rPr>
        <w:t xml:space="preserve">propiciar </w:t>
      </w:r>
      <w:r w:rsidR="0059173E">
        <w:rPr>
          <w:lang w:val="es-DO"/>
        </w:rPr>
        <w:t xml:space="preserve">el </w:t>
      </w:r>
      <w:r w:rsidR="000D6426">
        <w:rPr>
          <w:lang w:val="es-DO"/>
        </w:rPr>
        <w:t>buen c</w:t>
      </w:r>
      <w:r w:rsidRPr="003936CB">
        <w:rPr>
          <w:lang w:val="es-DO"/>
        </w:rPr>
        <w:t xml:space="preserve">lima y </w:t>
      </w:r>
      <w:r w:rsidR="0059173E">
        <w:rPr>
          <w:lang w:val="es-DO"/>
        </w:rPr>
        <w:t xml:space="preserve">una </w:t>
      </w:r>
      <w:r w:rsidR="000D6426">
        <w:rPr>
          <w:lang w:val="es-DO"/>
        </w:rPr>
        <w:t>c</w:t>
      </w:r>
      <w:r w:rsidRPr="003936CB">
        <w:rPr>
          <w:lang w:val="es-DO"/>
        </w:rPr>
        <w:t>ultura</w:t>
      </w:r>
      <w:r w:rsidR="0059173E">
        <w:rPr>
          <w:lang w:val="es-DO"/>
        </w:rPr>
        <w:t xml:space="preserve"> de valores</w:t>
      </w:r>
      <w:r w:rsidRPr="003936CB">
        <w:rPr>
          <w:lang w:val="es-DO"/>
        </w:rPr>
        <w:t xml:space="preserve">, </w:t>
      </w:r>
      <w:r w:rsidR="00362DF7">
        <w:rPr>
          <w:lang w:val="es-DO"/>
        </w:rPr>
        <w:t>la SB aplicó,</w:t>
      </w:r>
      <w:r w:rsidR="009861DE">
        <w:rPr>
          <w:lang w:val="es-DO"/>
        </w:rPr>
        <w:t xml:space="preserve"> por tercer año constitutivo</w:t>
      </w:r>
      <w:r w:rsidR="00362DF7">
        <w:rPr>
          <w:lang w:val="es-DO"/>
        </w:rPr>
        <w:t>,</w:t>
      </w:r>
      <w:r w:rsidRPr="003936CB">
        <w:rPr>
          <w:lang w:val="es-DO"/>
        </w:rPr>
        <w:t xml:space="preserve"> la Certificación de Great Place </w:t>
      </w:r>
      <w:proofErr w:type="spellStart"/>
      <w:r w:rsidRPr="003936CB">
        <w:rPr>
          <w:lang w:val="es-DO"/>
        </w:rPr>
        <w:t>To</w:t>
      </w:r>
      <w:proofErr w:type="spellEnd"/>
      <w:r w:rsidRPr="003936CB">
        <w:rPr>
          <w:lang w:val="es-DO"/>
        </w:rPr>
        <w:t xml:space="preserve"> </w:t>
      </w:r>
      <w:proofErr w:type="spellStart"/>
      <w:r w:rsidRPr="003936CB">
        <w:rPr>
          <w:lang w:val="es-DO"/>
        </w:rPr>
        <w:t>Work</w:t>
      </w:r>
      <w:proofErr w:type="spellEnd"/>
      <w:r w:rsidRPr="003936CB">
        <w:rPr>
          <w:lang w:val="es-DO"/>
        </w:rPr>
        <w:t>,</w:t>
      </w:r>
      <w:r w:rsidR="009861DE">
        <w:rPr>
          <w:lang w:val="es-DO"/>
        </w:rPr>
        <w:t xml:space="preserve"> </w:t>
      </w:r>
      <w:r w:rsidR="0040416E">
        <w:rPr>
          <w:lang w:val="es-DO"/>
        </w:rPr>
        <w:t>a partir de la cual la S</w:t>
      </w:r>
      <w:r w:rsidR="004D43BA">
        <w:rPr>
          <w:lang w:val="es-DO"/>
        </w:rPr>
        <w:t xml:space="preserve">uperintendencia de </w:t>
      </w:r>
      <w:r w:rsidR="0040416E">
        <w:rPr>
          <w:lang w:val="es-DO"/>
        </w:rPr>
        <w:t>B</w:t>
      </w:r>
      <w:r w:rsidR="004D43BA">
        <w:rPr>
          <w:lang w:val="es-DO"/>
        </w:rPr>
        <w:t>ancos</w:t>
      </w:r>
      <w:r w:rsidR="0040416E">
        <w:rPr>
          <w:lang w:val="es-DO"/>
        </w:rPr>
        <w:t xml:space="preserve"> obtuvo una </w:t>
      </w:r>
      <w:r w:rsidR="004759DD">
        <w:rPr>
          <w:lang w:val="es-DO"/>
        </w:rPr>
        <w:t>calificación</w:t>
      </w:r>
      <w:r w:rsidR="006A68FF">
        <w:rPr>
          <w:lang w:val="es-DO"/>
        </w:rPr>
        <w:t xml:space="preserve"> de 91%</w:t>
      </w:r>
      <w:r w:rsidR="00AB63D2">
        <w:rPr>
          <w:lang w:val="es-DO"/>
        </w:rPr>
        <w:t xml:space="preserve"> de satisfacción generales de </w:t>
      </w:r>
      <w:r w:rsidR="009769C5">
        <w:rPr>
          <w:lang w:val="es-DO"/>
        </w:rPr>
        <w:t>los colaboradores</w:t>
      </w:r>
      <w:r w:rsidR="001A0D7F">
        <w:rPr>
          <w:lang w:val="es-DO"/>
        </w:rPr>
        <w:t xml:space="preserve">, </w:t>
      </w:r>
      <w:r w:rsidR="00F15CAB">
        <w:rPr>
          <w:lang w:val="es-DO"/>
        </w:rPr>
        <w:t xml:space="preserve">lo cual representa un incremento de 3 puntos porcentuales contra la calificación de 88% obtenida </w:t>
      </w:r>
      <w:r w:rsidR="00E71FB1">
        <w:rPr>
          <w:lang w:val="es-DO"/>
        </w:rPr>
        <w:t>en el año anterior</w:t>
      </w:r>
      <w:r w:rsidR="00053B8E">
        <w:rPr>
          <w:lang w:val="es-DO"/>
        </w:rPr>
        <w:t>.</w:t>
      </w:r>
      <w:r w:rsidR="002B10FC">
        <w:rPr>
          <w:lang w:val="es-DO"/>
        </w:rPr>
        <w:t xml:space="preserve"> </w:t>
      </w:r>
      <w:r w:rsidR="009769C5">
        <w:rPr>
          <w:lang w:val="es-DO"/>
        </w:rPr>
        <w:t>Asimismo,</w:t>
      </w:r>
      <w:r w:rsidR="002B10FC">
        <w:rPr>
          <w:lang w:val="es-DO"/>
        </w:rPr>
        <w:t xml:space="preserve"> </w:t>
      </w:r>
      <w:r w:rsidR="00736265">
        <w:rPr>
          <w:lang w:val="es-DO"/>
        </w:rPr>
        <w:t>a</w:t>
      </w:r>
      <w:r w:rsidR="009769C5">
        <w:rPr>
          <w:lang w:val="es-DO"/>
        </w:rPr>
        <w:t xml:space="preserve"> </w:t>
      </w:r>
      <w:r w:rsidR="00E31432">
        <w:rPr>
          <w:lang w:val="es-DO"/>
        </w:rPr>
        <w:t>s</w:t>
      </w:r>
      <w:r w:rsidR="009861DE">
        <w:rPr>
          <w:lang w:val="es-DO"/>
        </w:rPr>
        <w:t>e</w:t>
      </w:r>
      <w:r w:rsidR="00E31432">
        <w:rPr>
          <w:lang w:val="es-DO"/>
        </w:rPr>
        <w:t xml:space="preserve"> ha</w:t>
      </w:r>
      <w:r w:rsidR="009769C5">
        <w:rPr>
          <w:lang w:val="es-DO"/>
        </w:rPr>
        <w:t>n</w:t>
      </w:r>
      <w:r w:rsidR="009861DE">
        <w:rPr>
          <w:lang w:val="es-DO"/>
        </w:rPr>
        <w:t xml:space="preserve"> </w:t>
      </w:r>
      <w:r w:rsidR="00362DF7">
        <w:rPr>
          <w:lang w:val="es-DO"/>
        </w:rPr>
        <w:t>reconocido</w:t>
      </w:r>
      <w:r w:rsidR="00FB42AA">
        <w:rPr>
          <w:lang w:val="es-DO"/>
        </w:rPr>
        <w:t xml:space="preserve"> por desempeño</w:t>
      </w:r>
      <w:r w:rsidR="00AA3A0D">
        <w:rPr>
          <w:lang w:val="es-DO"/>
        </w:rPr>
        <w:t xml:space="preserve">, compromiso y </w:t>
      </w:r>
      <w:r w:rsidR="00950475">
        <w:rPr>
          <w:lang w:val="es-DO"/>
        </w:rPr>
        <w:t xml:space="preserve">reflejo de los valores </w:t>
      </w:r>
      <w:r w:rsidR="00950475">
        <w:rPr>
          <w:lang w:val="es-DO"/>
        </w:rPr>
        <w:lastRenderedPageBreak/>
        <w:t>institucionales</w:t>
      </w:r>
      <w:r w:rsidR="00CC1884">
        <w:rPr>
          <w:lang w:val="es-DO"/>
        </w:rPr>
        <w:t xml:space="preserve"> un</w:t>
      </w:r>
      <w:r w:rsidRPr="003936CB">
        <w:rPr>
          <w:lang w:val="es-DO"/>
        </w:rPr>
        <w:t xml:space="preserve"> total de 143 colaboradores(as), equivalente a un 20% de la población de la S</w:t>
      </w:r>
      <w:r w:rsidR="009861DE">
        <w:rPr>
          <w:lang w:val="es-DO"/>
        </w:rPr>
        <w:t xml:space="preserve">uperintendencia de </w:t>
      </w:r>
      <w:r w:rsidRPr="003936CB">
        <w:rPr>
          <w:lang w:val="es-DO"/>
        </w:rPr>
        <w:t>B</w:t>
      </w:r>
      <w:r w:rsidR="009861DE">
        <w:rPr>
          <w:lang w:val="es-DO"/>
        </w:rPr>
        <w:t>ancos</w:t>
      </w:r>
      <w:r w:rsidRPr="003936CB">
        <w:rPr>
          <w:lang w:val="es-DO"/>
        </w:rPr>
        <w:t xml:space="preserve">. </w:t>
      </w:r>
    </w:p>
    <w:p w14:paraId="3DD84464" w14:textId="08958690" w:rsidR="003936CB" w:rsidRPr="003B3D76" w:rsidRDefault="003936CB" w:rsidP="003B3D76">
      <w:pPr>
        <w:spacing w:line="360" w:lineRule="auto"/>
        <w:rPr>
          <w:b/>
          <w:bCs/>
          <w:lang w:val="es-DO"/>
        </w:rPr>
      </w:pPr>
      <w:r w:rsidRPr="00F23C36">
        <w:rPr>
          <w:b/>
          <w:bCs/>
          <w:lang w:val="es-DO"/>
        </w:rPr>
        <w:t>Remuneración, Beneficios y Relaciones Laborales</w:t>
      </w:r>
    </w:p>
    <w:p w14:paraId="395F641B" w14:textId="5D333F49" w:rsidR="003936CB" w:rsidRPr="003936CB" w:rsidRDefault="003936CB" w:rsidP="003B3D76">
      <w:pPr>
        <w:spacing w:line="360" w:lineRule="auto"/>
        <w:jc w:val="both"/>
        <w:rPr>
          <w:lang w:val="es-DO"/>
        </w:rPr>
      </w:pPr>
      <w:r w:rsidRPr="003936CB">
        <w:rPr>
          <w:lang w:val="es-DO"/>
        </w:rPr>
        <w:t xml:space="preserve">Se aumentó el monto del subsidio del seguro médico de los colaboradores(as) activos y pensionados de un 75% a un 85%. Un logro de este año fue la extensión a la población de subdirectores de la cobertura del seguro médico internacional. Adicionalmente, se adjudicó a un nuevo proveedor de cafetería con una cobertura mejorada de un 75% a un 80%, dejando definido este porcentaje de cobertura por política. Se aumentó el subsidio del campamento de verano para hijos de empleados en un 8% con relación al 2022.  </w:t>
      </w:r>
    </w:p>
    <w:p w14:paraId="185A35A5" w14:textId="3A5D0B87" w:rsidR="003936CB" w:rsidRPr="003936CB" w:rsidRDefault="003936CB" w:rsidP="003B3D76">
      <w:pPr>
        <w:spacing w:line="360" w:lineRule="auto"/>
        <w:jc w:val="both"/>
        <w:rPr>
          <w:lang w:val="es-DO"/>
        </w:rPr>
      </w:pPr>
      <w:r w:rsidRPr="003936CB">
        <w:rPr>
          <w:lang w:val="es-DO"/>
        </w:rPr>
        <w:t xml:space="preserve">En el marco del Programa de Bienestar Social al Pensionado de la </w:t>
      </w:r>
      <w:r w:rsidR="00C61504">
        <w:rPr>
          <w:lang w:val="es-DO"/>
        </w:rPr>
        <w:t>Superintendencia de Bancos</w:t>
      </w:r>
      <w:r w:rsidR="000751B8">
        <w:rPr>
          <w:lang w:val="es-DO"/>
        </w:rPr>
        <w:t xml:space="preserve">, </w:t>
      </w:r>
      <w:r w:rsidRPr="003936CB">
        <w:rPr>
          <w:lang w:val="es-DO"/>
        </w:rPr>
        <w:t xml:space="preserve">se impartieron charlas preventivas para la seguridad en las redes sociales, balance familiar y laboral. En los meses de enero a noviembre se realizaron 69 visitas médicas domiciliarias conducidas por un profesional de la Salud Familiar. </w:t>
      </w:r>
    </w:p>
    <w:p w14:paraId="4C51E499" w14:textId="4C655AB3" w:rsidR="003936CB" w:rsidRPr="003B3D76" w:rsidRDefault="003936CB" w:rsidP="003B3D76">
      <w:pPr>
        <w:spacing w:line="360" w:lineRule="auto"/>
        <w:rPr>
          <w:b/>
          <w:bCs/>
          <w:lang w:val="es-DO"/>
        </w:rPr>
      </w:pPr>
      <w:r w:rsidRPr="0099108D">
        <w:rPr>
          <w:b/>
          <w:bCs/>
          <w:lang w:val="es-DO"/>
        </w:rPr>
        <w:t>Salud Ocupacional</w:t>
      </w:r>
    </w:p>
    <w:p w14:paraId="2F4E8EA1" w14:textId="1849376C" w:rsidR="003936CB" w:rsidRPr="003936CB" w:rsidRDefault="00C10E74" w:rsidP="003B3D76">
      <w:pPr>
        <w:spacing w:line="360" w:lineRule="auto"/>
        <w:jc w:val="both"/>
        <w:rPr>
          <w:lang w:val="es-DO"/>
        </w:rPr>
      </w:pPr>
      <w:r>
        <w:rPr>
          <w:lang w:val="es-DO"/>
        </w:rPr>
        <w:t>En materia se s</w:t>
      </w:r>
      <w:r w:rsidR="003936CB" w:rsidRPr="003936CB">
        <w:rPr>
          <w:lang w:val="es-DO"/>
        </w:rPr>
        <w:t xml:space="preserve">alud </w:t>
      </w:r>
      <w:r>
        <w:rPr>
          <w:lang w:val="es-DO"/>
        </w:rPr>
        <w:t>o</w:t>
      </w:r>
      <w:r w:rsidR="003936CB" w:rsidRPr="003936CB">
        <w:rPr>
          <w:lang w:val="es-DO"/>
        </w:rPr>
        <w:t xml:space="preserve">cupacional </w:t>
      </w:r>
      <w:r>
        <w:rPr>
          <w:lang w:val="es-DO"/>
        </w:rPr>
        <w:t xml:space="preserve">la </w:t>
      </w:r>
      <w:r w:rsidR="00C61504">
        <w:rPr>
          <w:lang w:val="es-DO"/>
        </w:rPr>
        <w:t>SUPERINTENDENCIA DE BANCOS</w:t>
      </w:r>
      <w:r w:rsidR="003936CB" w:rsidRPr="003936CB">
        <w:rPr>
          <w:lang w:val="es-DO"/>
        </w:rPr>
        <w:t xml:space="preserve"> ha implementado dos iniciativas a fin de preservar la salud y bienestar de los colaboradores(as), estas son el programa de inmunizaciones con jornadas de vacunación al personal contra Tétanos y difteria (DT) y de Hepatitis B e influenza en las cuales se inmunizaron a 247 (38%) colaboradores(as). </w:t>
      </w:r>
      <w:r w:rsidR="000751B8">
        <w:rPr>
          <w:lang w:val="es-DO"/>
        </w:rPr>
        <w:t>Se llevaron a cabo</w:t>
      </w:r>
      <w:r w:rsidR="003936CB" w:rsidRPr="003936CB">
        <w:rPr>
          <w:lang w:val="es-DO"/>
        </w:rPr>
        <w:t xml:space="preserve"> jornadas de evaluación visual en la que se impactaron a 205 (28%) colaboradores(as), programa de nutrición en el que participaron 35 colaboradores(as) y a 115 (16%) colaboradores(as) con la jornada de azúcar en equilibrio. Así mismo, se han realizado 159 evaluaciones de preempleo durante el periodo en cuestión. </w:t>
      </w:r>
    </w:p>
    <w:p w14:paraId="2F81EA7D" w14:textId="73C2768D" w:rsidR="00E52ED4" w:rsidRDefault="003936CB" w:rsidP="006B204A">
      <w:pPr>
        <w:spacing w:line="360" w:lineRule="auto"/>
        <w:jc w:val="both"/>
        <w:rPr>
          <w:lang w:val="es-DO"/>
        </w:rPr>
      </w:pPr>
      <w:r w:rsidRPr="003936CB">
        <w:rPr>
          <w:lang w:val="es-DO"/>
        </w:rPr>
        <w:lastRenderedPageBreak/>
        <w:t>En apoyo al programa de prevención de enfermedades, se impartieron 12 charlas educativas sobre diferentes temas de salud, logrando la participación de 1,246 colaboradores(as).</w:t>
      </w:r>
    </w:p>
    <w:p w14:paraId="13913A4F" w14:textId="77777777" w:rsidR="003936CB" w:rsidRPr="00C865B6" w:rsidRDefault="003936CB" w:rsidP="006B204A">
      <w:pPr>
        <w:spacing w:line="360" w:lineRule="auto"/>
        <w:jc w:val="both"/>
        <w:rPr>
          <w:lang w:val="es-DO"/>
        </w:rPr>
      </w:pPr>
    </w:p>
    <w:p w14:paraId="260D8C3D" w14:textId="5059D788" w:rsidR="00E52ED4" w:rsidRPr="0080136D" w:rsidRDefault="0014465A" w:rsidP="006B204A">
      <w:pPr>
        <w:pStyle w:val="Estilo3"/>
        <w:spacing w:before="0" w:after="160" w:line="360" w:lineRule="auto"/>
        <w:rPr>
          <w:b/>
        </w:rPr>
      </w:pPr>
      <w:bookmarkStart w:id="86" w:name="_Toc122435019"/>
      <w:bookmarkStart w:id="87" w:name="_Toc123046924"/>
      <w:bookmarkStart w:id="88" w:name="_Toc155354621"/>
      <w:r w:rsidRPr="0080136D">
        <w:rPr>
          <w:b/>
        </w:rPr>
        <w:t>4</w:t>
      </w:r>
      <w:r w:rsidR="00E52ED4" w:rsidRPr="0080136D">
        <w:rPr>
          <w:b/>
        </w:rPr>
        <w:t xml:space="preserve">.3 Fortalecimiento de los </w:t>
      </w:r>
      <w:bookmarkEnd w:id="86"/>
      <w:bookmarkEnd w:id="87"/>
      <w:r w:rsidR="00630E6F" w:rsidRPr="0080136D">
        <w:rPr>
          <w:b/>
        </w:rPr>
        <w:t>P</w:t>
      </w:r>
      <w:r w:rsidR="00E52ED4" w:rsidRPr="0080136D">
        <w:rPr>
          <w:b/>
        </w:rPr>
        <w:t xml:space="preserve">rocesos </w:t>
      </w:r>
      <w:r w:rsidR="00630E6F" w:rsidRPr="0080136D">
        <w:rPr>
          <w:b/>
        </w:rPr>
        <w:t>J</w:t>
      </w:r>
      <w:r w:rsidR="00E52ED4" w:rsidRPr="0080136D">
        <w:rPr>
          <w:b/>
        </w:rPr>
        <w:t>urídicos</w:t>
      </w:r>
      <w:bookmarkEnd w:id="88"/>
    </w:p>
    <w:p w14:paraId="6DD22AF8" w14:textId="3FD97AC4" w:rsidR="00156B19" w:rsidRPr="00D73CAD" w:rsidRDefault="00564966" w:rsidP="001E280B">
      <w:pPr>
        <w:spacing w:line="360" w:lineRule="auto"/>
        <w:rPr>
          <w:b/>
          <w:bCs/>
          <w:lang w:val="es-DO"/>
        </w:rPr>
      </w:pPr>
      <w:r w:rsidRPr="00D73CAD">
        <w:rPr>
          <w:b/>
          <w:bCs/>
          <w:lang w:val="es-DO"/>
        </w:rPr>
        <w:t xml:space="preserve">Sobre la </w:t>
      </w:r>
      <w:r w:rsidR="00156B19" w:rsidRPr="00D73CAD">
        <w:rPr>
          <w:b/>
          <w:bCs/>
          <w:lang w:val="es-DO"/>
        </w:rPr>
        <w:t>Agenda Académica de la Consultoría Jurídica</w:t>
      </w:r>
    </w:p>
    <w:p w14:paraId="598B2335" w14:textId="0C359CE5" w:rsidR="007F355A" w:rsidRDefault="00156B19" w:rsidP="006B204A">
      <w:pPr>
        <w:spacing w:line="360" w:lineRule="auto"/>
        <w:jc w:val="both"/>
        <w:rPr>
          <w:lang w:val="es-DO"/>
        </w:rPr>
      </w:pPr>
      <w:r w:rsidRPr="00156B19">
        <w:rPr>
          <w:lang w:val="es-DO"/>
        </w:rPr>
        <w:t xml:space="preserve">Con miras a </w:t>
      </w:r>
      <w:r w:rsidR="00EE3478">
        <w:rPr>
          <w:lang w:val="es-DO"/>
        </w:rPr>
        <w:t xml:space="preserve">fomentar </w:t>
      </w:r>
      <w:r w:rsidRPr="00156B19">
        <w:rPr>
          <w:lang w:val="es-DO"/>
        </w:rPr>
        <w:t xml:space="preserve">la academia sobre el derecho bancario y la regulación monetaria y financiera, y que el personal de la Superintendencia de Bancos sea conocido por su excelencia en la comunidad jurídica de la República Dominicana, </w:t>
      </w:r>
      <w:r w:rsidR="00331ECE">
        <w:rPr>
          <w:lang w:val="es-DO"/>
        </w:rPr>
        <w:t xml:space="preserve">se llevaron a cabo actividades enmarcadas en una </w:t>
      </w:r>
      <w:r w:rsidRPr="00156B19">
        <w:rPr>
          <w:lang w:val="es-DO"/>
        </w:rPr>
        <w:t>agenda académica durante el año 2023.</w:t>
      </w:r>
      <w:r w:rsidR="00331ECE">
        <w:rPr>
          <w:lang w:val="es-DO"/>
        </w:rPr>
        <w:t xml:space="preserve"> </w:t>
      </w:r>
      <w:r w:rsidR="005465A3">
        <w:rPr>
          <w:lang w:val="es-DO"/>
        </w:rPr>
        <w:t xml:space="preserve">Algunos de los hitos más relevantes </w:t>
      </w:r>
      <w:r w:rsidR="00331ECE">
        <w:rPr>
          <w:lang w:val="es-DO"/>
        </w:rPr>
        <w:t>de esta agenda</w:t>
      </w:r>
      <w:r w:rsidR="005465A3">
        <w:rPr>
          <w:lang w:val="es-DO"/>
        </w:rPr>
        <w:t xml:space="preserve"> son:</w:t>
      </w:r>
    </w:p>
    <w:p w14:paraId="4B8DBFB2" w14:textId="0134076F" w:rsidR="00430CD1" w:rsidRPr="001E280B" w:rsidRDefault="007F355A" w:rsidP="001E280B">
      <w:pPr>
        <w:pStyle w:val="Prrafodelista"/>
        <w:numPr>
          <w:ilvl w:val="0"/>
          <w:numId w:val="20"/>
        </w:numPr>
        <w:spacing w:after="160" w:line="360" w:lineRule="auto"/>
        <w:contextualSpacing w:val="0"/>
        <w:jc w:val="both"/>
        <w:rPr>
          <w:rFonts w:ascii="Times New Roman" w:eastAsiaTheme="minorHAnsi" w:hAnsi="Times New Roman"/>
          <w:color w:val="767171"/>
          <w:spacing w:val="20"/>
          <w:sz w:val="24"/>
          <w:szCs w:val="24"/>
        </w:rPr>
      </w:pPr>
      <w:r w:rsidRPr="00126816">
        <w:rPr>
          <w:rFonts w:ascii="Times New Roman" w:eastAsiaTheme="minorHAnsi" w:hAnsi="Times New Roman"/>
          <w:color w:val="767171"/>
          <w:spacing w:val="20"/>
          <w:sz w:val="24"/>
          <w:szCs w:val="24"/>
        </w:rPr>
        <w:t xml:space="preserve">Celebración de la conferencia “Régimen Penal de los Delitos Financieros en la República Dominicana”, celebrada el 25 de abril, </w:t>
      </w:r>
      <w:r w:rsidR="00126816" w:rsidRPr="00126816">
        <w:rPr>
          <w:rFonts w:ascii="Times New Roman" w:eastAsiaTheme="minorHAnsi" w:hAnsi="Times New Roman"/>
          <w:color w:val="767171"/>
          <w:spacing w:val="20"/>
          <w:sz w:val="24"/>
          <w:szCs w:val="24"/>
        </w:rPr>
        <w:t>con la participación de más de doscientas (200) personas, bajo la modalidad mixta.</w:t>
      </w:r>
    </w:p>
    <w:p w14:paraId="24D7734F" w14:textId="19648C67" w:rsidR="009C2DAA" w:rsidRPr="001E280B" w:rsidRDefault="00E12650" w:rsidP="001E280B">
      <w:pPr>
        <w:pStyle w:val="Prrafodelista"/>
        <w:numPr>
          <w:ilvl w:val="0"/>
          <w:numId w:val="20"/>
        </w:numPr>
        <w:spacing w:after="160" w:line="360" w:lineRule="auto"/>
        <w:contextualSpacing w:val="0"/>
        <w:jc w:val="both"/>
        <w:rPr>
          <w:rFonts w:ascii="Times New Roman" w:eastAsiaTheme="minorHAnsi" w:hAnsi="Times New Roman"/>
          <w:color w:val="767171"/>
          <w:spacing w:val="20"/>
          <w:sz w:val="24"/>
          <w:szCs w:val="24"/>
        </w:rPr>
      </w:pPr>
      <w:r w:rsidRPr="00C14C4E">
        <w:rPr>
          <w:rFonts w:ascii="Times New Roman" w:eastAsiaTheme="minorHAnsi" w:hAnsi="Times New Roman"/>
          <w:color w:val="767171"/>
          <w:spacing w:val="20"/>
          <w:sz w:val="24"/>
          <w:szCs w:val="24"/>
        </w:rPr>
        <w:t>E</w:t>
      </w:r>
      <w:r w:rsidR="00156B19" w:rsidRPr="00C14C4E">
        <w:rPr>
          <w:rFonts w:ascii="Times New Roman" w:eastAsiaTheme="minorHAnsi" w:hAnsi="Times New Roman"/>
          <w:color w:val="767171"/>
          <w:spacing w:val="20"/>
          <w:sz w:val="24"/>
          <w:szCs w:val="24"/>
        </w:rPr>
        <w:t xml:space="preserve">l 9 de mayo del año 2023, </w:t>
      </w:r>
      <w:r w:rsidR="00331ECE">
        <w:rPr>
          <w:rFonts w:ascii="Times New Roman" w:eastAsiaTheme="minorHAnsi" w:hAnsi="Times New Roman"/>
          <w:color w:val="767171"/>
          <w:spacing w:val="20"/>
          <w:sz w:val="24"/>
          <w:szCs w:val="24"/>
        </w:rPr>
        <w:t>se llevó a cabo el</w:t>
      </w:r>
      <w:r w:rsidR="00705897">
        <w:rPr>
          <w:rFonts w:ascii="Times New Roman" w:eastAsiaTheme="minorHAnsi" w:hAnsi="Times New Roman"/>
          <w:color w:val="767171"/>
          <w:spacing w:val="20"/>
          <w:sz w:val="24"/>
          <w:szCs w:val="24"/>
        </w:rPr>
        <w:t xml:space="preserve"> </w:t>
      </w:r>
      <w:r w:rsidR="00156B19" w:rsidRPr="00C14C4E">
        <w:rPr>
          <w:rFonts w:ascii="Times New Roman" w:eastAsiaTheme="minorHAnsi" w:hAnsi="Times New Roman"/>
          <w:color w:val="767171"/>
          <w:spacing w:val="20"/>
          <w:sz w:val="24"/>
          <w:szCs w:val="24"/>
        </w:rPr>
        <w:t xml:space="preserve">“Seminario sobre Delitos Financieros”, </w:t>
      </w:r>
      <w:r w:rsidR="00215624">
        <w:rPr>
          <w:rFonts w:ascii="Times New Roman" w:eastAsiaTheme="minorHAnsi" w:hAnsi="Times New Roman"/>
          <w:color w:val="767171"/>
          <w:spacing w:val="20"/>
          <w:sz w:val="24"/>
          <w:szCs w:val="24"/>
        </w:rPr>
        <w:t xml:space="preserve">con sede en el </w:t>
      </w:r>
      <w:r w:rsidR="00156B19" w:rsidRPr="00C14C4E">
        <w:rPr>
          <w:rFonts w:ascii="Times New Roman" w:eastAsiaTheme="minorHAnsi" w:hAnsi="Times New Roman"/>
          <w:color w:val="767171"/>
          <w:spacing w:val="20"/>
          <w:sz w:val="24"/>
          <w:szCs w:val="24"/>
        </w:rPr>
        <w:t>Pabellón de la Fama del Deporte Dominicano. Este seminario contó con la participación de abogados de la Superintendencia de Bancos, representantes de los gremios de las entidades de intermediación financiera, estudiantes, así como abogados en ejercicio, tanto del sector público como del sector privado. A este seminario asistieron más de doscientas (200) personas.</w:t>
      </w:r>
    </w:p>
    <w:p w14:paraId="41FCA870" w14:textId="5521E08F" w:rsidR="009C2DAA" w:rsidRPr="001E280B" w:rsidRDefault="00B208E4" w:rsidP="001E280B">
      <w:pPr>
        <w:pStyle w:val="Prrafodelista"/>
        <w:numPr>
          <w:ilvl w:val="0"/>
          <w:numId w:val="20"/>
        </w:numPr>
        <w:spacing w:after="160" w:line="360" w:lineRule="auto"/>
        <w:contextualSpacing w:val="0"/>
        <w:jc w:val="both"/>
        <w:rPr>
          <w:rFonts w:ascii="Times New Roman" w:eastAsiaTheme="minorHAnsi" w:hAnsi="Times New Roman"/>
          <w:color w:val="767171"/>
          <w:spacing w:val="20"/>
          <w:sz w:val="24"/>
          <w:szCs w:val="24"/>
        </w:rPr>
      </w:pPr>
      <w:r w:rsidRPr="00C14C4E">
        <w:rPr>
          <w:rFonts w:ascii="Times New Roman" w:eastAsiaTheme="minorHAnsi" w:hAnsi="Times New Roman"/>
          <w:color w:val="767171"/>
          <w:spacing w:val="20"/>
          <w:sz w:val="24"/>
          <w:szCs w:val="24"/>
        </w:rPr>
        <w:t>E</w:t>
      </w:r>
      <w:r w:rsidR="00156B19" w:rsidRPr="00C14C4E">
        <w:rPr>
          <w:rFonts w:ascii="Times New Roman" w:eastAsiaTheme="minorHAnsi" w:hAnsi="Times New Roman"/>
          <w:color w:val="767171"/>
          <w:spacing w:val="20"/>
          <w:sz w:val="24"/>
          <w:szCs w:val="24"/>
        </w:rPr>
        <w:t>l 27 de julio de 2023</w:t>
      </w:r>
      <w:r w:rsidR="00BD635F">
        <w:rPr>
          <w:rFonts w:ascii="Times New Roman" w:eastAsiaTheme="minorHAnsi" w:hAnsi="Times New Roman"/>
          <w:color w:val="767171"/>
          <w:spacing w:val="20"/>
          <w:sz w:val="24"/>
          <w:szCs w:val="24"/>
        </w:rPr>
        <w:t xml:space="preserve"> se</w:t>
      </w:r>
      <w:r w:rsidR="00156B19" w:rsidRPr="00C14C4E">
        <w:rPr>
          <w:rFonts w:ascii="Times New Roman" w:eastAsiaTheme="minorHAnsi" w:hAnsi="Times New Roman"/>
          <w:color w:val="767171"/>
          <w:spacing w:val="20"/>
          <w:sz w:val="24"/>
          <w:szCs w:val="24"/>
        </w:rPr>
        <w:t xml:space="preserve"> </w:t>
      </w:r>
      <w:r w:rsidR="00BD635F">
        <w:rPr>
          <w:rFonts w:ascii="Times New Roman" w:eastAsiaTheme="minorHAnsi" w:hAnsi="Times New Roman"/>
          <w:color w:val="767171"/>
          <w:spacing w:val="20"/>
          <w:sz w:val="24"/>
          <w:szCs w:val="24"/>
        </w:rPr>
        <w:t>impartió</w:t>
      </w:r>
      <w:r w:rsidR="00156B19" w:rsidRPr="00C14C4E">
        <w:rPr>
          <w:rFonts w:ascii="Times New Roman" w:eastAsiaTheme="minorHAnsi" w:hAnsi="Times New Roman"/>
          <w:color w:val="767171"/>
          <w:spacing w:val="20"/>
          <w:sz w:val="24"/>
          <w:szCs w:val="24"/>
        </w:rPr>
        <w:t xml:space="preserve"> la conferencia “Desafíos de la Persecución de los Delitos Financieros” en la Pontificia Universidad Católica Madre y Maestra (PUCMM) de la ciudad de </w:t>
      </w:r>
      <w:r w:rsidR="00156B19" w:rsidRPr="00C14C4E">
        <w:rPr>
          <w:rFonts w:ascii="Times New Roman" w:eastAsiaTheme="minorHAnsi" w:hAnsi="Times New Roman"/>
          <w:color w:val="767171"/>
          <w:spacing w:val="20"/>
          <w:sz w:val="24"/>
          <w:szCs w:val="24"/>
        </w:rPr>
        <w:lastRenderedPageBreak/>
        <w:t xml:space="preserve">Santiago de los Caballeros. A </w:t>
      </w:r>
      <w:r w:rsidR="00BD635F">
        <w:rPr>
          <w:rFonts w:ascii="Times New Roman" w:eastAsiaTheme="minorHAnsi" w:hAnsi="Times New Roman"/>
          <w:color w:val="767171"/>
          <w:spacing w:val="20"/>
          <w:sz w:val="24"/>
          <w:szCs w:val="24"/>
        </w:rPr>
        <w:t>dicha</w:t>
      </w:r>
      <w:r w:rsidR="00156B19" w:rsidRPr="00C14C4E">
        <w:rPr>
          <w:rFonts w:ascii="Times New Roman" w:eastAsiaTheme="minorHAnsi" w:hAnsi="Times New Roman"/>
          <w:color w:val="767171"/>
          <w:spacing w:val="20"/>
          <w:sz w:val="24"/>
          <w:szCs w:val="24"/>
        </w:rPr>
        <w:t xml:space="preserve"> actividad académica asistieron más de doscientos noventa (290) personas, entre ellos, estudiantes, académicos y miembros de la comunidad jurídica en general.</w:t>
      </w:r>
    </w:p>
    <w:p w14:paraId="1AFBBB26" w14:textId="0FB0B5F4" w:rsidR="00156B19" w:rsidRPr="009C2DAA" w:rsidRDefault="00A5064A" w:rsidP="00CB4994">
      <w:pPr>
        <w:pStyle w:val="Prrafodelista"/>
        <w:numPr>
          <w:ilvl w:val="0"/>
          <w:numId w:val="20"/>
        </w:numPr>
        <w:spacing w:after="160" w:line="360" w:lineRule="auto"/>
        <w:contextualSpacing w:val="0"/>
        <w:jc w:val="both"/>
        <w:rPr>
          <w:rFonts w:ascii="Times New Roman" w:eastAsiaTheme="minorHAnsi" w:hAnsi="Times New Roman"/>
          <w:color w:val="767171"/>
          <w:spacing w:val="20"/>
          <w:sz w:val="24"/>
          <w:szCs w:val="24"/>
        </w:rPr>
      </w:pPr>
      <w:r w:rsidRPr="00C14C4E">
        <w:rPr>
          <w:rFonts w:ascii="Times New Roman" w:eastAsiaTheme="minorHAnsi" w:hAnsi="Times New Roman"/>
          <w:color w:val="767171"/>
          <w:spacing w:val="20"/>
          <w:sz w:val="24"/>
          <w:szCs w:val="24"/>
        </w:rPr>
        <w:t>E</w:t>
      </w:r>
      <w:r w:rsidR="00156B19" w:rsidRPr="00C14C4E">
        <w:rPr>
          <w:rFonts w:ascii="Times New Roman" w:eastAsiaTheme="minorHAnsi" w:hAnsi="Times New Roman"/>
          <w:color w:val="767171"/>
          <w:spacing w:val="20"/>
          <w:sz w:val="24"/>
          <w:szCs w:val="24"/>
        </w:rPr>
        <w:t xml:space="preserve">l 29 de septiembre de 2023 se realizó el “Segundo Congreso Académico Internacional sobre Derecho de la Regulación Monetaria y Financiera”. Entre los temas tratados en este Congreso están: “Conquistas y estado actual del sistema monetario y financiero”, “Justificación de la necesaria intervención y regulación de la Administración en el sistema”, “Nuevas tendencias y herramientas para el control eficaz de riesgos”, “La protección de datos frente a la digitalización de los servicios bancarios”, y la “Dinamización constante de la inclusión e innovación financiera”. Se destaca la participación de representantes de la Superintendencia Financiera de Colombia, de la Superintendencia de Banca, Seguros y AFP del Perú, del Banco Central de Brasil (participación virtual), y de la Oficina Regional de América Latina y el Caribe de la Alianza para la Inclusión Financiera (AFI). </w:t>
      </w:r>
    </w:p>
    <w:p w14:paraId="5DAD19C3" w14:textId="6D7F8116" w:rsidR="00156B19" w:rsidRDefault="00331ECE" w:rsidP="006B204A">
      <w:pPr>
        <w:spacing w:line="360" w:lineRule="auto"/>
        <w:jc w:val="both"/>
        <w:rPr>
          <w:lang w:val="es-DO"/>
        </w:rPr>
      </w:pPr>
      <w:r>
        <w:rPr>
          <w:lang w:val="es-DO"/>
        </w:rPr>
        <w:t>Por otro lado, e</w:t>
      </w:r>
      <w:r w:rsidR="004D362B">
        <w:rPr>
          <w:lang w:val="es-DO"/>
        </w:rPr>
        <w:t>n el 2023 la Superintendencia de Bancos</w:t>
      </w:r>
      <w:r w:rsidR="002C476E">
        <w:rPr>
          <w:lang w:val="es-DO"/>
        </w:rPr>
        <w:t xml:space="preserve"> </w:t>
      </w:r>
      <w:r w:rsidR="00BD635F">
        <w:rPr>
          <w:lang w:val="es-DO"/>
        </w:rPr>
        <w:t>participó</w:t>
      </w:r>
      <w:r w:rsidR="002C476E">
        <w:rPr>
          <w:lang w:val="es-DO"/>
        </w:rPr>
        <w:t xml:space="preserve"> en </w:t>
      </w:r>
      <w:r w:rsidR="00156B19" w:rsidRPr="00156B19">
        <w:rPr>
          <w:lang w:val="es-DO"/>
        </w:rPr>
        <w:t xml:space="preserve">mesas de trabajo para la elaboración del reglamento de aplicación de la Ley núm. 28-23, sobre Fideicomiso Público. Sobre este reglamento de aplicación, </w:t>
      </w:r>
      <w:r w:rsidR="00E56FFF">
        <w:rPr>
          <w:lang w:val="es-DO"/>
        </w:rPr>
        <w:t>cabe</w:t>
      </w:r>
      <w:r w:rsidR="00156B19" w:rsidRPr="00156B19">
        <w:rPr>
          <w:lang w:val="es-DO"/>
        </w:rPr>
        <w:t xml:space="preserve"> resaltar </w:t>
      </w:r>
      <w:r w:rsidR="00BD635F">
        <w:rPr>
          <w:lang w:val="es-DO"/>
        </w:rPr>
        <w:t xml:space="preserve">que la institución </w:t>
      </w:r>
      <w:r w:rsidR="00C05908">
        <w:rPr>
          <w:lang w:val="es-DO"/>
        </w:rPr>
        <w:t xml:space="preserve">fue </w:t>
      </w:r>
      <w:r w:rsidR="00156B19" w:rsidRPr="00156B19">
        <w:rPr>
          <w:lang w:val="es-DO"/>
        </w:rPr>
        <w:t>designad</w:t>
      </w:r>
      <w:r w:rsidR="00C05908">
        <w:rPr>
          <w:lang w:val="es-DO"/>
        </w:rPr>
        <w:t>a</w:t>
      </w:r>
      <w:r w:rsidR="00156B19" w:rsidRPr="00156B19">
        <w:rPr>
          <w:lang w:val="es-DO"/>
        </w:rPr>
        <w:t xml:space="preserve"> como </w:t>
      </w:r>
      <w:r w:rsidR="00C05908">
        <w:rPr>
          <w:lang w:val="es-DO"/>
        </w:rPr>
        <w:t>coo</w:t>
      </w:r>
      <w:r w:rsidR="00D22715">
        <w:rPr>
          <w:lang w:val="es-DO"/>
        </w:rPr>
        <w:t>rdinadora</w:t>
      </w:r>
      <w:r w:rsidR="00156B19" w:rsidRPr="00156B19">
        <w:rPr>
          <w:lang w:val="es-DO"/>
        </w:rPr>
        <w:t xml:space="preserve"> de cinco (5) de sus ejes, a saber: (i) regulador; (</w:t>
      </w:r>
      <w:proofErr w:type="spellStart"/>
      <w:r w:rsidR="00156B19" w:rsidRPr="00156B19">
        <w:rPr>
          <w:lang w:val="es-DO"/>
        </w:rPr>
        <w:t>ii</w:t>
      </w:r>
      <w:proofErr w:type="spellEnd"/>
      <w:r w:rsidR="00156B19" w:rsidRPr="00156B19">
        <w:rPr>
          <w:lang w:val="es-DO"/>
        </w:rPr>
        <w:t>) liquidación; (</w:t>
      </w:r>
      <w:proofErr w:type="spellStart"/>
      <w:r w:rsidR="00156B19" w:rsidRPr="00156B19">
        <w:rPr>
          <w:lang w:val="es-DO"/>
        </w:rPr>
        <w:t>iii</w:t>
      </w:r>
      <w:proofErr w:type="spellEnd"/>
      <w:r w:rsidR="00156B19" w:rsidRPr="00156B19">
        <w:rPr>
          <w:lang w:val="es-DO"/>
        </w:rPr>
        <w:t>) rendición de cuentas; (</w:t>
      </w:r>
      <w:proofErr w:type="spellStart"/>
      <w:r w:rsidR="00156B19" w:rsidRPr="00156B19">
        <w:rPr>
          <w:lang w:val="es-DO"/>
        </w:rPr>
        <w:t>iv</w:t>
      </w:r>
      <w:proofErr w:type="spellEnd"/>
      <w:r w:rsidR="00156B19" w:rsidRPr="00156B19">
        <w:rPr>
          <w:lang w:val="es-DO"/>
        </w:rPr>
        <w:t>) laboral; y, (v) sancionador. Estos trabajos están en curso a la fecha y se realizan reuniones con los demás miembros de la comisión para su revisión.</w:t>
      </w:r>
    </w:p>
    <w:p w14:paraId="55D7ADC0" w14:textId="77777777" w:rsidR="00CA473C" w:rsidRPr="00156B19" w:rsidRDefault="00CA473C" w:rsidP="006B204A">
      <w:pPr>
        <w:spacing w:line="360" w:lineRule="auto"/>
        <w:jc w:val="both"/>
        <w:rPr>
          <w:lang w:val="es-DO"/>
        </w:rPr>
      </w:pPr>
    </w:p>
    <w:p w14:paraId="3118C3B5" w14:textId="16103E01" w:rsidR="00156B19" w:rsidRPr="00CA473C" w:rsidRDefault="00D4321A" w:rsidP="00CA473C">
      <w:pPr>
        <w:spacing w:line="240" w:lineRule="auto"/>
        <w:rPr>
          <w:b/>
          <w:bCs/>
          <w:lang w:val="es-DO"/>
        </w:rPr>
      </w:pPr>
      <w:bookmarkStart w:id="89" w:name="_Hlk136510005"/>
      <w:r w:rsidRPr="00CA473C">
        <w:rPr>
          <w:b/>
          <w:bCs/>
          <w:lang w:val="es-DO"/>
        </w:rPr>
        <w:lastRenderedPageBreak/>
        <w:t xml:space="preserve">Sobre el </w:t>
      </w:r>
      <w:r w:rsidR="00156B19" w:rsidRPr="00CA473C">
        <w:rPr>
          <w:b/>
          <w:bCs/>
          <w:lang w:val="es-DO"/>
        </w:rPr>
        <w:t xml:space="preserve">Sistema de Gestión Antisoborno </w:t>
      </w:r>
      <w:bookmarkEnd w:id="89"/>
      <w:r w:rsidR="00156B19" w:rsidRPr="00CA473C">
        <w:rPr>
          <w:b/>
          <w:bCs/>
          <w:lang w:val="es-DO"/>
        </w:rPr>
        <w:t xml:space="preserve">y </w:t>
      </w:r>
      <w:bookmarkStart w:id="90" w:name="_Hlk136510010"/>
      <w:r w:rsidR="00156B19" w:rsidRPr="00CA473C">
        <w:rPr>
          <w:b/>
          <w:bCs/>
          <w:lang w:val="es-DO"/>
        </w:rPr>
        <w:t>Adecuación en Materia de Cumplimiento</w:t>
      </w:r>
    </w:p>
    <w:bookmarkEnd w:id="90"/>
    <w:p w14:paraId="0DC089B5" w14:textId="0908A669" w:rsidR="00156B19" w:rsidRPr="00156B19" w:rsidRDefault="00156B19" w:rsidP="006B204A">
      <w:pPr>
        <w:spacing w:line="360" w:lineRule="auto"/>
        <w:jc w:val="both"/>
        <w:rPr>
          <w:lang w:val="es-DO"/>
        </w:rPr>
      </w:pPr>
      <w:r w:rsidRPr="00156B19">
        <w:rPr>
          <w:lang w:val="es-DO"/>
        </w:rPr>
        <w:t>Con el objetivo de</w:t>
      </w:r>
      <w:r w:rsidR="008F06B7">
        <w:rPr>
          <w:lang w:val="es-DO"/>
        </w:rPr>
        <w:t xml:space="preserve"> </w:t>
      </w:r>
      <w:r w:rsidR="00222D6C">
        <w:rPr>
          <w:lang w:val="es-DO"/>
        </w:rPr>
        <w:t>minimizar</w:t>
      </w:r>
      <w:r w:rsidR="00B17ACE">
        <w:rPr>
          <w:lang w:val="es-DO"/>
        </w:rPr>
        <w:t xml:space="preserve"> </w:t>
      </w:r>
      <w:r w:rsidR="007A2A4B">
        <w:rPr>
          <w:lang w:val="es-DO"/>
        </w:rPr>
        <w:t xml:space="preserve">la materialización de cualquier </w:t>
      </w:r>
      <w:r w:rsidR="00B17ACE">
        <w:rPr>
          <w:lang w:val="es-DO"/>
        </w:rPr>
        <w:t>riesgo de soborno</w:t>
      </w:r>
      <w:r w:rsidR="001D54B7">
        <w:rPr>
          <w:lang w:val="es-DO"/>
        </w:rPr>
        <w:t xml:space="preserve"> </w:t>
      </w:r>
      <w:r w:rsidR="00266224">
        <w:rPr>
          <w:lang w:val="es-DO"/>
        </w:rPr>
        <w:t xml:space="preserve">durante el </w:t>
      </w:r>
      <w:r w:rsidR="00C968C3">
        <w:rPr>
          <w:lang w:val="es-DO"/>
        </w:rPr>
        <w:t>ejercicio de sus funciones</w:t>
      </w:r>
      <w:r w:rsidRPr="00156B19">
        <w:rPr>
          <w:lang w:val="es-DO"/>
        </w:rPr>
        <w:t xml:space="preserve"> que la </w:t>
      </w:r>
      <w:r w:rsidR="00F25AC5">
        <w:rPr>
          <w:lang w:val="es-DO"/>
        </w:rPr>
        <w:t xml:space="preserve">Superintendencia de Bancos </w:t>
      </w:r>
      <w:r w:rsidR="006A50C5">
        <w:rPr>
          <w:lang w:val="es-DO"/>
        </w:rPr>
        <w:t xml:space="preserve">llevó a cabo pasos importantes para implementar </w:t>
      </w:r>
      <w:r w:rsidR="0058195D">
        <w:rPr>
          <w:lang w:val="es-DO"/>
        </w:rPr>
        <w:t xml:space="preserve">un </w:t>
      </w:r>
      <w:r w:rsidRPr="00156B19">
        <w:rPr>
          <w:lang w:val="es-DO"/>
        </w:rPr>
        <w:t xml:space="preserve">Sistema de Gestión Antisoborno (SGA) </w:t>
      </w:r>
      <w:r w:rsidR="006A50C5">
        <w:rPr>
          <w:lang w:val="es-DO"/>
        </w:rPr>
        <w:t>apegad</w:t>
      </w:r>
      <w:r w:rsidR="009749A8">
        <w:rPr>
          <w:lang w:val="es-DO"/>
        </w:rPr>
        <w:t xml:space="preserve">o al estándar internacional </w:t>
      </w:r>
      <w:r w:rsidR="009749A8" w:rsidRPr="00156B19">
        <w:rPr>
          <w:lang w:val="es-DO"/>
        </w:rPr>
        <w:t>ISO 37001:2016</w:t>
      </w:r>
      <w:r w:rsidR="00D15859">
        <w:rPr>
          <w:lang w:val="es-DO"/>
        </w:rPr>
        <w:t>.</w:t>
      </w:r>
      <w:r w:rsidR="00473CF3">
        <w:rPr>
          <w:lang w:val="es-DO"/>
        </w:rPr>
        <w:t xml:space="preserve"> </w:t>
      </w:r>
      <w:r w:rsidR="00AE54CD">
        <w:rPr>
          <w:lang w:val="es-DO"/>
        </w:rPr>
        <w:t>En este sentido, se han habilitado</w:t>
      </w:r>
      <w:r w:rsidRPr="00156B19">
        <w:rPr>
          <w:lang w:val="es-DO"/>
        </w:rPr>
        <w:t xml:space="preserve"> de canales de denuncias de soborno</w:t>
      </w:r>
      <w:r w:rsidR="000C5888">
        <w:rPr>
          <w:lang w:val="es-DO"/>
        </w:rPr>
        <w:t xml:space="preserve"> </w:t>
      </w:r>
      <w:r w:rsidR="008950CB">
        <w:rPr>
          <w:lang w:val="es-DO"/>
        </w:rPr>
        <w:t>y se han readecuado</w:t>
      </w:r>
      <w:r w:rsidRPr="00156B19">
        <w:rPr>
          <w:lang w:val="es-DO"/>
        </w:rPr>
        <w:t xml:space="preserve"> procedimientos</w:t>
      </w:r>
      <w:r w:rsidR="008950CB">
        <w:rPr>
          <w:lang w:val="es-DO"/>
        </w:rPr>
        <w:t>,</w:t>
      </w:r>
      <w:r w:rsidRPr="00156B19">
        <w:rPr>
          <w:lang w:val="es-DO"/>
        </w:rPr>
        <w:t xml:space="preserve"> políticas </w:t>
      </w:r>
      <w:r w:rsidR="008950CB">
        <w:rPr>
          <w:lang w:val="es-DO"/>
        </w:rPr>
        <w:t xml:space="preserve">y la estructura </w:t>
      </w:r>
      <w:r w:rsidR="007C5A83">
        <w:rPr>
          <w:lang w:val="es-DO"/>
        </w:rPr>
        <w:t>organizacional</w:t>
      </w:r>
      <w:r w:rsidRPr="00156B19">
        <w:rPr>
          <w:lang w:val="es-DO"/>
        </w:rPr>
        <w:t xml:space="preserve">. En consecuencia, en septiembre del año 2023 se llevó a cabo satisfactoriamente la auditoría interna del Sistema de Gestión Antisoborno y la Superintendencia de Bancos se encuentra preparada para la primera auditoría de certificación. </w:t>
      </w:r>
    </w:p>
    <w:p w14:paraId="182437FE" w14:textId="18C8B0F0" w:rsidR="00156B19" w:rsidRPr="001E280B" w:rsidRDefault="00156B19" w:rsidP="001E280B">
      <w:pPr>
        <w:spacing w:line="360" w:lineRule="auto"/>
        <w:rPr>
          <w:b/>
          <w:bCs/>
          <w:lang w:val="es-DO"/>
        </w:rPr>
      </w:pPr>
      <w:r w:rsidRPr="009C2DAA">
        <w:rPr>
          <w:b/>
          <w:bCs/>
          <w:lang w:val="es-DO"/>
        </w:rPr>
        <w:t>Gestión legal efectiva</w:t>
      </w:r>
    </w:p>
    <w:p w14:paraId="406B53DA" w14:textId="3CCF4B9E" w:rsidR="00156B19" w:rsidRPr="00156B19" w:rsidRDefault="00A22469" w:rsidP="006B204A">
      <w:pPr>
        <w:spacing w:line="360" w:lineRule="auto"/>
        <w:jc w:val="both"/>
        <w:rPr>
          <w:lang w:val="es-DO"/>
        </w:rPr>
      </w:pPr>
      <w:r>
        <w:rPr>
          <w:lang w:val="es-DO"/>
        </w:rPr>
        <w:t>En el 2023 se han</w:t>
      </w:r>
      <w:r w:rsidR="00156B19" w:rsidRPr="00156B19">
        <w:rPr>
          <w:lang w:val="es-DO"/>
        </w:rPr>
        <w:t xml:space="preserve"> gestion</w:t>
      </w:r>
      <w:r>
        <w:rPr>
          <w:lang w:val="es-DO"/>
        </w:rPr>
        <w:t>ado</w:t>
      </w:r>
      <w:r w:rsidR="00156B19" w:rsidRPr="00156B19">
        <w:rPr>
          <w:lang w:val="es-DO"/>
        </w:rPr>
        <w:t xml:space="preserve"> satisfactoriamente 772 solicitudes relacionadas al buen funcionamiento, gestión y correcta aplicación de la normativa vigente de las entidades de intermediación financiera. Estas solicitudes fueron atendidas en un 100%.</w:t>
      </w:r>
    </w:p>
    <w:p w14:paraId="68D9523E" w14:textId="50B3B011" w:rsidR="00E52ED4" w:rsidRPr="009C2DAA" w:rsidRDefault="00D176AC" w:rsidP="001E280B">
      <w:pPr>
        <w:pStyle w:val="NormalWeb"/>
        <w:spacing w:before="0" w:beforeAutospacing="0" w:after="160" w:afterAutospacing="0" w:line="360" w:lineRule="auto"/>
        <w:rPr>
          <w:rFonts w:eastAsia="Calibri"/>
          <w:b/>
          <w:bCs/>
          <w:color w:val="767171"/>
          <w:spacing w:val="20"/>
          <w:lang w:val="es-ES" w:eastAsia="en-US"/>
        </w:rPr>
      </w:pPr>
      <w:r w:rsidRPr="009C2DAA">
        <w:rPr>
          <w:rFonts w:eastAsia="Calibri"/>
          <w:b/>
          <w:bCs/>
          <w:color w:val="767171"/>
          <w:spacing w:val="20"/>
          <w:lang w:val="es-ES" w:eastAsia="en-US"/>
        </w:rPr>
        <w:t>Relaciones Interinstitucionales</w:t>
      </w:r>
    </w:p>
    <w:p w14:paraId="6E10AEBF" w14:textId="4B6EA62E" w:rsidR="00D176AC" w:rsidRPr="009C2DAA" w:rsidRDefault="00D176AC" w:rsidP="006B204A">
      <w:pPr>
        <w:pStyle w:val="NormalWeb"/>
        <w:spacing w:before="0" w:beforeAutospacing="0" w:after="160" w:afterAutospacing="0" w:line="360" w:lineRule="auto"/>
        <w:jc w:val="both"/>
        <w:rPr>
          <w:rFonts w:eastAsia="Calibri"/>
          <w:color w:val="767171"/>
          <w:spacing w:val="20"/>
          <w:lang w:val="es-ES" w:eastAsia="en-US"/>
        </w:rPr>
      </w:pPr>
      <w:r w:rsidRPr="009C2DAA">
        <w:rPr>
          <w:rFonts w:eastAsia="Calibri"/>
          <w:color w:val="767171"/>
          <w:spacing w:val="20"/>
          <w:lang w:val="es-ES" w:eastAsia="en-US"/>
        </w:rPr>
        <w:t>La S</w:t>
      </w:r>
      <w:r w:rsidR="009C2DAA" w:rsidRPr="009C2DAA">
        <w:rPr>
          <w:rFonts w:eastAsia="Calibri"/>
          <w:color w:val="767171"/>
          <w:spacing w:val="20"/>
          <w:lang w:val="es-ES" w:eastAsia="en-US"/>
        </w:rPr>
        <w:t xml:space="preserve">uperintendencia de </w:t>
      </w:r>
      <w:r w:rsidRPr="009C2DAA">
        <w:rPr>
          <w:rFonts w:eastAsia="Calibri"/>
          <w:color w:val="767171"/>
          <w:spacing w:val="20"/>
          <w:lang w:val="es-ES" w:eastAsia="en-US"/>
        </w:rPr>
        <w:t>B</w:t>
      </w:r>
      <w:r w:rsidR="009C2DAA" w:rsidRPr="009C2DAA">
        <w:rPr>
          <w:rFonts w:eastAsia="Calibri"/>
          <w:color w:val="767171"/>
          <w:spacing w:val="20"/>
          <w:lang w:val="es-ES" w:eastAsia="en-US"/>
        </w:rPr>
        <w:t>ancos</w:t>
      </w:r>
      <w:r w:rsidRPr="009C2DAA">
        <w:rPr>
          <w:rFonts w:eastAsia="Calibri"/>
          <w:color w:val="767171"/>
          <w:spacing w:val="20"/>
          <w:lang w:val="es-ES" w:eastAsia="en-US"/>
        </w:rPr>
        <w:t xml:space="preserve"> ha fortalecido sus relaciones internacionales con instituciones homólogas de la región, estrechando lazos de colaboración </w:t>
      </w:r>
      <w:r w:rsidR="00CF3DE5">
        <w:rPr>
          <w:rFonts w:eastAsia="Calibri"/>
          <w:color w:val="767171"/>
          <w:spacing w:val="20"/>
          <w:lang w:val="es-ES" w:eastAsia="en-US"/>
        </w:rPr>
        <w:t xml:space="preserve">y </w:t>
      </w:r>
      <w:r w:rsidR="00805018">
        <w:rPr>
          <w:rFonts w:eastAsia="Calibri"/>
          <w:color w:val="767171"/>
          <w:spacing w:val="20"/>
          <w:lang w:val="es-ES" w:eastAsia="en-US"/>
        </w:rPr>
        <w:t>generando</w:t>
      </w:r>
      <w:r w:rsidR="00AF60D9">
        <w:rPr>
          <w:rFonts w:eastAsia="Calibri"/>
          <w:color w:val="767171"/>
          <w:spacing w:val="20"/>
          <w:lang w:val="es-ES" w:eastAsia="en-US"/>
        </w:rPr>
        <w:t xml:space="preserve"> una</w:t>
      </w:r>
      <w:r w:rsidRPr="009C2DAA">
        <w:rPr>
          <w:rFonts w:eastAsia="Calibri"/>
          <w:color w:val="767171"/>
          <w:spacing w:val="20"/>
          <w:lang w:val="es-ES" w:eastAsia="en-US"/>
        </w:rPr>
        <w:t xml:space="preserve"> agenda de desarrollo común para el fortalecimiento de las capacidades técnicas y buenas prácticas en la supervisión bancaria.  </w:t>
      </w:r>
    </w:p>
    <w:p w14:paraId="4A806CA6" w14:textId="558D1A37" w:rsidR="00A30161" w:rsidRPr="009C2DAA" w:rsidRDefault="00D176AC" w:rsidP="006B204A">
      <w:pPr>
        <w:pStyle w:val="NormalWeb"/>
        <w:spacing w:before="0" w:beforeAutospacing="0" w:after="160" w:afterAutospacing="0" w:line="360" w:lineRule="auto"/>
        <w:jc w:val="both"/>
        <w:rPr>
          <w:rFonts w:eastAsia="Calibri"/>
          <w:color w:val="767171"/>
          <w:spacing w:val="20"/>
          <w:lang w:val="es-ES" w:eastAsia="en-US"/>
        </w:rPr>
      </w:pPr>
      <w:r w:rsidRPr="009C2DAA">
        <w:rPr>
          <w:rFonts w:eastAsia="Calibri"/>
          <w:color w:val="767171"/>
          <w:spacing w:val="20"/>
          <w:lang w:val="es-ES" w:eastAsia="en-US"/>
        </w:rPr>
        <w:t xml:space="preserve">Durante el año 2023, la </w:t>
      </w:r>
      <w:r w:rsidR="00C61504" w:rsidRPr="00C61504">
        <w:rPr>
          <w:rFonts w:eastAsia="Calibri"/>
          <w:color w:val="767171"/>
          <w:spacing w:val="20"/>
          <w:lang w:val="es-ES" w:eastAsia="en-US"/>
        </w:rPr>
        <w:t>Superintendencia de Bancos</w:t>
      </w:r>
      <w:r w:rsidR="00C61504">
        <w:rPr>
          <w:rFonts w:eastAsia="Calibri"/>
          <w:color w:val="767171"/>
          <w:spacing w:val="20"/>
          <w:lang w:val="es-ES" w:eastAsia="en-US"/>
        </w:rPr>
        <w:t xml:space="preserve"> </w:t>
      </w:r>
      <w:r w:rsidRPr="009C2DAA">
        <w:rPr>
          <w:rFonts w:eastAsia="Calibri"/>
          <w:color w:val="767171"/>
          <w:spacing w:val="20"/>
          <w:lang w:val="es-ES" w:eastAsia="en-US"/>
        </w:rPr>
        <w:t>participó de forma activa en los comités y mesas de trabajo de organismos multilaterales como son la Asociación de Supervisores Bancarios de las Américas (ASBA)</w:t>
      </w:r>
      <w:r w:rsidR="00805018">
        <w:rPr>
          <w:rFonts w:eastAsia="Calibri"/>
          <w:color w:val="767171"/>
          <w:spacing w:val="20"/>
          <w:lang w:val="es-ES" w:eastAsia="en-US"/>
        </w:rPr>
        <w:t>, el</w:t>
      </w:r>
      <w:r w:rsidRPr="009C2DAA">
        <w:rPr>
          <w:rFonts w:eastAsia="Calibri"/>
          <w:color w:val="767171"/>
          <w:spacing w:val="20"/>
          <w:lang w:val="es-ES" w:eastAsia="en-US"/>
        </w:rPr>
        <w:t xml:space="preserve"> Consejo Centroamericano de </w:t>
      </w:r>
      <w:r w:rsidRPr="009C2DAA">
        <w:rPr>
          <w:rFonts w:eastAsia="Calibri"/>
          <w:color w:val="767171"/>
          <w:spacing w:val="20"/>
          <w:lang w:val="es-ES" w:eastAsia="en-US"/>
        </w:rPr>
        <w:lastRenderedPageBreak/>
        <w:t xml:space="preserve">Superintendentes de Bancos, de Seguros y otras Instituciones Financieras (CCSBSO), la Alianza para la inclusión Financiera, entre otros. La </w:t>
      </w:r>
      <w:r w:rsidR="00C61504" w:rsidRPr="00C61504">
        <w:rPr>
          <w:rFonts w:eastAsia="Calibri"/>
          <w:color w:val="767171"/>
          <w:spacing w:val="20"/>
          <w:lang w:val="es-ES" w:eastAsia="en-US"/>
        </w:rPr>
        <w:t>Superintendencia de Bancos</w:t>
      </w:r>
      <w:r w:rsidR="00C61504">
        <w:rPr>
          <w:rFonts w:eastAsia="Calibri"/>
          <w:color w:val="767171"/>
          <w:spacing w:val="20"/>
          <w:lang w:val="es-ES" w:eastAsia="en-US"/>
        </w:rPr>
        <w:t xml:space="preserve"> </w:t>
      </w:r>
      <w:r w:rsidRPr="009C2DAA">
        <w:rPr>
          <w:rFonts w:eastAsia="Calibri"/>
          <w:color w:val="767171"/>
          <w:spacing w:val="20"/>
          <w:lang w:val="es-ES" w:eastAsia="en-US"/>
        </w:rPr>
        <w:t xml:space="preserve">asumió un liderazgo destacado en estos </w:t>
      </w:r>
      <w:r w:rsidR="00B743A0">
        <w:rPr>
          <w:rFonts w:eastAsia="Calibri"/>
          <w:color w:val="767171"/>
          <w:spacing w:val="20"/>
          <w:lang w:val="es-ES" w:eastAsia="en-US"/>
        </w:rPr>
        <w:t>espacios</w:t>
      </w:r>
      <w:r w:rsidRPr="009C2DAA">
        <w:rPr>
          <w:rFonts w:eastAsia="Calibri"/>
          <w:color w:val="767171"/>
          <w:spacing w:val="20"/>
          <w:lang w:val="es-ES" w:eastAsia="en-US"/>
        </w:rPr>
        <w:t>, siendo inclusive sede de algunos de sus encuentros, entre los que se destacan:</w:t>
      </w:r>
    </w:p>
    <w:p w14:paraId="12120029" w14:textId="5B883E42" w:rsidR="00023CE7" w:rsidRPr="00D66778" w:rsidRDefault="00023CE7" w:rsidP="006B204A">
      <w:pPr>
        <w:pStyle w:val="paragraph"/>
        <w:spacing w:line="360" w:lineRule="auto"/>
        <w:ind w:left="567"/>
        <w:jc w:val="both"/>
        <w:textAlignment w:val="baseline"/>
        <w:rPr>
          <w:rFonts w:eastAsia="Calibri"/>
          <w:color w:val="767171"/>
          <w:spacing w:val="20"/>
          <w:lang w:val="es-ES" w:eastAsia="en-US"/>
        </w:rPr>
      </w:pPr>
      <w:r w:rsidRPr="00D66778">
        <w:rPr>
          <w:rFonts w:eastAsia="Calibri"/>
          <w:b/>
          <w:bCs/>
          <w:color w:val="808080" w:themeColor="background1" w:themeShade="80"/>
          <w:lang w:eastAsia="en-US"/>
        </w:rPr>
        <w:t>1.</w:t>
      </w:r>
      <w:r w:rsidRPr="00D66778">
        <w:rPr>
          <w:rFonts w:eastAsia="Calibri"/>
          <w:color w:val="808080" w:themeColor="background1" w:themeShade="80"/>
          <w:lang w:eastAsia="en-US"/>
        </w:rPr>
        <w:t xml:space="preserve"> </w:t>
      </w:r>
      <w:r w:rsidRPr="00D66778">
        <w:rPr>
          <w:rFonts w:eastAsia="Calibri"/>
          <w:b/>
          <w:bCs/>
          <w:color w:val="767171"/>
          <w:spacing w:val="20"/>
          <w:lang w:val="es-ES" w:eastAsia="en-US"/>
        </w:rPr>
        <w:t>Reunión del Comité de estándares</w:t>
      </w:r>
      <w:r w:rsidRPr="00D66778">
        <w:rPr>
          <w:rFonts w:eastAsia="Calibri"/>
          <w:color w:val="767171"/>
          <w:spacing w:val="20"/>
          <w:lang w:val="es-ES" w:eastAsia="en-US"/>
        </w:rPr>
        <w:t>. La Superintendencia de Bancos coordinó este encuentro</w:t>
      </w:r>
      <w:r w:rsidR="00FF50E5">
        <w:rPr>
          <w:rFonts w:eastAsia="Calibri"/>
          <w:color w:val="767171"/>
          <w:spacing w:val="20"/>
          <w:lang w:val="es-ES" w:eastAsia="en-US"/>
        </w:rPr>
        <w:t>,</w:t>
      </w:r>
      <w:r w:rsidRPr="00D66778">
        <w:rPr>
          <w:rFonts w:eastAsia="Calibri"/>
          <w:color w:val="767171"/>
          <w:spacing w:val="20"/>
          <w:lang w:val="es-ES" w:eastAsia="en-US"/>
        </w:rPr>
        <w:t xml:space="preserve"> celebrado en Santo Domingo, República Dominicana entre 29 al 31 de marzo</w:t>
      </w:r>
      <w:r w:rsidR="00FF50E5">
        <w:rPr>
          <w:rFonts w:eastAsia="Calibri"/>
          <w:color w:val="767171"/>
          <w:spacing w:val="20"/>
          <w:lang w:val="es-ES" w:eastAsia="en-US"/>
        </w:rPr>
        <w:t>,</w:t>
      </w:r>
      <w:r w:rsidR="00315F0D">
        <w:rPr>
          <w:rFonts w:eastAsia="Calibri"/>
          <w:color w:val="767171"/>
          <w:spacing w:val="20"/>
          <w:lang w:val="es-ES" w:eastAsia="en-US"/>
        </w:rPr>
        <w:t xml:space="preserve"> con el objetivo de</w:t>
      </w:r>
      <w:r w:rsidRPr="00D66778">
        <w:rPr>
          <w:rFonts w:eastAsia="Calibri"/>
          <w:color w:val="767171"/>
          <w:spacing w:val="20"/>
          <w:lang w:val="es-ES" w:eastAsia="en-US"/>
        </w:rPr>
        <w:t xml:space="preserve"> llev</w:t>
      </w:r>
      <w:r w:rsidR="00315F0D">
        <w:rPr>
          <w:rFonts w:eastAsia="Calibri"/>
          <w:color w:val="767171"/>
          <w:spacing w:val="20"/>
          <w:lang w:val="es-ES" w:eastAsia="en-US"/>
        </w:rPr>
        <w:t>ar</w:t>
      </w:r>
      <w:r w:rsidRPr="00D66778">
        <w:rPr>
          <w:rFonts w:eastAsia="Calibri"/>
          <w:color w:val="767171"/>
          <w:spacing w:val="20"/>
          <w:lang w:val="es-ES" w:eastAsia="en-US"/>
        </w:rPr>
        <w:t xml:space="preserve"> a cabo las capacitaciones </w:t>
      </w:r>
      <w:r w:rsidR="00315F0D">
        <w:rPr>
          <w:rFonts w:eastAsia="Calibri"/>
          <w:color w:val="767171"/>
          <w:spacing w:val="20"/>
          <w:lang w:val="es-ES" w:eastAsia="en-US"/>
        </w:rPr>
        <w:t>de</w:t>
      </w:r>
      <w:r w:rsidRPr="00D66778">
        <w:rPr>
          <w:rFonts w:eastAsia="Calibri"/>
          <w:color w:val="767171"/>
          <w:spacing w:val="20"/>
          <w:lang w:val="es-ES" w:eastAsia="en-US"/>
        </w:rPr>
        <w:t xml:space="preserve"> implementación de</w:t>
      </w:r>
      <w:r w:rsidR="00315F0D">
        <w:rPr>
          <w:rFonts w:eastAsia="Calibri"/>
          <w:color w:val="767171"/>
          <w:spacing w:val="20"/>
          <w:lang w:val="es-ES" w:eastAsia="en-US"/>
        </w:rPr>
        <w:t xml:space="preserve"> </w:t>
      </w:r>
      <w:r w:rsidRPr="00D66778">
        <w:rPr>
          <w:rFonts w:eastAsia="Calibri"/>
          <w:color w:val="767171"/>
          <w:spacing w:val="20"/>
          <w:lang w:val="es-ES" w:eastAsia="en-US"/>
        </w:rPr>
        <w:t>Basilea II/III</w:t>
      </w:r>
      <w:r w:rsidR="00F1767C">
        <w:rPr>
          <w:rFonts w:eastAsia="Calibri"/>
          <w:color w:val="767171"/>
          <w:spacing w:val="20"/>
          <w:lang w:val="es-ES" w:eastAsia="en-US"/>
        </w:rPr>
        <w:t>, “</w:t>
      </w:r>
      <w:r w:rsidR="0026267C">
        <w:rPr>
          <w:rFonts w:eastAsia="Calibri"/>
          <w:color w:val="767171"/>
          <w:spacing w:val="20"/>
          <w:lang w:val="es-ES" w:eastAsia="en-US"/>
        </w:rPr>
        <w:t>E</w:t>
      </w:r>
      <w:r w:rsidRPr="00D66778">
        <w:rPr>
          <w:rFonts w:eastAsia="Calibri"/>
          <w:color w:val="767171"/>
          <w:spacing w:val="20"/>
          <w:lang w:val="es-ES" w:eastAsia="en-US"/>
        </w:rPr>
        <w:t>stimación del capital mínimo por riesgo de crédito, mercado y operacional</w:t>
      </w:r>
      <w:r w:rsidR="00F1767C">
        <w:rPr>
          <w:rFonts w:eastAsia="Calibri"/>
          <w:color w:val="767171"/>
          <w:spacing w:val="20"/>
          <w:lang w:val="es-ES" w:eastAsia="en-US"/>
        </w:rPr>
        <w:t>” y “</w:t>
      </w:r>
      <w:r w:rsidRPr="00D66778">
        <w:rPr>
          <w:rFonts w:eastAsia="Calibri"/>
          <w:color w:val="767171"/>
          <w:spacing w:val="20"/>
          <w:lang w:val="es-ES" w:eastAsia="en-US"/>
        </w:rPr>
        <w:t>Situación actual en Centroamérica en materia de marco de capitales</w:t>
      </w:r>
      <w:r w:rsidR="00F1767C">
        <w:rPr>
          <w:rFonts w:eastAsia="Calibri"/>
          <w:color w:val="767171"/>
          <w:spacing w:val="20"/>
          <w:lang w:val="es-ES" w:eastAsia="en-US"/>
        </w:rPr>
        <w:t>”</w:t>
      </w:r>
      <w:r w:rsidRPr="00D66778">
        <w:rPr>
          <w:rFonts w:eastAsia="Calibri"/>
          <w:color w:val="767171"/>
          <w:spacing w:val="20"/>
          <w:lang w:val="es-ES" w:eastAsia="en-US"/>
        </w:rPr>
        <w:t>.</w:t>
      </w:r>
    </w:p>
    <w:p w14:paraId="1D51846B" w14:textId="63C4177C" w:rsidR="00023CE7" w:rsidRDefault="00023CE7" w:rsidP="006B204A">
      <w:pPr>
        <w:pStyle w:val="paragraph"/>
        <w:spacing w:line="360" w:lineRule="auto"/>
        <w:ind w:left="567"/>
        <w:jc w:val="both"/>
        <w:textAlignment w:val="baseline"/>
        <w:rPr>
          <w:rFonts w:eastAsia="Calibri"/>
          <w:color w:val="767171"/>
          <w:spacing w:val="20"/>
          <w:lang w:val="es-ES" w:eastAsia="en-US"/>
        </w:rPr>
      </w:pPr>
      <w:r w:rsidRPr="00D66778">
        <w:rPr>
          <w:rFonts w:eastAsia="Calibri"/>
          <w:b/>
          <w:bCs/>
          <w:color w:val="767171"/>
          <w:spacing w:val="20"/>
          <w:lang w:val="es-ES" w:eastAsia="en-US"/>
        </w:rPr>
        <w:t>2. Reunión del Comité de Normas Contables y Financieras del C</w:t>
      </w:r>
      <w:r w:rsidR="00A32E13" w:rsidRPr="00D66778">
        <w:rPr>
          <w:rFonts w:eastAsia="Calibri"/>
          <w:b/>
          <w:bCs/>
          <w:color w:val="767171"/>
          <w:spacing w:val="20"/>
          <w:lang w:val="es-ES" w:eastAsia="en-US"/>
        </w:rPr>
        <w:t xml:space="preserve">onsejo </w:t>
      </w:r>
      <w:r w:rsidRPr="00D66778">
        <w:rPr>
          <w:rFonts w:eastAsia="Calibri"/>
          <w:b/>
          <w:bCs/>
          <w:color w:val="767171"/>
          <w:spacing w:val="20"/>
          <w:lang w:val="es-ES" w:eastAsia="en-US"/>
        </w:rPr>
        <w:t>C</w:t>
      </w:r>
      <w:r w:rsidR="00A32E13" w:rsidRPr="00D66778">
        <w:rPr>
          <w:rFonts w:eastAsia="Calibri"/>
          <w:b/>
          <w:bCs/>
          <w:color w:val="767171"/>
          <w:spacing w:val="20"/>
          <w:lang w:val="es-ES" w:eastAsia="en-US"/>
        </w:rPr>
        <w:t xml:space="preserve">entroamericano de </w:t>
      </w:r>
      <w:r w:rsidRPr="00D66778">
        <w:rPr>
          <w:rFonts w:eastAsia="Calibri"/>
          <w:b/>
          <w:bCs/>
          <w:color w:val="767171"/>
          <w:spacing w:val="20"/>
          <w:lang w:val="es-ES" w:eastAsia="en-US"/>
        </w:rPr>
        <w:t>S</w:t>
      </w:r>
      <w:r w:rsidR="00A32E13" w:rsidRPr="00D66778">
        <w:rPr>
          <w:rFonts w:eastAsia="Calibri"/>
          <w:b/>
          <w:bCs/>
          <w:color w:val="767171"/>
          <w:spacing w:val="20"/>
          <w:lang w:val="es-ES" w:eastAsia="en-US"/>
        </w:rPr>
        <w:t>uperin</w:t>
      </w:r>
      <w:r w:rsidR="00BB3648" w:rsidRPr="00D66778">
        <w:rPr>
          <w:rFonts w:eastAsia="Calibri"/>
          <w:b/>
          <w:bCs/>
          <w:color w:val="767171"/>
          <w:spacing w:val="20"/>
          <w:lang w:val="es-ES" w:eastAsia="en-US"/>
        </w:rPr>
        <w:t>ten</w:t>
      </w:r>
      <w:r w:rsidR="00A32E13" w:rsidRPr="00D66778">
        <w:rPr>
          <w:rFonts w:eastAsia="Calibri"/>
          <w:b/>
          <w:bCs/>
          <w:color w:val="767171"/>
          <w:spacing w:val="20"/>
          <w:lang w:val="es-ES" w:eastAsia="en-US"/>
        </w:rPr>
        <w:t>de</w:t>
      </w:r>
      <w:r w:rsidR="00BB3648" w:rsidRPr="00D66778">
        <w:rPr>
          <w:rFonts w:eastAsia="Calibri"/>
          <w:b/>
          <w:bCs/>
          <w:color w:val="767171"/>
          <w:spacing w:val="20"/>
          <w:lang w:val="es-ES" w:eastAsia="en-US"/>
        </w:rPr>
        <w:t>nte</w:t>
      </w:r>
      <w:r w:rsidR="00A32E13" w:rsidRPr="00D66778">
        <w:rPr>
          <w:rFonts w:eastAsia="Calibri"/>
          <w:b/>
          <w:bCs/>
          <w:color w:val="767171"/>
          <w:spacing w:val="20"/>
          <w:lang w:val="es-ES" w:eastAsia="en-US"/>
        </w:rPr>
        <w:t xml:space="preserve">s de </w:t>
      </w:r>
      <w:r w:rsidRPr="00D66778">
        <w:rPr>
          <w:rFonts w:eastAsia="Calibri"/>
          <w:b/>
          <w:bCs/>
          <w:color w:val="767171"/>
          <w:spacing w:val="20"/>
          <w:lang w:val="es-ES" w:eastAsia="en-US"/>
        </w:rPr>
        <w:t>B</w:t>
      </w:r>
      <w:r w:rsidR="00BB3648" w:rsidRPr="00D66778">
        <w:rPr>
          <w:rFonts w:eastAsia="Calibri"/>
          <w:b/>
          <w:bCs/>
          <w:color w:val="767171"/>
          <w:spacing w:val="20"/>
          <w:lang w:val="es-ES" w:eastAsia="en-US"/>
        </w:rPr>
        <w:t xml:space="preserve">ancos </w:t>
      </w:r>
      <w:r w:rsidR="00F63875" w:rsidRPr="00D66778">
        <w:rPr>
          <w:rFonts w:eastAsia="Calibri"/>
          <w:b/>
          <w:bCs/>
          <w:color w:val="767171"/>
          <w:spacing w:val="20"/>
          <w:lang w:val="es-ES" w:eastAsia="en-US"/>
        </w:rPr>
        <w:t xml:space="preserve">y de </w:t>
      </w:r>
      <w:r w:rsidRPr="00D66778">
        <w:rPr>
          <w:rFonts w:eastAsia="Calibri"/>
          <w:b/>
          <w:bCs/>
          <w:color w:val="767171"/>
          <w:spacing w:val="20"/>
          <w:lang w:val="es-ES" w:eastAsia="en-US"/>
        </w:rPr>
        <w:t>O</w:t>
      </w:r>
      <w:r w:rsidR="00F63875" w:rsidRPr="00D66778">
        <w:rPr>
          <w:rFonts w:eastAsia="Calibri"/>
          <w:b/>
          <w:bCs/>
          <w:color w:val="767171"/>
          <w:spacing w:val="20"/>
          <w:lang w:val="es-ES" w:eastAsia="en-US"/>
        </w:rPr>
        <w:t xml:space="preserve">tras </w:t>
      </w:r>
      <w:r w:rsidR="00D66778" w:rsidRPr="00D66778">
        <w:rPr>
          <w:rFonts w:eastAsia="Calibri"/>
          <w:b/>
          <w:bCs/>
          <w:color w:val="767171"/>
          <w:spacing w:val="20"/>
          <w:lang w:val="es-ES" w:eastAsia="en-US"/>
        </w:rPr>
        <w:t>Instituciones Financieras (CCSBSO)</w:t>
      </w:r>
      <w:r w:rsidRPr="00D66778">
        <w:rPr>
          <w:rFonts w:eastAsia="Calibri"/>
          <w:b/>
          <w:bCs/>
          <w:color w:val="767171"/>
          <w:spacing w:val="20"/>
          <w:lang w:val="es-ES" w:eastAsia="en-US"/>
        </w:rPr>
        <w:t>.</w:t>
      </w:r>
      <w:r w:rsidRPr="00D66778">
        <w:rPr>
          <w:rFonts w:eastAsia="Calibri"/>
          <w:color w:val="767171"/>
          <w:spacing w:val="20"/>
          <w:lang w:val="es-ES" w:eastAsia="en-US"/>
        </w:rPr>
        <w:t xml:space="preserve"> La Superintendencia de Bancos estuvo a cargo de la organización de la reunión del comité de Normas Contables y Financieras del CCSBSO celebrado en Santo Domingo, los días 20 y 21 de abril. En esta participaron los titulares de las instituciones supervisoras de los países miembros del </w:t>
      </w:r>
      <w:r w:rsidR="00D66778" w:rsidRPr="00D66778">
        <w:rPr>
          <w:rFonts w:eastAsia="Calibri"/>
          <w:color w:val="767171"/>
          <w:spacing w:val="20"/>
          <w:lang w:val="es-ES" w:eastAsia="en-US"/>
        </w:rPr>
        <w:t>Consejo. Durante</w:t>
      </w:r>
      <w:r w:rsidRPr="00D66778">
        <w:rPr>
          <w:rFonts w:eastAsia="Calibri"/>
          <w:color w:val="767171"/>
          <w:spacing w:val="20"/>
          <w:lang w:val="es-ES" w:eastAsia="en-US"/>
        </w:rPr>
        <w:t xml:space="preserve"> la reunión se presentó el estatus del avance de hojas de ruta de las instituciones miembros del CCSBSO, para la implementación de las Normas Internacionales de Información Financiera (NIIF).</w:t>
      </w:r>
    </w:p>
    <w:p w14:paraId="786382C8" w14:textId="77777777" w:rsidR="0057082E" w:rsidRDefault="0057082E" w:rsidP="006B204A">
      <w:pPr>
        <w:pStyle w:val="paragraph"/>
        <w:spacing w:line="360" w:lineRule="auto"/>
        <w:ind w:left="567"/>
        <w:jc w:val="both"/>
        <w:textAlignment w:val="baseline"/>
        <w:rPr>
          <w:rFonts w:eastAsia="Calibri"/>
          <w:color w:val="767171"/>
          <w:spacing w:val="20"/>
          <w:lang w:val="es-ES" w:eastAsia="en-US"/>
        </w:rPr>
      </w:pPr>
    </w:p>
    <w:p w14:paraId="5616AF45" w14:textId="77777777" w:rsidR="0057082E" w:rsidRDefault="0057082E" w:rsidP="006B204A">
      <w:pPr>
        <w:pStyle w:val="paragraph"/>
        <w:spacing w:line="360" w:lineRule="auto"/>
        <w:ind w:left="567"/>
        <w:jc w:val="both"/>
        <w:textAlignment w:val="baseline"/>
        <w:rPr>
          <w:rFonts w:eastAsia="Calibri"/>
          <w:color w:val="767171"/>
          <w:spacing w:val="20"/>
          <w:lang w:val="es-ES" w:eastAsia="en-US"/>
        </w:rPr>
      </w:pPr>
    </w:p>
    <w:p w14:paraId="4EB82AAE" w14:textId="77777777" w:rsidR="0057082E" w:rsidRDefault="0057082E" w:rsidP="006B204A">
      <w:pPr>
        <w:pStyle w:val="paragraph"/>
        <w:spacing w:line="360" w:lineRule="auto"/>
        <w:ind w:left="567"/>
        <w:jc w:val="both"/>
        <w:textAlignment w:val="baseline"/>
        <w:rPr>
          <w:rFonts w:eastAsia="Calibri"/>
          <w:color w:val="767171"/>
          <w:spacing w:val="20"/>
          <w:lang w:val="es-ES" w:eastAsia="en-US"/>
        </w:rPr>
      </w:pPr>
    </w:p>
    <w:p w14:paraId="5DFB54DD" w14:textId="77777777" w:rsidR="0057082E" w:rsidRDefault="0057082E" w:rsidP="006B204A">
      <w:pPr>
        <w:pStyle w:val="paragraph"/>
        <w:spacing w:line="360" w:lineRule="auto"/>
        <w:ind w:left="567"/>
        <w:jc w:val="both"/>
        <w:textAlignment w:val="baseline"/>
        <w:rPr>
          <w:rFonts w:eastAsia="Calibri"/>
          <w:color w:val="767171"/>
          <w:spacing w:val="20"/>
          <w:lang w:val="es-ES" w:eastAsia="en-US"/>
        </w:rPr>
      </w:pPr>
    </w:p>
    <w:p w14:paraId="266957A5" w14:textId="5E2F56CD" w:rsidR="00CD7B60" w:rsidRPr="00CD7B60" w:rsidRDefault="00054DE8" w:rsidP="006B204A">
      <w:pPr>
        <w:pStyle w:val="paragraph"/>
        <w:spacing w:before="0" w:beforeAutospacing="0" w:after="160" w:afterAutospacing="0" w:line="360" w:lineRule="auto"/>
        <w:jc w:val="both"/>
        <w:textAlignment w:val="baseline"/>
        <w:rPr>
          <w:rFonts w:eastAsia="Calibri"/>
          <w:color w:val="767171"/>
          <w:spacing w:val="20"/>
          <w:lang w:val="es-ES" w:eastAsia="en-US"/>
        </w:rPr>
      </w:pPr>
      <w:r w:rsidRPr="00CD7B60">
        <w:rPr>
          <w:rFonts w:eastAsia="Calibri"/>
          <w:color w:val="767171"/>
          <w:spacing w:val="20"/>
          <w:lang w:val="es-ES" w:eastAsia="en-US"/>
        </w:rPr>
        <w:t>En cuanto a los acuerdos firmados durante este año, podemos mencionar los siguientes:</w:t>
      </w:r>
    </w:p>
    <w:p w14:paraId="23798306" w14:textId="2863637A" w:rsidR="00054DE8" w:rsidRPr="009C2DAA" w:rsidRDefault="00CD7B60" w:rsidP="006B204A">
      <w:pPr>
        <w:pStyle w:val="paragraph"/>
        <w:spacing w:before="0" w:beforeAutospacing="0" w:after="160" w:afterAutospacing="0" w:line="360" w:lineRule="auto"/>
        <w:jc w:val="center"/>
        <w:textAlignment w:val="baseline"/>
        <w:rPr>
          <w:rFonts w:eastAsia="Calibri"/>
          <w:b/>
          <w:bCs/>
          <w:color w:val="767171"/>
          <w:spacing w:val="20"/>
          <w:lang w:val="es-ES" w:eastAsia="en-US"/>
        </w:rPr>
      </w:pPr>
      <w:r w:rsidRPr="0020248C">
        <w:rPr>
          <w:rFonts w:eastAsia="Calibri"/>
          <w:b/>
          <w:bCs/>
          <w:color w:val="767171"/>
          <w:spacing w:val="20"/>
          <w:lang w:val="es-ES" w:eastAsia="en-US"/>
        </w:rPr>
        <w:t xml:space="preserve">Tabla </w:t>
      </w:r>
      <w:r w:rsidR="00324A48" w:rsidRPr="0020248C">
        <w:rPr>
          <w:rFonts w:eastAsia="Calibri"/>
          <w:b/>
          <w:bCs/>
          <w:color w:val="767171"/>
          <w:spacing w:val="20"/>
          <w:lang w:val="es-ES" w:eastAsia="en-US"/>
        </w:rPr>
        <w:t>7</w:t>
      </w:r>
      <w:r w:rsidR="00DA6723" w:rsidRPr="0020248C">
        <w:rPr>
          <w:rFonts w:eastAsia="Calibri"/>
          <w:b/>
          <w:bCs/>
          <w:color w:val="767171"/>
          <w:spacing w:val="20"/>
          <w:lang w:val="es-ES" w:eastAsia="en-US"/>
        </w:rPr>
        <w:t xml:space="preserve">: </w:t>
      </w:r>
      <w:r w:rsidR="00054DE8" w:rsidRPr="0020248C">
        <w:rPr>
          <w:rFonts w:eastAsia="Calibri"/>
          <w:b/>
          <w:bCs/>
          <w:color w:val="767171"/>
          <w:spacing w:val="20"/>
          <w:lang w:val="es-ES" w:eastAsia="en-US"/>
        </w:rPr>
        <w:t>Acuerdos firmados</w:t>
      </w:r>
    </w:p>
    <w:tbl>
      <w:tblPr>
        <w:tblW w:w="9200" w:type="dxa"/>
        <w:jc w:val="center"/>
        <w:tblCellMar>
          <w:left w:w="70" w:type="dxa"/>
          <w:right w:w="70" w:type="dxa"/>
        </w:tblCellMar>
        <w:tblLook w:val="04A0" w:firstRow="1" w:lastRow="0" w:firstColumn="1" w:lastColumn="0" w:noHBand="0" w:noVBand="1"/>
      </w:tblPr>
      <w:tblGrid>
        <w:gridCol w:w="2560"/>
        <w:gridCol w:w="6640"/>
      </w:tblGrid>
      <w:tr w:rsidR="00054DE8" w:rsidRPr="00CD7B60" w14:paraId="45DA6377" w14:textId="77777777" w:rsidTr="001E3FF2">
        <w:trPr>
          <w:trHeight w:val="485"/>
          <w:tblHeader/>
          <w:jc w:val="center"/>
        </w:trPr>
        <w:tc>
          <w:tcPr>
            <w:tcW w:w="2560" w:type="dxa"/>
            <w:tcBorders>
              <w:top w:val="nil"/>
              <w:left w:val="nil"/>
              <w:bottom w:val="nil"/>
              <w:right w:val="nil"/>
            </w:tcBorders>
            <w:shd w:val="clear" w:color="auto" w:fill="002060"/>
            <w:noWrap/>
            <w:vAlign w:val="center"/>
            <w:hideMark/>
          </w:tcPr>
          <w:p w14:paraId="07A448DC" w14:textId="76B40C7F" w:rsidR="00054DE8" w:rsidRPr="008B7DCC" w:rsidRDefault="006E69AA" w:rsidP="006B204A">
            <w:pPr>
              <w:spacing w:after="0" w:line="240" w:lineRule="auto"/>
              <w:jc w:val="center"/>
              <w:rPr>
                <w:rFonts w:eastAsia="Times New Roman"/>
                <w:b/>
                <w:color w:val="FFFFFF" w:themeColor="background1"/>
                <w:lang w:val="es-DO" w:eastAsia="es-DO"/>
              </w:rPr>
            </w:pPr>
            <w:r w:rsidRPr="008B7DCC">
              <w:rPr>
                <w:rFonts w:eastAsia="Times New Roman"/>
                <w:b/>
                <w:color w:val="FFFFFF" w:themeColor="background1"/>
                <w:lang w:val="es-DO" w:eastAsia="es-DO"/>
              </w:rPr>
              <w:t>Institución</w:t>
            </w:r>
          </w:p>
        </w:tc>
        <w:tc>
          <w:tcPr>
            <w:tcW w:w="6640" w:type="dxa"/>
            <w:tcBorders>
              <w:top w:val="nil"/>
              <w:left w:val="nil"/>
              <w:bottom w:val="nil"/>
              <w:right w:val="nil"/>
            </w:tcBorders>
            <w:shd w:val="clear" w:color="auto" w:fill="002060"/>
            <w:noWrap/>
            <w:vAlign w:val="center"/>
            <w:hideMark/>
          </w:tcPr>
          <w:p w14:paraId="448BE4EE" w14:textId="77777777" w:rsidR="00054DE8" w:rsidRPr="008B7DCC" w:rsidRDefault="00054DE8" w:rsidP="006B204A">
            <w:pPr>
              <w:spacing w:after="0" w:line="240" w:lineRule="auto"/>
              <w:jc w:val="center"/>
              <w:rPr>
                <w:rFonts w:eastAsia="Times New Roman"/>
                <w:b/>
                <w:color w:val="FFFFFF" w:themeColor="background1"/>
                <w:lang w:val="es-DO" w:eastAsia="es-DO"/>
              </w:rPr>
            </w:pPr>
            <w:r w:rsidRPr="008B7DCC">
              <w:rPr>
                <w:rFonts w:eastAsia="Times New Roman"/>
                <w:b/>
                <w:color w:val="FFFFFF" w:themeColor="background1"/>
                <w:lang w:val="es-DO" w:eastAsia="es-DO"/>
              </w:rPr>
              <w:t>Objetivo</w:t>
            </w:r>
          </w:p>
        </w:tc>
      </w:tr>
      <w:tr w:rsidR="00054DE8" w:rsidRPr="00274E67" w14:paraId="44DABA9E" w14:textId="77777777" w:rsidTr="009C2DAA">
        <w:trPr>
          <w:trHeight w:val="2260"/>
          <w:jc w:val="center"/>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6A05F" w14:textId="44DD1BC7" w:rsidR="00054DE8" w:rsidRPr="008B7DCC" w:rsidRDefault="00054DE8" w:rsidP="006B204A">
            <w:pPr>
              <w:spacing w:after="0" w:line="360" w:lineRule="auto"/>
              <w:jc w:val="center"/>
              <w:rPr>
                <w:rFonts w:eastAsia="Times New Roman"/>
                <w:b/>
                <w:color w:val="808080" w:themeColor="background1" w:themeShade="80"/>
                <w:lang w:val="es-DO" w:eastAsia="es-DO"/>
              </w:rPr>
            </w:pPr>
            <w:r w:rsidRPr="008B7DCC">
              <w:rPr>
                <w:rFonts w:eastAsia="Times New Roman"/>
                <w:b/>
                <w:color w:val="808080" w:themeColor="background1" w:themeShade="80"/>
                <w:lang w:val="es-DO" w:eastAsia="es-DO"/>
              </w:rPr>
              <w:t>Escuela Nacional de la Judicatura</w:t>
            </w:r>
          </w:p>
          <w:p w14:paraId="72E35C09" w14:textId="77777777" w:rsidR="00054DE8" w:rsidRPr="008B7DCC" w:rsidRDefault="00054DE8" w:rsidP="006B204A">
            <w:pPr>
              <w:spacing w:after="0" w:line="360" w:lineRule="auto"/>
              <w:jc w:val="center"/>
              <w:rPr>
                <w:rFonts w:eastAsia="Times New Roman"/>
                <w:b/>
                <w:color w:val="808080" w:themeColor="background1" w:themeShade="80"/>
                <w:lang w:val="es-DO" w:eastAsia="es-DO"/>
              </w:rPr>
            </w:pPr>
            <w:r w:rsidRPr="008B7DCC">
              <w:rPr>
                <w:rFonts w:eastAsia="Times New Roman"/>
                <w:b/>
                <w:color w:val="808080" w:themeColor="background1" w:themeShade="80"/>
                <w:lang w:val="es-DO" w:eastAsia="es-DO"/>
              </w:rPr>
              <w:t>ENJ</w:t>
            </w:r>
          </w:p>
        </w:tc>
        <w:tc>
          <w:tcPr>
            <w:tcW w:w="6640" w:type="dxa"/>
            <w:tcBorders>
              <w:top w:val="single" w:sz="4" w:space="0" w:color="auto"/>
              <w:left w:val="nil"/>
              <w:bottom w:val="single" w:sz="4" w:space="0" w:color="auto"/>
              <w:right w:val="single" w:sz="4" w:space="0" w:color="auto"/>
            </w:tcBorders>
            <w:shd w:val="clear" w:color="auto" w:fill="auto"/>
            <w:vAlign w:val="center"/>
            <w:hideMark/>
          </w:tcPr>
          <w:p w14:paraId="174ECB52" w14:textId="77777777" w:rsidR="00054DE8" w:rsidRPr="008B7DCC" w:rsidRDefault="00054DE8" w:rsidP="006B204A">
            <w:pPr>
              <w:spacing w:after="0" w:line="360" w:lineRule="auto"/>
              <w:jc w:val="center"/>
              <w:rPr>
                <w:rFonts w:eastAsia="Times New Roman"/>
                <w:color w:val="808080" w:themeColor="background1" w:themeShade="80"/>
                <w:lang w:val="es-DO" w:eastAsia="es-DO"/>
              </w:rPr>
            </w:pPr>
            <w:r w:rsidRPr="008B7DCC">
              <w:rPr>
                <w:rFonts w:eastAsia="Times New Roman"/>
                <w:color w:val="808080" w:themeColor="background1" w:themeShade="80"/>
                <w:lang w:val="es-DO" w:eastAsia="es-DO"/>
              </w:rPr>
              <w:t>Establecer el marco de cooperación interinstitucional que delimite las responsabilidades que resulten necesarias para la publicación de un compendio contentivo de las decisiones judiciales en materia de regulación financiera.</w:t>
            </w:r>
          </w:p>
        </w:tc>
      </w:tr>
      <w:tr w:rsidR="00054DE8" w:rsidRPr="00274E67" w14:paraId="5154DC18" w14:textId="77777777" w:rsidTr="009C2DAA">
        <w:trPr>
          <w:trHeight w:val="1839"/>
          <w:jc w:val="center"/>
        </w:trPr>
        <w:tc>
          <w:tcPr>
            <w:tcW w:w="2560" w:type="dxa"/>
            <w:tcBorders>
              <w:top w:val="nil"/>
              <w:left w:val="single" w:sz="4" w:space="0" w:color="auto"/>
              <w:bottom w:val="single" w:sz="4" w:space="0" w:color="auto"/>
              <w:right w:val="single" w:sz="4" w:space="0" w:color="auto"/>
            </w:tcBorders>
            <w:shd w:val="clear" w:color="auto" w:fill="auto"/>
            <w:vAlign w:val="center"/>
            <w:hideMark/>
          </w:tcPr>
          <w:p w14:paraId="16361139" w14:textId="77777777" w:rsidR="00054DE8" w:rsidRPr="008B7DCC" w:rsidRDefault="00054DE8" w:rsidP="006B204A">
            <w:pPr>
              <w:spacing w:after="0" w:line="360" w:lineRule="auto"/>
              <w:jc w:val="center"/>
              <w:rPr>
                <w:rFonts w:eastAsia="Times New Roman"/>
                <w:b/>
                <w:color w:val="808080" w:themeColor="background1" w:themeShade="80"/>
                <w:lang w:val="es-DO" w:eastAsia="es-DO"/>
              </w:rPr>
            </w:pPr>
            <w:r w:rsidRPr="008B7DCC">
              <w:rPr>
                <w:rFonts w:eastAsia="Times New Roman"/>
                <w:b/>
                <w:color w:val="808080" w:themeColor="background1" w:themeShade="80"/>
                <w:lang w:val="es-DO" w:eastAsia="es-DO"/>
              </w:rPr>
              <w:t>Instituto Tecnológico de Santo Domingo</w:t>
            </w:r>
          </w:p>
          <w:p w14:paraId="333F78AC" w14:textId="77777777" w:rsidR="00054DE8" w:rsidRPr="008B7DCC" w:rsidRDefault="00054DE8" w:rsidP="006B204A">
            <w:pPr>
              <w:spacing w:after="0" w:line="360" w:lineRule="auto"/>
              <w:jc w:val="center"/>
              <w:rPr>
                <w:rFonts w:eastAsia="Times New Roman"/>
                <w:b/>
                <w:color w:val="808080" w:themeColor="background1" w:themeShade="80"/>
                <w:lang w:val="es-DO" w:eastAsia="es-DO"/>
              </w:rPr>
            </w:pPr>
            <w:r w:rsidRPr="008B7DCC">
              <w:rPr>
                <w:rFonts w:eastAsia="Times New Roman"/>
                <w:b/>
                <w:color w:val="808080" w:themeColor="background1" w:themeShade="80"/>
                <w:lang w:val="es-DO" w:eastAsia="es-DO"/>
              </w:rPr>
              <w:t>ITLA</w:t>
            </w:r>
          </w:p>
        </w:tc>
        <w:tc>
          <w:tcPr>
            <w:tcW w:w="6640" w:type="dxa"/>
            <w:tcBorders>
              <w:top w:val="nil"/>
              <w:left w:val="nil"/>
              <w:bottom w:val="single" w:sz="4" w:space="0" w:color="auto"/>
              <w:right w:val="single" w:sz="4" w:space="0" w:color="auto"/>
            </w:tcBorders>
            <w:shd w:val="clear" w:color="auto" w:fill="auto"/>
            <w:vAlign w:val="center"/>
            <w:hideMark/>
          </w:tcPr>
          <w:p w14:paraId="25052478" w14:textId="77777777" w:rsidR="00054DE8" w:rsidRPr="008B7DCC" w:rsidRDefault="00054DE8" w:rsidP="006B204A">
            <w:pPr>
              <w:spacing w:after="0" w:line="360" w:lineRule="auto"/>
              <w:jc w:val="center"/>
              <w:rPr>
                <w:rFonts w:eastAsia="Times New Roman"/>
                <w:color w:val="808080" w:themeColor="background1" w:themeShade="80"/>
                <w:lang w:val="es-DO" w:eastAsia="es-DO"/>
              </w:rPr>
            </w:pPr>
            <w:r w:rsidRPr="008B7DCC">
              <w:rPr>
                <w:rFonts w:eastAsia="Times New Roman"/>
                <w:color w:val="808080" w:themeColor="background1" w:themeShade="80"/>
                <w:lang w:val="es-DO" w:eastAsia="es-DO"/>
              </w:rPr>
              <w:t>Otorgar 10 becas de estudio en disciplinas STEM a mujeres bachilleres dominicanas.</w:t>
            </w:r>
          </w:p>
        </w:tc>
      </w:tr>
      <w:tr w:rsidR="00054DE8" w:rsidRPr="00274E67" w14:paraId="621CCBA3" w14:textId="77777777" w:rsidTr="009C2DAA">
        <w:trPr>
          <w:trHeight w:val="2160"/>
          <w:jc w:val="center"/>
        </w:trPr>
        <w:tc>
          <w:tcPr>
            <w:tcW w:w="2560" w:type="dxa"/>
            <w:tcBorders>
              <w:top w:val="nil"/>
              <w:left w:val="single" w:sz="4" w:space="0" w:color="auto"/>
              <w:bottom w:val="single" w:sz="4" w:space="0" w:color="auto"/>
              <w:right w:val="single" w:sz="4" w:space="0" w:color="auto"/>
            </w:tcBorders>
            <w:shd w:val="clear" w:color="auto" w:fill="auto"/>
            <w:noWrap/>
            <w:vAlign w:val="center"/>
            <w:hideMark/>
          </w:tcPr>
          <w:p w14:paraId="3F8C7004" w14:textId="717F6F97" w:rsidR="00054DE8" w:rsidRPr="008B7DCC" w:rsidRDefault="00054DE8" w:rsidP="006B204A">
            <w:pPr>
              <w:spacing w:after="0" w:line="360" w:lineRule="auto"/>
              <w:jc w:val="center"/>
              <w:rPr>
                <w:rFonts w:eastAsia="Times New Roman"/>
                <w:b/>
                <w:color w:val="808080" w:themeColor="background1" w:themeShade="80"/>
                <w:lang w:val="es-DO" w:eastAsia="es-DO"/>
              </w:rPr>
            </w:pPr>
            <w:r w:rsidRPr="008B7DCC">
              <w:rPr>
                <w:rFonts w:eastAsia="Times New Roman"/>
                <w:b/>
                <w:color w:val="808080" w:themeColor="background1" w:themeShade="80"/>
                <w:lang w:val="es-DO" w:eastAsia="es-DO"/>
              </w:rPr>
              <w:t>Archivo General de la Nación</w:t>
            </w:r>
          </w:p>
          <w:p w14:paraId="09B2277E" w14:textId="77777777" w:rsidR="00054DE8" w:rsidRPr="008B7DCC" w:rsidRDefault="00054DE8" w:rsidP="006B204A">
            <w:pPr>
              <w:spacing w:after="0" w:line="360" w:lineRule="auto"/>
              <w:jc w:val="center"/>
              <w:rPr>
                <w:rFonts w:eastAsia="Times New Roman"/>
                <w:b/>
                <w:color w:val="808080" w:themeColor="background1" w:themeShade="80"/>
                <w:lang w:val="es-DO" w:eastAsia="es-DO"/>
              </w:rPr>
            </w:pPr>
            <w:r w:rsidRPr="008B7DCC">
              <w:rPr>
                <w:rFonts w:eastAsia="Times New Roman"/>
                <w:b/>
                <w:color w:val="808080" w:themeColor="background1" w:themeShade="80"/>
                <w:lang w:val="es-DO" w:eastAsia="es-DO"/>
              </w:rPr>
              <w:t>AGN</w:t>
            </w:r>
          </w:p>
        </w:tc>
        <w:tc>
          <w:tcPr>
            <w:tcW w:w="6640" w:type="dxa"/>
            <w:tcBorders>
              <w:top w:val="nil"/>
              <w:left w:val="nil"/>
              <w:bottom w:val="single" w:sz="4" w:space="0" w:color="auto"/>
              <w:right w:val="single" w:sz="4" w:space="0" w:color="auto"/>
            </w:tcBorders>
            <w:shd w:val="clear" w:color="auto" w:fill="auto"/>
            <w:vAlign w:val="center"/>
            <w:hideMark/>
          </w:tcPr>
          <w:p w14:paraId="12A1BEAE" w14:textId="5F1767B1" w:rsidR="00054DE8" w:rsidRPr="008B7DCC" w:rsidRDefault="00054DE8" w:rsidP="006B204A">
            <w:pPr>
              <w:spacing w:after="0" w:line="360" w:lineRule="auto"/>
              <w:jc w:val="center"/>
              <w:rPr>
                <w:rFonts w:eastAsia="Times New Roman"/>
                <w:color w:val="808080" w:themeColor="background1" w:themeShade="80"/>
                <w:lang w:val="es-DO" w:eastAsia="es-DO"/>
              </w:rPr>
            </w:pPr>
            <w:r w:rsidRPr="008B7DCC">
              <w:rPr>
                <w:rFonts w:eastAsia="Times New Roman"/>
                <w:color w:val="808080" w:themeColor="background1" w:themeShade="80"/>
                <w:lang w:val="es-DO" w:eastAsia="es-DO"/>
              </w:rPr>
              <w:t xml:space="preserve">Establecer un marco general de cooperación entre el AGN y la </w:t>
            </w:r>
            <w:r w:rsidR="00C61504" w:rsidRPr="00C61504">
              <w:rPr>
                <w:rFonts w:eastAsia="Times New Roman"/>
                <w:color w:val="808080" w:themeColor="background1" w:themeShade="80"/>
                <w:lang w:val="es-DO" w:eastAsia="es-DO"/>
              </w:rPr>
              <w:t>Superintendencia de Bancos</w:t>
            </w:r>
            <w:r w:rsidR="00C61504">
              <w:rPr>
                <w:rFonts w:eastAsia="Times New Roman"/>
                <w:color w:val="808080" w:themeColor="background1" w:themeShade="80"/>
                <w:lang w:val="es-DO" w:eastAsia="es-DO"/>
              </w:rPr>
              <w:t xml:space="preserve"> </w:t>
            </w:r>
            <w:r w:rsidRPr="008B7DCC">
              <w:rPr>
                <w:rFonts w:eastAsia="Times New Roman"/>
                <w:color w:val="808080" w:themeColor="background1" w:themeShade="80"/>
                <w:lang w:val="es-DO" w:eastAsia="es-DO"/>
              </w:rPr>
              <w:t>para impulsar estrategias y realización de actividades conjuntas relacionadas con los fines inherentes a las partes.</w:t>
            </w:r>
          </w:p>
        </w:tc>
      </w:tr>
      <w:tr w:rsidR="00054DE8" w:rsidRPr="00274E67" w14:paraId="61667338" w14:textId="77777777" w:rsidTr="009C2DAA">
        <w:trPr>
          <w:trHeight w:val="2117"/>
          <w:jc w:val="center"/>
        </w:trPr>
        <w:tc>
          <w:tcPr>
            <w:tcW w:w="2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D0F6C" w14:textId="77777777" w:rsidR="00054DE8" w:rsidRPr="008B7DCC" w:rsidRDefault="00054DE8" w:rsidP="006B204A">
            <w:pPr>
              <w:spacing w:after="0" w:line="360" w:lineRule="auto"/>
              <w:jc w:val="center"/>
              <w:rPr>
                <w:rFonts w:eastAsia="Times New Roman"/>
                <w:b/>
                <w:color w:val="808080" w:themeColor="background1" w:themeShade="80"/>
                <w:lang w:val="es-DO" w:eastAsia="es-DO"/>
              </w:rPr>
            </w:pPr>
            <w:r w:rsidRPr="008B7DCC">
              <w:rPr>
                <w:rFonts w:eastAsia="Times New Roman"/>
                <w:b/>
                <w:color w:val="808080" w:themeColor="background1" w:themeShade="80"/>
                <w:lang w:val="es-DO" w:eastAsia="es-DO"/>
              </w:rPr>
              <w:t xml:space="preserve">Project Management </w:t>
            </w:r>
            <w:proofErr w:type="spellStart"/>
            <w:r w:rsidRPr="008B7DCC">
              <w:rPr>
                <w:rFonts w:eastAsia="Times New Roman"/>
                <w:b/>
                <w:color w:val="808080" w:themeColor="background1" w:themeShade="80"/>
                <w:lang w:val="es-DO" w:eastAsia="es-DO"/>
              </w:rPr>
              <w:t>Institute</w:t>
            </w:r>
            <w:proofErr w:type="spellEnd"/>
          </w:p>
          <w:p w14:paraId="41056898" w14:textId="77777777" w:rsidR="00054DE8" w:rsidRPr="008B7DCC" w:rsidRDefault="00054DE8" w:rsidP="006B204A">
            <w:pPr>
              <w:spacing w:after="0" w:line="360" w:lineRule="auto"/>
              <w:jc w:val="center"/>
              <w:rPr>
                <w:rFonts w:eastAsia="Times New Roman"/>
                <w:b/>
                <w:color w:val="808080" w:themeColor="background1" w:themeShade="80"/>
                <w:lang w:val="es-DO" w:eastAsia="es-DO"/>
              </w:rPr>
            </w:pPr>
            <w:r w:rsidRPr="008B7DCC">
              <w:rPr>
                <w:rFonts w:eastAsia="Times New Roman"/>
                <w:b/>
                <w:color w:val="808080" w:themeColor="background1" w:themeShade="80"/>
                <w:lang w:val="es-DO" w:eastAsia="es-DO"/>
              </w:rPr>
              <w:t>PMI</w:t>
            </w:r>
          </w:p>
        </w:tc>
        <w:tc>
          <w:tcPr>
            <w:tcW w:w="6640" w:type="dxa"/>
            <w:tcBorders>
              <w:top w:val="single" w:sz="4" w:space="0" w:color="auto"/>
              <w:left w:val="nil"/>
              <w:bottom w:val="single" w:sz="4" w:space="0" w:color="auto"/>
              <w:right w:val="single" w:sz="4" w:space="0" w:color="auto"/>
            </w:tcBorders>
            <w:shd w:val="clear" w:color="auto" w:fill="auto"/>
            <w:vAlign w:val="center"/>
            <w:hideMark/>
          </w:tcPr>
          <w:p w14:paraId="078A5834" w14:textId="77777777" w:rsidR="00054DE8" w:rsidRPr="008B7DCC" w:rsidRDefault="00054DE8" w:rsidP="006B204A">
            <w:pPr>
              <w:spacing w:after="0" w:line="360" w:lineRule="auto"/>
              <w:jc w:val="center"/>
              <w:rPr>
                <w:rFonts w:eastAsia="Times New Roman"/>
                <w:color w:val="808080" w:themeColor="background1" w:themeShade="80"/>
                <w:lang w:val="es-DO" w:eastAsia="es-DO"/>
              </w:rPr>
            </w:pPr>
            <w:r w:rsidRPr="008B7DCC">
              <w:rPr>
                <w:rFonts w:eastAsia="Times New Roman"/>
                <w:color w:val="808080" w:themeColor="background1" w:themeShade="80"/>
                <w:lang w:val="es-DO" w:eastAsia="es-DO"/>
              </w:rPr>
              <w:t>Impulsar una estrategia que procure promover y difundir las buenas prácticas de dirección de proyectos de la Superintendencia a partir del diseño de un plan de trabajo.</w:t>
            </w:r>
          </w:p>
        </w:tc>
      </w:tr>
    </w:tbl>
    <w:p w14:paraId="34914535" w14:textId="3AB6E440" w:rsidR="00D70BEE" w:rsidRDefault="00141920" w:rsidP="006B204A">
      <w:pPr>
        <w:tabs>
          <w:tab w:val="left" w:pos="6420"/>
        </w:tabs>
        <w:spacing w:line="360" w:lineRule="auto"/>
        <w:jc w:val="center"/>
        <w:rPr>
          <w:lang w:val="es-DO"/>
        </w:rPr>
      </w:pPr>
      <w:r w:rsidRPr="00FD2D87">
        <w:rPr>
          <w:b/>
          <w:bCs/>
          <w:lang w:val="es-DO"/>
        </w:rPr>
        <w:t>Fuente</w:t>
      </w:r>
      <w:r w:rsidRPr="00FD2D87">
        <w:rPr>
          <w:lang w:val="es-DO"/>
        </w:rPr>
        <w:t>: Superintendencia</w:t>
      </w:r>
      <w:r w:rsidR="00D70BEE" w:rsidRPr="00FD2D87">
        <w:rPr>
          <w:lang w:val="es-DO"/>
        </w:rPr>
        <w:t xml:space="preserve"> de Bancos de la República Dominicana</w:t>
      </w:r>
      <w:r>
        <w:rPr>
          <w:lang w:val="es-DO"/>
        </w:rPr>
        <w:t>, Departamento de Planificación y Relaciones Interinstitucionales.</w:t>
      </w:r>
    </w:p>
    <w:p w14:paraId="12869643" w14:textId="3EEBDA9A" w:rsidR="00054DE8" w:rsidRPr="00054DE8" w:rsidRDefault="00054DE8" w:rsidP="006B204A">
      <w:pPr>
        <w:pStyle w:val="paragraph"/>
        <w:spacing w:before="0" w:beforeAutospacing="0" w:after="0" w:afterAutospacing="0" w:line="360" w:lineRule="auto"/>
        <w:jc w:val="both"/>
        <w:textAlignment w:val="baseline"/>
        <w:rPr>
          <w:rFonts w:eastAsia="Calibri"/>
          <w:color w:val="767171"/>
          <w:spacing w:val="20"/>
          <w:lang w:eastAsia="en-US"/>
        </w:rPr>
      </w:pPr>
    </w:p>
    <w:p w14:paraId="1F86D80C" w14:textId="3743CB2A" w:rsidR="00E52ED4" w:rsidRDefault="0014465A" w:rsidP="006B204A">
      <w:pPr>
        <w:pStyle w:val="Estilo3"/>
        <w:spacing w:before="0" w:after="160" w:line="360" w:lineRule="auto"/>
        <w:rPr>
          <w:b/>
          <w:szCs w:val="24"/>
        </w:rPr>
      </w:pPr>
      <w:bookmarkStart w:id="91" w:name="_Toc122435020"/>
      <w:bookmarkStart w:id="92" w:name="_Toc123046925"/>
      <w:bookmarkStart w:id="93" w:name="_Toc155354622"/>
      <w:r>
        <w:rPr>
          <w:b/>
          <w:szCs w:val="24"/>
        </w:rPr>
        <w:lastRenderedPageBreak/>
        <w:t>4</w:t>
      </w:r>
      <w:r w:rsidR="00E52ED4" w:rsidRPr="00C865B6">
        <w:rPr>
          <w:b/>
          <w:szCs w:val="24"/>
        </w:rPr>
        <w:t xml:space="preserve">.4 Desempeño de la </w:t>
      </w:r>
      <w:bookmarkEnd w:id="91"/>
      <w:bookmarkEnd w:id="92"/>
      <w:r w:rsidR="00630E6F">
        <w:rPr>
          <w:b/>
          <w:szCs w:val="24"/>
        </w:rPr>
        <w:t>T</w:t>
      </w:r>
      <w:r w:rsidR="00E52ED4" w:rsidRPr="00C865B6">
        <w:rPr>
          <w:b/>
          <w:szCs w:val="24"/>
        </w:rPr>
        <w:t>ecnología</w:t>
      </w:r>
      <w:bookmarkEnd w:id="93"/>
    </w:p>
    <w:p w14:paraId="4F31740C" w14:textId="682BFE21" w:rsidR="0029445B" w:rsidRPr="0029445B" w:rsidRDefault="00363765" w:rsidP="006B204A">
      <w:pPr>
        <w:pStyle w:val="paragraph"/>
        <w:spacing w:before="0" w:beforeAutospacing="0" w:after="160" w:afterAutospacing="0" w:line="360" w:lineRule="auto"/>
        <w:jc w:val="both"/>
        <w:textAlignment w:val="baseline"/>
        <w:rPr>
          <w:rFonts w:eastAsia="Calibri"/>
          <w:color w:val="767171"/>
          <w:spacing w:val="20"/>
          <w:lang w:val="es-ES" w:eastAsia="en-US"/>
        </w:rPr>
      </w:pPr>
      <w:r>
        <w:rPr>
          <w:rFonts w:eastAsia="Calibri"/>
          <w:color w:val="767171"/>
          <w:spacing w:val="20"/>
          <w:lang w:val="es-ES" w:eastAsia="en-US"/>
        </w:rPr>
        <w:t>D</w:t>
      </w:r>
      <w:r w:rsidRPr="0029445B">
        <w:rPr>
          <w:rFonts w:eastAsia="Calibri"/>
          <w:color w:val="767171"/>
          <w:spacing w:val="20"/>
          <w:lang w:val="es-ES" w:eastAsia="en-US"/>
        </w:rPr>
        <w:t>urante el año 2023</w:t>
      </w:r>
      <w:r>
        <w:rPr>
          <w:rFonts w:eastAsia="Calibri"/>
          <w:color w:val="767171"/>
          <w:spacing w:val="20"/>
          <w:lang w:val="es-ES" w:eastAsia="en-US"/>
        </w:rPr>
        <w:t>, l</w:t>
      </w:r>
      <w:r w:rsidR="0029445B" w:rsidRPr="0029445B">
        <w:rPr>
          <w:rFonts w:eastAsia="Calibri"/>
          <w:color w:val="767171"/>
          <w:spacing w:val="20"/>
          <w:lang w:val="es-ES" w:eastAsia="en-US"/>
        </w:rPr>
        <w:t xml:space="preserve">a Superintendencia de Bancos de la República Dominicana </w:t>
      </w:r>
      <w:r w:rsidR="00CA0F66">
        <w:rPr>
          <w:rFonts w:eastAsia="Calibri"/>
          <w:color w:val="767171"/>
          <w:spacing w:val="20"/>
          <w:lang w:val="es-ES" w:eastAsia="en-US"/>
        </w:rPr>
        <w:t>realizó</w:t>
      </w:r>
      <w:r w:rsidR="0029445B" w:rsidRPr="0029445B">
        <w:rPr>
          <w:rFonts w:eastAsia="Calibri"/>
          <w:color w:val="767171"/>
          <w:spacing w:val="20"/>
          <w:lang w:val="es-ES" w:eastAsia="en-US"/>
        </w:rPr>
        <w:t xml:space="preserve"> significativos avances en </w:t>
      </w:r>
      <w:r w:rsidR="00D86536">
        <w:rPr>
          <w:rFonts w:eastAsia="Calibri"/>
          <w:color w:val="767171"/>
          <w:spacing w:val="20"/>
          <w:lang w:val="es-ES" w:eastAsia="en-US"/>
        </w:rPr>
        <w:t>la transformación digital de sus procesos mediante el uso</w:t>
      </w:r>
      <w:r w:rsidR="0029445B" w:rsidRPr="0029445B">
        <w:rPr>
          <w:rFonts w:eastAsia="Calibri"/>
          <w:color w:val="767171"/>
          <w:spacing w:val="20"/>
          <w:lang w:val="es-ES" w:eastAsia="en-US"/>
        </w:rPr>
        <w:t xml:space="preserve"> de </w:t>
      </w:r>
      <w:r w:rsidR="00340A50">
        <w:rPr>
          <w:rFonts w:eastAsia="Calibri"/>
          <w:color w:val="767171"/>
          <w:spacing w:val="20"/>
          <w:lang w:val="es-ES" w:eastAsia="en-US"/>
        </w:rPr>
        <w:t>las t</w:t>
      </w:r>
      <w:r w:rsidR="0029445B" w:rsidRPr="0029445B">
        <w:rPr>
          <w:rFonts w:eastAsia="Calibri"/>
          <w:color w:val="767171"/>
          <w:spacing w:val="20"/>
          <w:lang w:val="es-ES" w:eastAsia="en-US"/>
        </w:rPr>
        <w:t xml:space="preserve">ecnologías de la </w:t>
      </w:r>
      <w:r w:rsidR="00340A50">
        <w:rPr>
          <w:rFonts w:eastAsia="Calibri"/>
          <w:color w:val="767171"/>
          <w:spacing w:val="20"/>
          <w:lang w:val="es-ES" w:eastAsia="en-US"/>
        </w:rPr>
        <w:t>i</w:t>
      </w:r>
      <w:r w:rsidR="0029445B" w:rsidRPr="0029445B">
        <w:rPr>
          <w:rFonts w:eastAsia="Calibri"/>
          <w:color w:val="767171"/>
          <w:spacing w:val="20"/>
          <w:lang w:val="es-ES" w:eastAsia="en-US"/>
        </w:rPr>
        <w:t>nformación</w:t>
      </w:r>
      <w:r w:rsidR="00340A50">
        <w:rPr>
          <w:rFonts w:eastAsia="Calibri"/>
          <w:color w:val="767171"/>
          <w:spacing w:val="20"/>
          <w:lang w:val="es-ES" w:eastAsia="en-US"/>
        </w:rPr>
        <w:t xml:space="preserve"> TIC</w:t>
      </w:r>
      <w:r w:rsidR="0029445B" w:rsidRPr="0029445B">
        <w:rPr>
          <w:rFonts w:eastAsia="Calibri"/>
          <w:color w:val="767171"/>
          <w:spacing w:val="20"/>
          <w:lang w:val="es-ES" w:eastAsia="en-US"/>
        </w:rPr>
        <w:t xml:space="preserve">. Los logros </w:t>
      </w:r>
      <w:r w:rsidR="00D86536">
        <w:rPr>
          <w:rFonts w:eastAsia="Calibri"/>
          <w:color w:val="767171"/>
          <w:spacing w:val="20"/>
          <w:lang w:val="es-ES" w:eastAsia="en-US"/>
        </w:rPr>
        <w:t xml:space="preserve">alcanzados </w:t>
      </w:r>
      <w:r w:rsidR="0029445B" w:rsidRPr="0029445B">
        <w:rPr>
          <w:rFonts w:eastAsia="Calibri"/>
          <w:color w:val="767171"/>
          <w:spacing w:val="20"/>
          <w:lang w:val="es-ES" w:eastAsia="en-US"/>
        </w:rPr>
        <w:t>impactaron a usuarios internos</w:t>
      </w:r>
      <w:r w:rsidR="00D86536">
        <w:rPr>
          <w:rFonts w:eastAsia="Calibri"/>
          <w:color w:val="767171"/>
          <w:spacing w:val="20"/>
          <w:lang w:val="es-ES" w:eastAsia="en-US"/>
        </w:rPr>
        <w:t xml:space="preserve"> y</w:t>
      </w:r>
      <w:r w:rsidR="0029445B" w:rsidRPr="0029445B">
        <w:rPr>
          <w:rFonts w:eastAsia="Calibri"/>
          <w:color w:val="767171"/>
          <w:spacing w:val="20"/>
          <w:lang w:val="es-ES" w:eastAsia="en-US"/>
        </w:rPr>
        <w:t xml:space="preserve"> externos de la institución. Entre estos logros se destacan:</w:t>
      </w:r>
    </w:p>
    <w:p w14:paraId="5812BD3E" w14:textId="476F7EED" w:rsidR="0029445B" w:rsidRPr="0029445B" w:rsidRDefault="006F4144" w:rsidP="006B204A">
      <w:pPr>
        <w:pStyle w:val="paragraph"/>
        <w:spacing w:before="0" w:beforeAutospacing="0" w:after="160" w:afterAutospacing="0" w:line="360" w:lineRule="auto"/>
        <w:jc w:val="both"/>
        <w:textAlignment w:val="baseline"/>
        <w:rPr>
          <w:rFonts w:eastAsia="Calibri"/>
          <w:color w:val="767171"/>
          <w:spacing w:val="20"/>
          <w:lang w:val="es-ES" w:eastAsia="en-US"/>
        </w:rPr>
      </w:pPr>
      <w:r>
        <w:rPr>
          <w:rFonts w:eastAsia="Calibri"/>
          <w:color w:val="767171"/>
          <w:spacing w:val="20"/>
          <w:lang w:val="es-ES" w:eastAsia="en-US"/>
        </w:rPr>
        <w:t>I</w:t>
      </w:r>
      <w:r w:rsidR="0026256F">
        <w:rPr>
          <w:rFonts w:eastAsia="Calibri"/>
          <w:color w:val="767171"/>
          <w:spacing w:val="20"/>
          <w:lang w:val="es-ES" w:eastAsia="en-US"/>
        </w:rPr>
        <w:t>mplement</w:t>
      </w:r>
      <w:r>
        <w:rPr>
          <w:rFonts w:eastAsia="Calibri"/>
          <w:color w:val="767171"/>
          <w:spacing w:val="20"/>
          <w:lang w:val="es-ES" w:eastAsia="en-US"/>
        </w:rPr>
        <w:t>ado</w:t>
      </w:r>
      <w:r w:rsidR="00B87554">
        <w:rPr>
          <w:rFonts w:eastAsia="Calibri"/>
          <w:color w:val="767171"/>
          <w:spacing w:val="20"/>
          <w:lang w:val="es-ES" w:eastAsia="en-US"/>
        </w:rPr>
        <w:t xml:space="preserve"> </w:t>
      </w:r>
      <w:r w:rsidR="0029445B" w:rsidRPr="0029445B">
        <w:rPr>
          <w:rFonts w:eastAsia="Calibri"/>
          <w:color w:val="767171"/>
          <w:spacing w:val="20"/>
          <w:lang w:val="es-ES" w:eastAsia="en-US"/>
        </w:rPr>
        <w:t xml:space="preserve">el aplicativo </w:t>
      </w:r>
      <w:proofErr w:type="spellStart"/>
      <w:r w:rsidR="0029445B" w:rsidRPr="0029445B">
        <w:rPr>
          <w:rFonts w:eastAsia="Calibri"/>
          <w:color w:val="767171"/>
          <w:spacing w:val="20"/>
          <w:lang w:val="es-ES" w:eastAsia="en-US"/>
        </w:rPr>
        <w:t>Manage</w:t>
      </w:r>
      <w:proofErr w:type="spellEnd"/>
      <w:r w:rsidR="0029445B" w:rsidRPr="0029445B">
        <w:rPr>
          <w:rFonts w:eastAsia="Calibri"/>
          <w:color w:val="767171"/>
          <w:spacing w:val="20"/>
          <w:lang w:val="es-ES" w:eastAsia="en-US"/>
        </w:rPr>
        <w:t xml:space="preserve"> </w:t>
      </w:r>
      <w:proofErr w:type="spellStart"/>
      <w:r w:rsidR="0029445B" w:rsidRPr="0029445B">
        <w:rPr>
          <w:rFonts w:eastAsia="Calibri"/>
          <w:color w:val="767171"/>
          <w:spacing w:val="20"/>
          <w:lang w:val="es-ES" w:eastAsia="en-US"/>
        </w:rPr>
        <w:t>Engine</w:t>
      </w:r>
      <w:proofErr w:type="spellEnd"/>
      <w:r w:rsidR="0029445B" w:rsidRPr="0029445B">
        <w:rPr>
          <w:rFonts w:eastAsia="Calibri"/>
          <w:color w:val="767171"/>
          <w:spacing w:val="20"/>
          <w:lang w:val="es-ES" w:eastAsia="en-US"/>
        </w:rPr>
        <w:t xml:space="preserve"> </w:t>
      </w:r>
      <w:proofErr w:type="spellStart"/>
      <w:r w:rsidR="0029445B" w:rsidRPr="0029445B">
        <w:rPr>
          <w:rFonts w:eastAsia="Calibri"/>
          <w:color w:val="767171"/>
          <w:spacing w:val="20"/>
          <w:lang w:val="es-ES" w:eastAsia="en-US"/>
        </w:rPr>
        <w:t>Service</w:t>
      </w:r>
      <w:proofErr w:type="spellEnd"/>
      <w:r w:rsidR="0029445B" w:rsidRPr="0029445B">
        <w:rPr>
          <w:rFonts w:eastAsia="Calibri"/>
          <w:color w:val="767171"/>
          <w:spacing w:val="20"/>
          <w:lang w:val="es-ES" w:eastAsia="en-US"/>
        </w:rPr>
        <w:t xml:space="preserve"> </w:t>
      </w:r>
      <w:proofErr w:type="spellStart"/>
      <w:r w:rsidR="0029445B" w:rsidRPr="0029445B">
        <w:rPr>
          <w:rFonts w:eastAsia="Calibri"/>
          <w:color w:val="767171"/>
          <w:spacing w:val="20"/>
          <w:lang w:val="es-ES" w:eastAsia="en-US"/>
        </w:rPr>
        <w:t>Desk</w:t>
      </w:r>
      <w:proofErr w:type="spellEnd"/>
      <w:r w:rsidR="00B87554">
        <w:rPr>
          <w:rFonts w:eastAsia="Calibri"/>
          <w:color w:val="767171"/>
          <w:spacing w:val="20"/>
          <w:lang w:val="es-ES" w:eastAsia="en-US"/>
        </w:rPr>
        <w:t xml:space="preserve"> </w:t>
      </w:r>
      <w:r w:rsidR="00BA6811">
        <w:rPr>
          <w:rFonts w:eastAsia="Calibri"/>
          <w:color w:val="767171"/>
          <w:spacing w:val="20"/>
          <w:lang w:val="es-ES" w:eastAsia="en-US"/>
        </w:rPr>
        <w:t>en la herramienta PAMF</w:t>
      </w:r>
      <w:r w:rsidR="005217A6">
        <w:rPr>
          <w:rFonts w:eastAsia="Calibri"/>
          <w:color w:val="767171"/>
          <w:spacing w:val="20"/>
          <w:lang w:val="es-ES" w:eastAsia="en-US"/>
        </w:rPr>
        <w:t xml:space="preserve">, con el objetivo de </w:t>
      </w:r>
      <w:r w:rsidR="005217A6" w:rsidRPr="0029445B">
        <w:rPr>
          <w:rFonts w:eastAsia="Calibri"/>
          <w:color w:val="767171"/>
          <w:spacing w:val="20"/>
          <w:lang w:val="es-ES" w:eastAsia="en-US"/>
        </w:rPr>
        <w:t xml:space="preserve">mejorar la atención a </w:t>
      </w:r>
      <w:r w:rsidR="005217A6">
        <w:rPr>
          <w:rFonts w:eastAsia="Calibri"/>
          <w:color w:val="767171"/>
          <w:spacing w:val="20"/>
          <w:lang w:val="es-ES" w:eastAsia="en-US"/>
        </w:rPr>
        <w:t xml:space="preserve">los requerimientos </w:t>
      </w:r>
      <w:r w:rsidR="005217A6" w:rsidRPr="0029445B">
        <w:rPr>
          <w:rFonts w:eastAsia="Calibri"/>
          <w:color w:val="767171"/>
          <w:spacing w:val="20"/>
          <w:lang w:val="es-ES" w:eastAsia="en-US"/>
        </w:rPr>
        <w:t>de las entidades</w:t>
      </w:r>
      <w:r w:rsidR="005217A6">
        <w:rPr>
          <w:rFonts w:eastAsia="Calibri"/>
          <w:color w:val="767171"/>
          <w:spacing w:val="20"/>
          <w:lang w:val="es-ES" w:eastAsia="en-US"/>
        </w:rPr>
        <w:t xml:space="preserve"> supervisadas</w:t>
      </w:r>
      <w:r w:rsidR="008157C0">
        <w:rPr>
          <w:rFonts w:eastAsia="Calibri"/>
          <w:color w:val="767171"/>
          <w:spacing w:val="20"/>
          <w:lang w:val="es-ES" w:eastAsia="en-US"/>
        </w:rPr>
        <w:t xml:space="preserve">, gracias a que </w:t>
      </w:r>
      <w:r w:rsidR="00BA6811">
        <w:rPr>
          <w:rFonts w:eastAsia="Calibri"/>
          <w:color w:val="767171"/>
          <w:spacing w:val="20"/>
          <w:lang w:val="es-ES" w:eastAsia="en-US"/>
        </w:rPr>
        <w:t>habilita</w:t>
      </w:r>
      <w:r w:rsidR="0029445B" w:rsidRPr="0029445B">
        <w:rPr>
          <w:rFonts w:eastAsia="Calibri"/>
          <w:color w:val="767171"/>
          <w:spacing w:val="20"/>
          <w:lang w:val="es-ES" w:eastAsia="en-US"/>
        </w:rPr>
        <w:t xml:space="preserve"> </w:t>
      </w:r>
      <w:r w:rsidR="00070307">
        <w:rPr>
          <w:rFonts w:eastAsia="Calibri"/>
          <w:color w:val="767171"/>
          <w:spacing w:val="20"/>
          <w:lang w:val="es-ES" w:eastAsia="en-US"/>
        </w:rPr>
        <w:t>un</w:t>
      </w:r>
      <w:r w:rsidR="00DE00E6">
        <w:rPr>
          <w:rFonts w:eastAsia="Calibri"/>
          <w:color w:val="767171"/>
          <w:spacing w:val="20"/>
          <w:lang w:val="es-ES" w:eastAsia="en-US"/>
        </w:rPr>
        <w:t xml:space="preserve"> canal de </w:t>
      </w:r>
      <w:r w:rsidR="00AA1B29">
        <w:rPr>
          <w:rFonts w:eastAsia="Calibri"/>
          <w:color w:val="767171"/>
          <w:spacing w:val="20"/>
          <w:lang w:val="es-ES" w:eastAsia="en-US"/>
        </w:rPr>
        <w:t xml:space="preserve">comunicación e </w:t>
      </w:r>
      <w:r w:rsidR="00D7058E">
        <w:rPr>
          <w:rFonts w:eastAsia="Calibri"/>
          <w:color w:val="767171"/>
          <w:spacing w:val="20"/>
          <w:lang w:val="es-ES" w:eastAsia="en-US"/>
        </w:rPr>
        <w:t>interacción</w:t>
      </w:r>
      <w:r w:rsidR="0029445B" w:rsidRPr="0029445B">
        <w:rPr>
          <w:rFonts w:eastAsia="Calibri"/>
          <w:color w:val="767171"/>
          <w:spacing w:val="20"/>
          <w:lang w:val="es-ES" w:eastAsia="en-US"/>
        </w:rPr>
        <w:t xml:space="preserve"> </w:t>
      </w:r>
      <w:r w:rsidR="00D15281">
        <w:rPr>
          <w:rFonts w:eastAsia="Calibri"/>
          <w:color w:val="767171"/>
          <w:spacing w:val="20"/>
          <w:lang w:val="es-ES" w:eastAsia="en-US"/>
        </w:rPr>
        <w:t xml:space="preserve">entre las </w:t>
      </w:r>
      <w:r w:rsidR="0029445B" w:rsidRPr="0029445B">
        <w:rPr>
          <w:rFonts w:eastAsia="Calibri"/>
          <w:color w:val="767171"/>
          <w:spacing w:val="20"/>
          <w:lang w:val="es-ES" w:eastAsia="en-US"/>
        </w:rPr>
        <w:t xml:space="preserve">entidades y las áreas misionales </w:t>
      </w:r>
      <w:r w:rsidR="005217A6">
        <w:rPr>
          <w:rFonts w:eastAsia="Calibri"/>
          <w:color w:val="767171"/>
          <w:spacing w:val="20"/>
          <w:lang w:val="es-ES" w:eastAsia="en-US"/>
        </w:rPr>
        <w:t>de la</w:t>
      </w:r>
      <w:r w:rsidR="0029445B" w:rsidRPr="0029445B">
        <w:rPr>
          <w:rFonts w:eastAsia="Calibri"/>
          <w:color w:val="767171"/>
          <w:spacing w:val="20"/>
          <w:lang w:val="es-ES" w:eastAsia="en-US"/>
        </w:rPr>
        <w:t xml:space="preserve"> institución.</w:t>
      </w:r>
    </w:p>
    <w:p w14:paraId="3BC2CEB0" w14:textId="3E6CF7F9" w:rsidR="0029445B" w:rsidRPr="0029445B" w:rsidRDefault="00983FC6" w:rsidP="006B204A">
      <w:pPr>
        <w:pStyle w:val="paragraph"/>
        <w:spacing w:before="0" w:beforeAutospacing="0" w:after="160" w:afterAutospacing="0" w:line="360" w:lineRule="auto"/>
        <w:jc w:val="both"/>
        <w:textAlignment w:val="baseline"/>
        <w:rPr>
          <w:rFonts w:eastAsia="Calibri"/>
          <w:color w:val="767171"/>
          <w:spacing w:val="20"/>
          <w:lang w:val="es-ES" w:eastAsia="en-US"/>
        </w:rPr>
      </w:pPr>
      <w:r w:rsidRPr="0029445B">
        <w:rPr>
          <w:rFonts w:eastAsia="Calibri"/>
          <w:color w:val="767171"/>
          <w:spacing w:val="20"/>
          <w:lang w:val="es-ES" w:eastAsia="en-US"/>
        </w:rPr>
        <w:t>Asimismo</w:t>
      </w:r>
      <w:r w:rsidR="0029445B" w:rsidRPr="0029445B">
        <w:rPr>
          <w:rFonts w:eastAsia="Calibri"/>
          <w:color w:val="767171"/>
          <w:spacing w:val="20"/>
          <w:lang w:val="es-ES" w:eastAsia="en-US"/>
        </w:rPr>
        <w:t>, se implementó la herramienta API Manager</w:t>
      </w:r>
      <w:r w:rsidR="00660803">
        <w:rPr>
          <w:rFonts w:eastAsia="Calibri"/>
          <w:color w:val="767171"/>
          <w:spacing w:val="20"/>
          <w:lang w:val="es-ES" w:eastAsia="en-US"/>
        </w:rPr>
        <w:t>.</w:t>
      </w:r>
      <w:r w:rsidR="0029445B" w:rsidRPr="0029445B">
        <w:rPr>
          <w:rFonts w:eastAsia="Calibri"/>
          <w:color w:val="767171"/>
          <w:spacing w:val="20"/>
          <w:lang w:val="es-ES" w:eastAsia="en-US"/>
        </w:rPr>
        <w:t xml:space="preserve"> </w:t>
      </w:r>
      <w:r w:rsidR="00660803">
        <w:rPr>
          <w:rFonts w:eastAsia="Calibri"/>
          <w:color w:val="767171"/>
          <w:spacing w:val="20"/>
          <w:lang w:val="es-ES" w:eastAsia="en-US"/>
        </w:rPr>
        <w:t>E</w:t>
      </w:r>
      <w:r w:rsidR="0029445B" w:rsidRPr="0029445B">
        <w:rPr>
          <w:rFonts w:eastAsia="Calibri"/>
          <w:color w:val="767171"/>
          <w:spacing w:val="20"/>
          <w:lang w:val="es-ES" w:eastAsia="en-US"/>
        </w:rPr>
        <w:t>sta herramienta permite la crea</w:t>
      </w:r>
      <w:r w:rsidR="00660803">
        <w:rPr>
          <w:rFonts w:eastAsia="Calibri"/>
          <w:color w:val="767171"/>
          <w:spacing w:val="20"/>
          <w:lang w:val="es-ES" w:eastAsia="en-US"/>
        </w:rPr>
        <w:t>r</w:t>
      </w:r>
      <w:r w:rsidR="0029445B" w:rsidRPr="0029445B">
        <w:rPr>
          <w:rFonts w:eastAsia="Calibri"/>
          <w:color w:val="767171"/>
          <w:spacing w:val="20"/>
          <w:lang w:val="es-ES" w:eastAsia="en-US"/>
        </w:rPr>
        <w:t>, monitore</w:t>
      </w:r>
      <w:r w:rsidR="00660803">
        <w:rPr>
          <w:rFonts w:eastAsia="Calibri"/>
          <w:color w:val="767171"/>
          <w:spacing w:val="20"/>
          <w:lang w:val="es-ES" w:eastAsia="en-US"/>
        </w:rPr>
        <w:t>ar</w:t>
      </w:r>
      <w:r w:rsidR="0029445B" w:rsidRPr="0029445B">
        <w:rPr>
          <w:rFonts w:eastAsia="Calibri"/>
          <w:color w:val="767171"/>
          <w:spacing w:val="20"/>
          <w:lang w:val="es-ES" w:eastAsia="en-US"/>
        </w:rPr>
        <w:t xml:space="preserve"> y administra</w:t>
      </w:r>
      <w:r w:rsidR="00660803">
        <w:rPr>
          <w:rFonts w:eastAsia="Calibri"/>
          <w:color w:val="767171"/>
          <w:spacing w:val="20"/>
          <w:lang w:val="es-ES" w:eastAsia="en-US"/>
        </w:rPr>
        <w:t>r</w:t>
      </w:r>
      <w:r w:rsidR="0029445B" w:rsidRPr="0029445B">
        <w:rPr>
          <w:rFonts w:eastAsia="Calibri"/>
          <w:color w:val="767171"/>
          <w:spacing w:val="20"/>
          <w:lang w:val="es-ES" w:eastAsia="en-US"/>
        </w:rPr>
        <w:t xml:space="preserve"> de nuestras Interfaces de Programación de Aplicación (</w:t>
      </w:r>
      <w:proofErr w:type="spellStart"/>
      <w:r w:rsidR="0029445B" w:rsidRPr="0029445B">
        <w:rPr>
          <w:rFonts w:eastAsia="Calibri"/>
          <w:color w:val="767171"/>
          <w:spacing w:val="20"/>
          <w:lang w:val="es-ES" w:eastAsia="en-US"/>
        </w:rPr>
        <w:t>APIs</w:t>
      </w:r>
      <w:proofErr w:type="spellEnd"/>
      <w:r w:rsidR="0029445B" w:rsidRPr="0029445B">
        <w:rPr>
          <w:rFonts w:eastAsia="Calibri"/>
          <w:color w:val="767171"/>
          <w:spacing w:val="20"/>
          <w:lang w:val="es-ES" w:eastAsia="en-US"/>
        </w:rPr>
        <w:t xml:space="preserve">), </w:t>
      </w:r>
      <w:r>
        <w:rPr>
          <w:rFonts w:eastAsia="Calibri"/>
          <w:color w:val="767171"/>
          <w:spacing w:val="20"/>
          <w:lang w:val="es-ES" w:eastAsia="en-US"/>
        </w:rPr>
        <w:t>otorgando a la institución</w:t>
      </w:r>
      <w:r w:rsidR="0029445B" w:rsidRPr="0029445B">
        <w:rPr>
          <w:rFonts w:eastAsia="Calibri"/>
          <w:color w:val="767171"/>
          <w:spacing w:val="20"/>
          <w:lang w:val="es-ES" w:eastAsia="en-US"/>
        </w:rPr>
        <w:t xml:space="preserve"> siguientes beneficios: Centralizar el inventario de APIS de la institución; </w:t>
      </w:r>
      <w:r>
        <w:rPr>
          <w:rFonts w:eastAsia="Calibri"/>
          <w:color w:val="767171"/>
          <w:spacing w:val="20"/>
          <w:lang w:val="es-ES" w:eastAsia="en-US"/>
        </w:rPr>
        <w:t>v</w:t>
      </w:r>
      <w:r w:rsidR="0029445B" w:rsidRPr="0029445B">
        <w:rPr>
          <w:rFonts w:eastAsia="Calibri"/>
          <w:color w:val="767171"/>
          <w:spacing w:val="20"/>
          <w:lang w:val="es-ES" w:eastAsia="en-US"/>
        </w:rPr>
        <w:t xml:space="preserve">isualizar estadísticas de consumo; </w:t>
      </w:r>
      <w:r>
        <w:rPr>
          <w:rFonts w:eastAsia="Calibri"/>
          <w:color w:val="767171"/>
          <w:spacing w:val="20"/>
          <w:lang w:val="es-ES" w:eastAsia="en-US"/>
        </w:rPr>
        <w:t>h</w:t>
      </w:r>
      <w:r w:rsidR="0029445B" w:rsidRPr="0029445B">
        <w:rPr>
          <w:rFonts w:eastAsia="Calibri"/>
          <w:color w:val="767171"/>
          <w:spacing w:val="20"/>
          <w:lang w:val="es-ES" w:eastAsia="en-US"/>
        </w:rPr>
        <w:t>abilitar APIS para consumo externo con mayor facilidad;</w:t>
      </w:r>
      <w:r>
        <w:rPr>
          <w:rFonts w:eastAsia="Calibri"/>
          <w:color w:val="767171"/>
          <w:spacing w:val="20"/>
          <w:lang w:val="es-ES" w:eastAsia="en-US"/>
        </w:rPr>
        <w:t xml:space="preserve"> e</w:t>
      </w:r>
      <w:r w:rsidR="0029445B" w:rsidRPr="0029445B">
        <w:rPr>
          <w:rFonts w:eastAsia="Calibri"/>
          <w:color w:val="767171"/>
          <w:spacing w:val="20"/>
          <w:lang w:val="es-ES" w:eastAsia="en-US"/>
        </w:rPr>
        <w:t xml:space="preserve"> </w:t>
      </w:r>
      <w:r>
        <w:rPr>
          <w:rFonts w:eastAsia="Calibri"/>
          <w:color w:val="767171"/>
          <w:spacing w:val="20"/>
          <w:lang w:val="es-ES" w:eastAsia="en-US"/>
        </w:rPr>
        <w:t>i</w:t>
      </w:r>
      <w:r w:rsidR="0029445B" w:rsidRPr="0029445B">
        <w:rPr>
          <w:rFonts w:eastAsia="Calibri"/>
          <w:color w:val="767171"/>
          <w:spacing w:val="20"/>
          <w:lang w:val="es-ES" w:eastAsia="en-US"/>
        </w:rPr>
        <w:t>mplementar políticas de consumo y de seguridad sobre los APIS.</w:t>
      </w:r>
    </w:p>
    <w:p w14:paraId="3B8017F2" w14:textId="24591C6B" w:rsidR="0029445B" w:rsidRPr="0029445B" w:rsidRDefault="00405C29" w:rsidP="006B204A">
      <w:pPr>
        <w:pStyle w:val="paragraph"/>
        <w:spacing w:before="0" w:beforeAutospacing="0" w:after="160" w:afterAutospacing="0" w:line="360" w:lineRule="auto"/>
        <w:jc w:val="both"/>
        <w:textAlignment w:val="baseline"/>
        <w:rPr>
          <w:rFonts w:eastAsia="Calibri"/>
          <w:color w:val="767171"/>
          <w:spacing w:val="20"/>
          <w:lang w:val="es-ES" w:eastAsia="en-US"/>
        </w:rPr>
      </w:pPr>
      <w:r>
        <w:rPr>
          <w:rFonts w:eastAsia="Calibri"/>
          <w:color w:val="767171"/>
          <w:spacing w:val="20"/>
          <w:lang w:val="es-ES" w:eastAsia="en-US"/>
        </w:rPr>
        <w:t>Por otro lado,</w:t>
      </w:r>
      <w:r w:rsidR="0029445B" w:rsidRPr="0029445B">
        <w:rPr>
          <w:rFonts w:eastAsia="Calibri"/>
          <w:color w:val="767171"/>
          <w:spacing w:val="20"/>
          <w:lang w:val="es-ES" w:eastAsia="en-US"/>
        </w:rPr>
        <w:t xml:space="preserve"> la Superintendencia de Bancos concluyo </w:t>
      </w:r>
      <w:r w:rsidR="00FB2BA4">
        <w:rPr>
          <w:rFonts w:eastAsia="Calibri"/>
          <w:color w:val="767171"/>
          <w:spacing w:val="20"/>
          <w:lang w:val="es-ES" w:eastAsia="en-US"/>
        </w:rPr>
        <w:t xml:space="preserve">un </w:t>
      </w:r>
      <w:r w:rsidR="0029445B" w:rsidRPr="0029445B">
        <w:rPr>
          <w:rFonts w:eastAsia="Calibri"/>
          <w:color w:val="767171"/>
          <w:spacing w:val="20"/>
          <w:lang w:val="es-ES" w:eastAsia="en-US"/>
        </w:rPr>
        <w:t>proyecto de optimización de los servicios de telecomunicaciones</w:t>
      </w:r>
      <w:r w:rsidR="008F4A9E">
        <w:rPr>
          <w:rFonts w:eastAsia="Calibri"/>
          <w:color w:val="767171"/>
          <w:spacing w:val="20"/>
          <w:lang w:val="es-ES" w:eastAsia="en-US"/>
        </w:rPr>
        <w:t>,</w:t>
      </w:r>
      <w:r w:rsidR="0029445B" w:rsidRPr="0029445B">
        <w:rPr>
          <w:rFonts w:eastAsia="Calibri"/>
          <w:color w:val="767171"/>
          <w:spacing w:val="20"/>
          <w:lang w:val="es-ES" w:eastAsia="en-US"/>
        </w:rPr>
        <w:t xml:space="preserve"> a través del cual logró</w:t>
      </w:r>
      <w:r w:rsidR="00077A1C">
        <w:rPr>
          <w:rFonts w:eastAsia="Calibri"/>
          <w:color w:val="767171"/>
          <w:spacing w:val="20"/>
          <w:lang w:val="es-ES" w:eastAsia="en-US"/>
        </w:rPr>
        <w:t xml:space="preserve"> facilitar la conectividad directa entre sus localidades y</w:t>
      </w:r>
      <w:r w:rsidR="0029445B" w:rsidRPr="0029445B">
        <w:rPr>
          <w:rFonts w:eastAsia="Calibri"/>
          <w:color w:val="767171"/>
          <w:spacing w:val="20"/>
          <w:lang w:val="es-ES" w:eastAsia="en-US"/>
        </w:rPr>
        <w:t xml:space="preserve"> mejorar</w:t>
      </w:r>
      <w:r w:rsidR="008F4A9E">
        <w:rPr>
          <w:rFonts w:eastAsia="Calibri"/>
          <w:color w:val="767171"/>
          <w:spacing w:val="20"/>
          <w:lang w:val="es-ES" w:eastAsia="en-US"/>
        </w:rPr>
        <w:t xml:space="preserve"> la banda ancha de internet</w:t>
      </w:r>
      <w:r w:rsidR="005942EF">
        <w:rPr>
          <w:rFonts w:eastAsia="Calibri"/>
          <w:color w:val="767171"/>
          <w:spacing w:val="20"/>
          <w:lang w:val="es-ES" w:eastAsia="en-US"/>
        </w:rPr>
        <w:t>, a la vez que redujo</w:t>
      </w:r>
      <w:r w:rsidR="0029445B" w:rsidRPr="0029445B">
        <w:rPr>
          <w:rFonts w:eastAsia="Calibri"/>
          <w:color w:val="767171"/>
          <w:spacing w:val="20"/>
          <w:lang w:val="es-ES" w:eastAsia="en-US"/>
        </w:rPr>
        <w:t xml:space="preserve"> la facturación mensual en un 27%</w:t>
      </w:r>
      <w:r w:rsidR="005942EF">
        <w:rPr>
          <w:rFonts w:eastAsia="Calibri"/>
          <w:color w:val="767171"/>
          <w:spacing w:val="20"/>
          <w:lang w:val="es-ES" w:eastAsia="en-US"/>
        </w:rPr>
        <w:t xml:space="preserve"> </w:t>
      </w:r>
      <w:r w:rsidR="00C64326">
        <w:rPr>
          <w:rFonts w:eastAsia="Calibri"/>
          <w:color w:val="767171"/>
          <w:spacing w:val="20"/>
          <w:lang w:val="es-ES" w:eastAsia="en-US"/>
        </w:rPr>
        <w:t>con relación al año pasado</w:t>
      </w:r>
      <w:r w:rsidR="005942EF">
        <w:rPr>
          <w:rFonts w:eastAsia="Calibri"/>
          <w:color w:val="767171"/>
          <w:spacing w:val="20"/>
          <w:lang w:val="es-ES" w:eastAsia="en-US"/>
        </w:rPr>
        <w:t>.</w:t>
      </w:r>
    </w:p>
    <w:p w14:paraId="38894E55" w14:textId="01A01EB8" w:rsidR="00585C9D" w:rsidRPr="0029445B" w:rsidRDefault="0029445B" w:rsidP="006B204A">
      <w:pPr>
        <w:pStyle w:val="paragraph"/>
        <w:spacing w:before="0" w:beforeAutospacing="0" w:after="160" w:afterAutospacing="0" w:line="360" w:lineRule="auto"/>
        <w:jc w:val="both"/>
        <w:textAlignment w:val="baseline"/>
        <w:rPr>
          <w:rFonts w:eastAsia="Calibri"/>
          <w:color w:val="767171"/>
          <w:spacing w:val="20"/>
          <w:lang w:val="es-ES" w:eastAsia="en-US"/>
        </w:rPr>
      </w:pPr>
      <w:r w:rsidRPr="0029445B">
        <w:rPr>
          <w:rFonts w:eastAsia="Calibri"/>
          <w:color w:val="767171"/>
          <w:spacing w:val="20"/>
          <w:lang w:val="es-ES" w:eastAsia="en-US"/>
        </w:rPr>
        <w:t>Con el objetivo de detectar de manera proactiva posibles eventos e interrupciones</w:t>
      </w:r>
      <w:r w:rsidR="00C64326">
        <w:rPr>
          <w:rFonts w:eastAsia="Calibri"/>
          <w:color w:val="767171"/>
          <w:spacing w:val="20"/>
          <w:lang w:val="es-ES" w:eastAsia="en-US"/>
        </w:rPr>
        <w:t xml:space="preserve"> de red</w:t>
      </w:r>
      <w:r w:rsidRPr="0029445B">
        <w:rPr>
          <w:rFonts w:eastAsia="Calibri"/>
          <w:color w:val="767171"/>
          <w:spacing w:val="20"/>
          <w:lang w:val="es-ES" w:eastAsia="en-US"/>
        </w:rPr>
        <w:t xml:space="preserve"> que dificulten la entrega </w:t>
      </w:r>
      <w:r w:rsidR="00C64326">
        <w:rPr>
          <w:rFonts w:eastAsia="Calibri"/>
          <w:color w:val="767171"/>
          <w:spacing w:val="20"/>
          <w:lang w:val="es-ES" w:eastAsia="en-US"/>
        </w:rPr>
        <w:t>de los servicios</w:t>
      </w:r>
      <w:r w:rsidR="0002409B">
        <w:rPr>
          <w:rFonts w:eastAsia="Calibri"/>
          <w:color w:val="767171"/>
          <w:spacing w:val="20"/>
          <w:lang w:val="es-ES" w:eastAsia="en-US"/>
        </w:rPr>
        <w:t xml:space="preserve"> de la institución</w:t>
      </w:r>
      <w:r w:rsidRPr="0029445B">
        <w:rPr>
          <w:rFonts w:eastAsia="Calibri"/>
          <w:color w:val="767171"/>
          <w:spacing w:val="20"/>
          <w:lang w:val="es-ES" w:eastAsia="en-US"/>
        </w:rPr>
        <w:t xml:space="preserve">, se implementó </w:t>
      </w:r>
      <w:r w:rsidR="00BA244C">
        <w:rPr>
          <w:rFonts w:eastAsia="Calibri"/>
          <w:color w:val="767171"/>
          <w:spacing w:val="20"/>
          <w:lang w:val="es-ES" w:eastAsia="en-US"/>
        </w:rPr>
        <w:t>un</w:t>
      </w:r>
      <w:r w:rsidRPr="0029445B">
        <w:rPr>
          <w:rFonts w:eastAsia="Calibri"/>
          <w:color w:val="767171"/>
          <w:spacing w:val="20"/>
          <w:lang w:val="es-ES" w:eastAsia="en-US"/>
        </w:rPr>
        <w:t xml:space="preserve"> servicio </w:t>
      </w:r>
      <w:r w:rsidR="00BA244C">
        <w:rPr>
          <w:rFonts w:eastAsia="Calibri"/>
          <w:color w:val="767171"/>
          <w:spacing w:val="20"/>
          <w:lang w:val="es-ES" w:eastAsia="en-US"/>
        </w:rPr>
        <w:t>de monitoreo</w:t>
      </w:r>
      <w:r w:rsidRPr="0029445B">
        <w:rPr>
          <w:rFonts w:eastAsia="Calibri"/>
          <w:color w:val="767171"/>
          <w:spacing w:val="20"/>
          <w:lang w:val="es-ES" w:eastAsia="en-US"/>
        </w:rPr>
        <w:t xml:space="preserve"> de la infraestructura tecnológica</w:t>
      </w:r>
      <w:r w:rsidR="00FC22AE">
        <w:rPr>
          <w:rFonts w:eastAsia="Calibri"/>
          <w:color w:val="767171"/>
          <w:spacing w:val="20"/>
          <w:lang w:val="es-ES" w:eastAsia="en-US"/>
        </w:rPr>
        <w:t>,</w:t>
      </w:r>
      <w:r w:rsidRPr="0029445B">
        <w:rPr>
          <w:rFonts w:eastAsia="Calibri"/>
          <w:color w:val="767171"/>
          <w:spacing w:val="20"/>
          <w:lang w:val="es-ES" w:eastAsia="en-US"/>
        </w:rPr>
        <w:t xml:space="preserve"> Network </w:t>
      </w:r>
      <w:proofErr w:type="spellStart"/>
      <w:r w:rsidRPr="0029445B">
        <w:rPr>
          <w:rFonts w:eastAsia="Calibri"/>
          <w:color w:val="767171"/>
          <w:spacing w:val="20"/>
          <w:lang w:val="es-ES" w:eastAsia="en-US"/>
        </w:rPr>
        <w:t>Operation</w:t>
      </w:r>
      <w:proofErr w:type="spellEnd"/>
      <w:r w:rsidRPr="0029445B">
        <w:rPr>
          <w:rFonts w:eastAsia="Calibri"/>
          <w:color w:val="767171"/>
          <w:spacing w:val="20"/>
          <w:lang w:val="es-ES" w:eastAsia="en-US"/>
        </w:rPr>
        <w:t xml:space="preserve"> Center -NOC</w:t>
      </w:r>
      <w:r w:rsidR="00FC22AE">
        <w:rPr>
          <w:rFonts w:eastAsia="Calibri"/>
          <w:color w:val="767171"/>
          <w:spacing w:val="20"/>
          <w:lang w:val="es-ES" w:eastAsia="en-US"/>
        </w:rPr>
        <w:t>-</w:t>
      </w:r>
      <w:r w:rsidRPr="0029445B">
        <w:rPr>
          <w:rFonts w:eastAsia="Calibri"/>
          <w:color w:val="767171"/>
          <w:spacing w:val="20"/>
          <w:lang w:val="es-ES" w:eastAsia="en-US"/>
        </w:rPr>
        <w:t xml:space="preserve">. Asimismo, </w:t>
      </w:r>
      <w:r w:rsidR="00A541B6">
        <w:rPr>
          <w:rFonts w:eastAsia="Calibri"/>
          <w:color w:val="767171"/>
          <w:spacing w:val="20"/>
          <w:lang w:val="es-ES" w:eastAsia="en-US"/>
        </w:rPr>
        <w:t>fue habilita</w:t>
      </w:r>
      <w:r w:rsidR="00BD4CF5">
        <w:rPr>
          <w:rFonts w:eastAsia="Calibri"/>
          <w:color w:val="767171"/>
          <w:spacing w:val="20"/>
          <w:lang w:val="es-ES" w:eastAsia="en-US"/>
        </w:rPr>
        <w:t xml:space="preserve">do </w:t>
      </w:r>
      <w:r w:rsidR="00714828">
        <w:rPr>
          <w:rFonts w:eastAsia="Calibri"/>
          <w:color w:val="767171"/>
          <w:spacing w:val="20"/>
          <w:lang w:val="es-ES" w:eastAsia="en-US"/>
        </w:rPr>
        <w:t>un</w:t>
      </w:r>
      <w:r w:rsidRPr="0029445B">
        <w:rPr>
          <w:rFonts w:eastAsia="Calibri"/>
          <w:color w:val="767171"/>
          <w:spacing w:val="20"/>
          <w:lang w:val="es-ES" w:eastAsia="en-US"/>
        </w:rPr>
        <w:t xml:space="preserve"> esquema de alta disponibilidad en </w:t>
      </w:r>
      <w:r w:rsidR="00714828">
        <w:rPr>
          <w:rFonts w:eastAsia="Calibri"/>
          <w:color w:val="767171"/>
          <w:spacing w:val="20"/>
          <w:lang w:val="es-ES" w:eastAsia="en-US"/>
        </w:rPr>
        <w:t>las</w:t>
      </w:r>
      <w:r w:rsidRPr="0029445B">
        <w:rPr>
          <w:rFonts w:eastAsia="Calibri"/>
          <w:color w:val="767171"/>
          <w:spacing w:val="20"/>
          <w:lang w:val="es-ES" w:eastAsia="en-US"/>
        </w:rPr>
        <w:t xml:space="preserve"> </w:t>
      </w:r>
      <w:r w:rsidRPr="0029445B">
        <w:rPr>
          <w:rFonts w:eastAsia="Calibri"/>
          <w:color w:val="767171"/>
          <w:spacing w:val="20"/>
          <w:lang w:val="es-ES" w:eastAsia="en-US"/>
        </w:rPr>
        <w:lastRenderedPageBreak/>
        <w:t>bases de datos (ORACLE y SQL) con la finalidad de mitigar el tiempo de inactividad en los sistemas</w:t>
      </w:r>
      <w:r w:rsidR="00FE2E04">
        <w:rPr>
          <w:rFonts w:eastAsia="Calibri"/>
          <w:color w:val="767171"/>
          <w:spacing w:val="20"/>
          <w:lang w:val="es-ES" w:eastAsia="en-US"/>
        </w:rPr>
        <w:t>,</w:t>
      </w:r>
      <w:r w:rsidRPr="0029445B">
        <w:rPr>
          <w:rFonts w:eastAsia="Calibri"/>
          <w:color w:val="767171"/>
          <w:spacing w:val="20"/>
          <w:lang w:val="es-ES" w:eastAsia="en-US"/>
        </w:rPr>
        <w:t xml:space="preserve"> y </w:t>
      </w:r>
      <w:r w:rsidR="0020162A">
        <w:rPr>
          <w:rFonts w:eastAsia="Calibri"/>
          <w:color w:val="767171"/>
          <w:spacing w:val="20"/>
          <w:lang w:val="es-ES" w:eastAsia="en-US"/>
        </w:rPr>
        <w:t>proteger</w:t>
      </w:r>
      <w:r w:rsidRPr="0029445B">
        <w:rPr>
          <w:rFonts w:eastAsia="Calibri"/>
          <w:color w:val="767171"/>
          <w:spacing w:val="20"/>
          <w:lang w:val="es-ES" w:eastAsia="en-US"/>
        </w:rPr>
        <w:t xml:space="preserve"> la </w:t>
      </w:r>
      <w:r w:rsidR="00A408F8">
        <w:rPr>
          <w:rFonts w:eastAsia="Calibri"/>
          <w:color w:val="767171"/>
          <w:spacing w:val="20"/>
          <w:lang w:val="es-ES" w:eastAsia="en-US"/>
        </w:rPr>
        <w:t>información institucional</w:t>
      </w:r>
      <w:r w:rsidRPr="0029445B">
        <w:rPr>
          <w:rFonts w:eastAsia="Calibri"/>
          <w:color w:val="767171"/>
          <w:spacing w:val="20"/>
          <w:lang w:val="es-ES" w:eastAsia="en-US"/>
        </w:rPr>
        <w:t>. </w:t>
      </w:r>
    </w:p>
    <w:p w14:paraId="357AF134" w14:textId="068EF138" w:rsidR="0029445B" w:rsidRPr="00585C9D" w:rsidRDefault="0029445B" w:rsidP="001E280B">
      <w:pPr>
        <w:pStyle w:val="paragraph"/>
        <w:spacing w:before="0" w:beforeAutospacing="0" w:after="160" w:afterAutospacing="0" w:line="360" w:lineRule="auto"/>
        <w:textAlignment w:val="baseline"/>
        <w:rPr>
          <w:rFonts w:eastAsia="Calibri"/>
          <w:b/>
          <w:bCs/>
          <w:color w:val="767171"/>
          <w:spacing w:val="20"/>
          <w:lang w:val="es-ES" w:eastAsia="en-US"/>
        </w:rPr>
      </w:pPr>
      <w:r w:rsidRPr="00585C9D">
        <w:rPr>
          <w:rFonts w:eastAsia="Calibri"/>
          <w:b/>
          <w:bCs/>
          <w:color w:val="767171"/>
          <w:spacing w:val="20"/>
          <w:lang w:val="es-ES" w:eastAsia="en-US"/>
        </w:rPr>
        <w:t>Fortalecimiento de la Gobernanza</w:t>
      </w:r>
    </w:p>
    <w:p w14:paraId="48842897" w14:textId="1D5BE0C9" w:rsidR="0029445B" w:rsidRPr="0029445B" w:rsidRDefault="001565AC" w:rsidP="006B204A">
      <w:pPr>
        <w:pStyle w:val="paragraph"/>
        <w:spacing w:before="0" w:beforeAutospacing="0" w:after="160" w:afterAutospacing="0" w:line="360" w:lineRule="auto"/>
        <w:jc w:val="both"/>
        <w:textAlignment w:val="baseline"/>
        <w:rPr>
          <w:rFonts w:eastAsia="Calibri"/>
          <w:color w:val="767171"/>
          <w:spacing w:val="20"/>
          <w:lang w:val="es-ES" w:eastAsia="en-US"/>
        </w:rPr>
      </w:pPr>
      <w:r>
        <w:rPr>
          <w:rFonts w:eastAsia="Calibri"/>
          <w:color w:val="767171"/>
          <w:spacing w:val="20"/>
          <w:lang w:val="es-ES" w:eastAsia="en-US"/>
        </w:rPr>
        <w:t>Con relación a la gobernanza institucional, se</w:t>
      </w:r>
      <w:r w:rsidR="00862AD6">
        <w:rPr>
          <w:rFonts w:eastAsia="Calibri"/>
          <w:color w:val="767171"/>
          <w:spacing w:val="20"/>
          <w:lang w:val="es-ES" w:eastAsia="en-US"/>
        </w:rPr>
        <w:t xml:space="preserve"> implementaron los requisitos necesarios para</w:t>
      </w:r>
      <w:r w:rsidR="00403B17">
        <w:rPr>
          <w:rFonts w:eastAsia="Calibri"/>
          <w:color w:val="767171"/>
          <w:spacing w:val="20"/>
          <w:lang w:val="es-ES" w:eastAsia="en-US"/>
        </w:rPr>
        <w:t xml:space="preserve"> </w:t>
      </w:r>
      <w:r w:rsidR="00420F7D">
        <w:rPr>
          <w:rFonts w:eastAsia="Calibri"/>
          <w:color w:val="767171"/>
          <w:spacing w:val="20"/>
          <w:lang w:val="es-ES" w:eastAsia="en-US"/>
        </w:rPr>
        <w:t>recertificar las siguientes</w:t>
      </w:r>
      <w:r w:rsidR="0029445B" w:rsidRPr="0029445B">
        <w:rPr>
          <w:rFonts w:eastAsia="Calibri"/>
          <w:color w:val="767171"/>
          <w:spacing w:val="20"/>
          <w:lang w:val="es-ES" w:eastAsia="en-US"/>
        </w:rPr>
        <w:t xml:space="preserve"> NORTIC: </w:t>
      </w:r>
    </w:p>
    <w:p w14:paraId="1115F463" w14:textId="77777777" w:rsidR="0029445B" w:rsidRPr="0029445B" w:rsidRDefault="0029445B" w:rsidP="00CB4994">
      <w:pPr>
        <w:pStyle w:val="paragraph"/>
        <w:numPr>
          <w:ilvl w:val="0"/>
          <w:numId w:val="25"/>
        </w:numPr>
        <w:spacing w:before="0" w:beforeAutospacing="0" w:after="0" w:afterAutospacing="0" w:line="360" w:lineRule="auto"/>
        <w:jc w:val="both"/>
        <w:textAlignment w:val="baseline"/>
        <w:rPr>
          <w:rFonts w:eastAsia="Calibri"/>
          <w:color w:val="767171"/>
          <w:spacing w:val="20"/>
          <w:lang w:val="es-ES" w:eastAsia="en-US"/>
        </w:rPr>
      </w:pPr>
      <w:r w:rsidRPr="0029445B">
        <w:rPr>
          <w:rFonts w:eastAsia="Calibri"/>
          <w:color w:val="767171"/>
          <w:spacing w:val="20"/>
          <w:lang w:val="es-ES" w:eastAsia="en-US"/>
        </w:rPr>
        <w:t xml:space="preserve">Recertificación de la </w:t>
      </w:r>
      <w:proofErr w:type="spellStart"/>
      <w:r w:rsidRPr="0029445B">
        <w:rPr>
          <w:rFonts w:eastAsia="Calibri"/>
          <w:color w:val="767171"/>
          <w:spacing w:val="20"/>
          <w:lang w:val="es-ES" w:eastAsia="en-US"/>
        </w:rPr>
        <w:t>Nortic</w:t>
      </w:r>
      <w:proofErr w:type="spellEnd"/>
      <w:r w:rsidRPr="0029445B">
        <w:rPr>
          <w:rFonts w:eastAsia="Calibri"/>
          <w:color w:val="767171"/>
          <w:spacing w:val="20"/>
          <w:lang w:val="es-ES" w:eastAsia="en-US"/>
        </w:rPr>
        <w:t xml:space="preserve"> A2 en el nuevo Portal sobre el desarrollo y gestión de los portales web y la transparencia de los organismos del Estado Dominicano. </w:t>
      </w:r>
    </w:p>
    <w:p w14:paraId="124D310A" w14:textId="77777777" w:rsidR="0029445B" w:rsidRPr="0029445B" w:rsidRDefault="0029445B" w:rsidP="00CB4994">
      <w:pPr>
        <w:pStyle w:val="paragraph"/>
        <w:numPr>
          <w:ilvl w:val="0"/>
          <w:numId w:val="25"/>
        </w:numPr>
        <w:spacing w:before="0" w:beforeAutospacing="0" w:after="0" w:afterAutospacing="0" w:line="360" w:lineRule="auto"/>
        <w:jc w:val="both"/>
        <w:textAlignment w:val="baseline"/>
        <w:rPr>
          <w:rFonts w:eastAsia="Calibri"/>
          <w:color w:val="767171"/>
          <w:spacing w:val="20"/>
          <w:lang w:val="es-ES" w:eastAsia="en-US"/>
        </w:rPr>
      </w:pPr>
      <w:r w:rsidRPr="0029445B">
        <w:rPr>
          <w:rFonts w:eastAsia="Calibri"/>
          <w:color w:val="767171"/>
          <w:spacing w:val="20"/>
          <w:lang w:val="es-ES" w:eastAsia="en-US"/>
        </w:rPr>
        <w:t xml:space="preserve">Recertificación de la </w:t>
      </w:r>
      <w:proofErr w:type="spellStart"/>
      <w:r w:rsidRPr="0029445B">
        <w:rPr>
          <w:rFonts w:eastAsia="Calibri"/>
          <w:color w:val="767171"/>
          <w:spacing w:val="20"/>
          <w:lang w:val="es-ES" w:eastAsia="en-US"/>
        </w:rPr>
        <w:t>Nortic</w:t>
      </w:r>
      <w:proofErr w:type="spellEnd"/>
      <w:r w:rsidRPr="0029445B">
        <w:rPr>
          <w:rFonts w:eastAsia="Calibri"/>
          <w:color w:val="767171"/>
          <w:spacing w:val="20"/>
          <w:lang w:val="es-ES" w:eastAsia="en-US"/>
        </w:rPr>
        <w:t xml:space="preserve"> A3 sobre publicación de datos abiertos del Gobierno Dominicano. </w:t>
      </w:r>
    </w:p>
    <w:p w14:paraId="587E011F" w14:textId="4B56AE89" w:rsidR="00324A48" w:rsidRPr="00A13075" w:rsidRDefault="00324A48" w:rsidP="005B602C">
      <w:pPr>
        <w:pStyle w:val="paragraph"/>
        <w:spacing w:before="0" w:beforeAutospacing="0" w:after="0" w:afterAutospacing="0"/>
        <w:jc w:val="both"/>
        <w:textAlignment w:val="baseline"/>
        <w:rPr>
          <w:rFonts w:eastAsia="Calibri"/>
          <w:color w:val="767171"/>
          <w:spacing w:val="20"/>
          <w:lang w:val="es-ES" w:eastAsia="en-US"/>
        </w:rPr>
      </w:pPr>
    </w:p>
    <w:p w14:paraId="1F91BAF5" w14:textId="67CC818D" w:rsidR="00BA69ED" w:rsidRDefault="008D0E58" w:rsidP="006B204A">
      <w:pPr>
        <w:pStyle w:val="paragraph"/>
        <w:spacing w:before="0" w:beforeAutospacing="0" w:after="0" w:afterAutospacing="0" w:line="360" w:lineRule="auto"/>
        <w:jc w:val="center"/>
        <w:textAlignment w:val="baseline"/>
        <w:rPr>
          <w:rFonts w:eastAsia="Calibri"/>
          <w:b/>
          <w:bCs/>
          <w:color w:val="767171"/>
          <w:spacing w:val="20"/>
          <w:lang w:val="es-ES" w:eastAsia="en-US"/>
        </w:rPr>
      </w:pPr>
      <w:r>
        <w:rPr>
          <w:rFonts w:eastAsia="Calibri"/>
          <w:b/>
          <w:bCs/>
          <w:color w:val="767171"/>
          <w:spacing w:val="20"/>
          <w:lang w:val="es-ES" w:eastAsia="en-US"/>
        </w:rPr>
        <w:t xml:space="preserve">Gráfico 1. </w:t>
      </w:r>
      <w:r w:rsidR="00BA69ED" w:rsidRPr="008D0E58">
        <w:rPr>
          <w:rFonts w:eastAsia="Calibri"/>
          <w:b/>
          <w:bCs/>
          <w:color w:val="767171"/>
          <w:spacing w:val="20"/>
          <w:lang w:val="es-ES" w:eastAsia="en-US"/>
        </w:rPr>
        <w:t>Avance ITICGE</w:t>
      </w:r>
    </w:p>
    <w:p w14:paraId="378EBA65" w14:textId="5B905BE1" w:rsidR="00324A48" w:rsidRPr="008D0E58" w:rsidRDefault="00324A48" w:rsidP="006B204A">
      <w:pPr>
        <w:pStyle w:val="paragraph"/>
        <w:spacing w:before="0" w:beforeAutospacing="0" w:after="0" w:afterAutospacing="0"/>
        <w:jc w:val="both"/>
        <w:textAlignment w:val="baseline"/>
        <w:rPr>
          <w:rFonts w:eastAsia="Calibri"/>
          <w:b/>
          <w:bCs/>
          <w:color w:val="767171"/>
          <w:spacing w:val="20"/>
          <w:lang w:val="es-ES" w:eastAsia="en-US"/>
        </w:rPr>
      </w:pPr>
    </w:p>
    <w:p w14:paraId="34BE1595" w14:textId="49683059" w:rsidR="00BA69ED" w:rsidRDefault="00BA69ED" w:rsidP="006B204A">
      <w:pPr>
        <w:pStyle w:val="paragraph"/>
        <w:spacing w:before="0" w:beforeAutospacing="0" w:after="0" w:afterAutospacing="0"/>
        <w:jc w:val="center"/>
        <w:textAlignment w:val="baseline"/>
      </w:pPr>
      <w:r>
        <w:rPr>
          <w:rStyle w:val="wacimagecontainer"/>
          <w:noProof/>
        </w:rPr>
        <w:drawing>
          <wp:inline distT="0" distB="0" distL="0" distR="0" wp14:anchorId="6541B2FC" wp14:editId="71BBB6FE">
            <wp:extent cx="4953000" cy="2286000"/>
            <wp:effectExtent l="0" t="0" r="0" b="0"/>
            <wp:docPr id="754653111" name="Imagen 75465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653111" name="Imagen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53000" cy="2286000"/>
                    </a:xfrm>
                    <a:prstGeom prst="rect">
                      <a:avLst/>
                    </a:prstGeom>
                    <a:noFill/>
                    <a:ln>
                      <a:noFill/>
                    </a:ln>
                  </pic:spPr>
                </pic:pic>
              </a:graphicData>
            </a:graphic>
          </wp:inline>
        </w:drawing>
      </w:r>
      <w:r>
        <w:rPr>
          <w:rStyle w:val="eop"/>
        </w:rPr>
        <w:t> </w:t>
      </w:r>
    </w:p>
    <w:p w14:paraId="6A80C586" w14:textId="427CE1A3" w:rsidR="00825D32" w:rsidRPr="00825D32" w:rsidRDefault="008D0E58" w:rsidP="006B204A">
      <w:pPr>
        <w:pStyle w:val="paragraph"/>
        <w:spacing w:before="0" w:beforeAutospacing="0" w:after="0" w:afterAutospacing="0"/>
        <w:jc w:val="both"/>
        <w:textAlignment w:val="baseline"/>
        <w:rPr>
          <w:color w:val="767171"/>
        </w:rPr>
      </w:pPr>
      <w:r w:rsidRPr="00825D32">
        <w:rPr>
          <w:rStyle w:val="normaltextrun"/>
          <w:b/>
          <w:bCs/>
          <w:color w:val="767171"/>
        </w:rPr>
        <w:t>Fuente</w:t>
      </w:r>
      <w:r w:rsidRPr="00825D32">
        <w:rPr>
          <w:rStyle w:val="normaltextrun"/>
          <w:color w:val="767171"/>
        </w:rPr>
        <w:t xml:space="preserve">: </w:t>
      </w:r>
      <w:r w:rsidR="00D5262D" w:rsidRPr="00825D32">
        <w:rPr>
          <w:rStyle w:val="normaltextrun"/>
          <w:color w:val="767171"/>
        </w:rPr>
        <w:t>Oficina Gubernamental de Tecnologías de la Información y Comunicación (OGTIC)</w:t>
      </w:r>
      <w:r w:rsidR="00825D32" w:rsidRPr="00825D32">
        <w:rPr>
          <w:rStyle w:val="normaltextrun"/>
          <w:color w:val="767171"/>
        </w:rPr>
        <w:t xml:space="preserve"> - </w:t>
      </w:r>
      <w:r w:rsidR="00BA69ED" w:rsidRPr="00825D32">
        <w:rPr>
          <w:rStyle w:val="normaltextrun"/>
          <w:color w:val="767171"/>
        </w:rPr>
        <w:t>Para el año 2023 OGTIC cambio la metodología de evaluación</w:t>
      </w:r>
      <w:r w:rsidR="00825D32" w:rsidRPr="00825D32">
        <w:rPr>
          <w:rStyle w:val="normaltextrun"/>
          <w:color w:val="767171"/>
        </w:rPr>
        <w:t>.</w:t>
      </w:r>
    </w:p>
    <w:p w14:paraId="175029D3" w14:textId="7991823D" w:rsidR="00BA69ED" w:rsidRPr="00324A48" w:rsidRDefault="00BA69ED" w:rsidP="006B204A">
      <w:pPr>
        <w:pStyle w:val="paragraph"/>
        <w:spacing w:before="0" w:beforeAutospacing="0" w:after="0" w:afterAutospacing="0"/>
        <w:jc w:val="center"/>
        <w:textAlignment w:val="baseline"/>
      </w:pPr>
    </w:p>
    <w:p w14:paraId="54165E6E" w14:textId="77777777" w:rsidR="005645F5" w:rsidRPr="005645F5" w:rsidRDefault="005645F5" w:rsidP="006B204A">
      <w:pPr>
        <w:pStyle w:val="paragraph"/>
        <w:spacing w:before="0" w:beforeAutospacing="0" w:after="0" w:afterAutospacing="0" w:line="360" w:lineRule="auto"/>
        <w:ind w:left="1080"/>
        <w:jc w:val="both"/>
        <w:textAlignment w:val="baseline"/>
        <w:rPr>
          <w:rFonts w:eastAsiaTheme="minorHAnsi"/>
          <w:color w:val="767171"/>
          <w:spacing w:val="20"/>
          <w:lang w:eastAsia="en-US"/>
        </w:rPr>
      </w:pPr>
    </w:p>
    <w:p w14:paraId="53CCDB09" w14:textId="05E08A1C" w:rsidR="00E52ED4" w:rsidRPr="00EB0CDA" w:rsidRDefault="009B786D" w:rsidP="006B204A">
      <w:pPr>
        <w:pStyle w:val="Estilo3"/>
        <w:spacing w:before="0" w:after="160" w:line="360" w:lineRule="auto"/>
        <w:rPr>
          <w:b/>
          <w:szCs w:val="24"/>
        </w:rPr>
      </w:pPr>
      <w:bookmarkStart w:id="94" w:name="_Toc122435021"/>
      <w:bookmarkStart w:id="95" w:name="_Toc123046926"/>
      <w:bookmarkStart w:id="96" w:name="_Toc155354623"/>
      <w:r>
        <w:rPr>
          <w:b/>
          <w:szCs w:val="24"/>
        </w:rPr>
        <w:t>4</w:t>
      </w:r>
      <w:r w:rsidR="00E52ED4" w:rsidRPr="00EB0CDA">
        <w:rPr>
          <w:b/>
          <w:szCs w:val="24"/>
        </w:rPr>
        <w:t xml:space="preserve">.5 Desempeño del </w:t>
      </w:r>
      <w:r w:rsidR="00390527">
        <w:rPr>
          <w:b/>
          <w:szCs w:val="24"/>
        </w:rPr>
        <w:t>S</w:t>
      </w:r>
      <w:r w:rsidR="00E52ED4" w:rsidRPr="00EB0CDA">
        <w:rPr>
          <w:b/>
          <w:szCs w:val="24"/>
        </w:rPr>
        <w:t>istema de Planificación y Desarrollo Institucional</w:t>
      </w:r>
      <w:bookmarkEnd w:id="94"/>
      <w:bookmarkEnd w:id="95"/>
      <w:bookmarkEnd w:id="96"/>
    </w:p>
    <w:p w14:paraId="1A252EB3" w14:textId="02A20649" w:rsidR="00A475BD" w:rsidRDefault="00A475BD" w:rsidP="00F6586B">
      <w:pPr>
        <w:spacing w:line="360" w:lineRule="auto"/>
        <w:rPr>
          <w:b/>
          <w:bCs/>
          <w:lang w:val="es-DO"/>
        </w:rPr>
      </w:pPr>
      <w:r>
        <w:rPr>
          <w:b/>
          <w:bCs/>
          <w:lang w:val="es-DO"/>
        </w:rPr>
        <w:t>Planificación Estratégica</w:t>
      </w:r>
    </w:p>
    <w:p w14:paraId="64EEC765" w14:textId="707D43E5" w:rsidR="009F245C" w:rsidRPr="00C865B6" w:rsidRDefault="009D4FF4" w:rsidP="009F245C">
      <w:pPr>
        <w:spacing w:line="360" w:lineRule="auto"/>
        <w:jc w:val="both"/>
        <w:rPr>
          <w:lang w:val="es-DO"/>
        </w:rPr>
      </w:pPr>
      <w:r>
        <w:rPr>
          <w:lang w:val="es-DO"/>
        </w:rPr>
        <w:lastRenderedPageBreak/>
        <w:t xml:space="preserve">Desde el 2021, la </w:t>
      </w:r>
      <w:r w:rsidR="006F5E87">
        <w:rPr>
          <w:lang w:val="es-DO"/>
        </w:rPr>
        <w:t xml:space="preserve">Superintendencia de Bancos ha </w:t>
      </w:r>
      <w:r w:rsidR="008556D8">
        <w:rPr>
          <w:lang w:val="es-DO"/>
        </w:rPr>
        <w:t xml:space="preserve">puesto en marcha su </w:t>
      </w:r>
      <w:r w:rsidR="009F245C">
        <w:rPr>
          <w:lang w:val="es-DO"/>
        </w:rPr>
        <w:t xml:space="preserve">Plan Estratégico Institucional 2021-2024, </w:t>
      </w:r>
      <w:r w:rsidR="008556D8">
        <w:rPr>
          <w:lang w:val="es-DO"/>
        </w:rPr>
        <w:t>compuesto de 6 ejes estratégicos</w:t>
      </w:r>
      <w:r w:rsidR="008556D8" w:rsidRPr="00C865B6">
        <w:rPr>
          <w:lang w:val="es-DO"/>
        </w:rPr>
        <w:t xml:space="preserve"> que tienen como objetivo mejorar la supervisión y regulación de las entidades de intermediación financiera y los intermediarios cambiarios</w:t>
      </w:r>
      <w:r w:rsidR="008556D8">
        <w:rPr>
          <w:lang w:val="es-DO"/>
        </w:rPr>
        <w:t xml:space="preserve">. </w:t>
      </w:r>
      <w:r w:rsidR="00FB4FA0">
        <w:rPr>
          <w:lang w:val="es-DO"/>
        </w:rPr>
        <w:t>L</w:t>
      </w:r>
      <w:r w:rsidR="008556D8">
        <w:rPr>
          <w:lang w:val="es-DO"/>
        </w:rPr>
        <w:t>a</w:t>
      </w:r>
      <w:r w:rsidR="009F245C">
        <w:rPr>
          <w:lang w:val="es-DO"/>
        </w:rPr>
        <w:t xml:space="preserve"> ejecuci</w:t>
      </w:r>
      <w:r w:rsidR="00A3100A">
        <w:rPr>
          <w:lang w:val="es-DO"/>
        </w:rPr>
        <w:t>ón de</w:t>
      </w:r>
      <w:r w:rsidR="009F245C">
        <w:rPr>
          <w:lang w:val="es-DO"/>
        </w:rPr>
        <w:t xml:space="preserve">l </w:t>
      </w:r>
      <w:r w:rsidR="008556D8">
        <w:rPr>
          <w:lang w:val="es-DO"/>
        </w:rPr>
        <w:t xml:space="preserve">PEI </w:t>
      </w:r>
      <w:r w:rsidR="009F245C">
        <w:rPr>
          <w:lang w:val="es-DO"/>
        </w:rPr>
        <w:t xml:space="preserve">2021-2024 alcanzó un nivel de cumplimiento en sus metas de </w:t>
      </w:r>
      <w:r w:rsidR="00F85411">
        <w:rPr>
          <w:lang w:val="es-DO"/>
        </w:rPr>
        <w:t>6</w:t>
      </w:r>
      <w:r w:rsidR="009F245C">
        <w:rPr>
          <w:lang w:val="es-DO"/>
        </w:rPr>
        <w:t>8%</w:t>
      </w:r>
      <w:r w:rsidR="0040769C">
        <w:rPr>
          <w:lang w:val="es-DO"/>
        </w:rPr>
        <w:t xml:space="preserve"> </w:t>
      </w:r>
      <w:r w:rsidR="00FB4FA0">
        <w:rPr>
          <w:lang w:val="es-DO"/>
        </w:rPr>
        <w:t>para el período enero – noviembre 2023.</w:t>
      </w:r>
    </w:p>
    <w:p w14:paraId="40497974" w14:textId="618C25D3" w:rsidR="004A0176" w:rsidRPr="00C865B6" w:rsidRDefault="00D25425" w:rsidP="00D25425">
      <w:pPr>
        <w:spacing w:line="360" w:lineRule="auto"/>
        <w:jc w:val="center"/>
        <w:rPr>
          <w:lang w:val="es-DO"/>
        </w:rPr>
      </w:pPr>
      <w:r>
        <w:rPr>
          <w:lang w:val="es-DO"/>
        </w:rPr>
        <w:t>Gráfico 2: Nivel de ejecución Plan Estratégico.</w:t>
      </w:r>
      <w:r w:rsidR="00EC7C55">
        <w:rPr>
          <w:noProof/>
          <w:lang w:val="es-DO"/>
        </w:rPr>
        <w:drawing>
          <wp:inline distT="0" distB="0" distL="0" distR="0" wp14:anchorId="5014CDEA" wp14:editId="2D61B302">
            <wp:extent cx="5029200" cy="2933700"/>
            <wp:effectExtent l="0" t="0" r="0" b="0"/>
            <wp:docPr id="120113407"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4E4BE2A" w14:textId="76A09D7D" w:rsidR="00312E04" w:rsidRPr="00E81D84" w:rsidRDefault="00D25425" w:rsidP="00E81D84">
      <w:pPr>
        <w:spacing w:line="360" w:lineRule="auto"/>
        <w:jc w:val="center"/>
        <w:rPr>
          <w:lang w:val="es-DO"/>
        </w:rPr>
      </w:pPr>
      <w:r w:rsidRPr="00E81D84">
        <w:rPr>
          <w:b/>
          <w:bCs/>
          <w:lang w:val="es-DO"/>
        </w:rPr>
        <w:t>Fuente</w:t>
      </w:r>
      <w:r w:rsidRPr="00E81D84">
        <w:rPr>
          <w:lang w:val="es-DO"/>
        </w:rPr>
        <w:t>: Elaborac</w:t>
      </w:r>
      <w:r w:rsidR="0033356B" w:rsidRPr="00E81D84">
        <w:rPr>
          <w:lang w:val="es-DO"/>
        </w:rPr>
        <w:t>ión propia</w:t>
      </w:r>
      <w:r w:rsidR="006257AE" w:rsidRPr="00E81D84">
        <w:rPr>
          <w:lang w:val="es-DO"/>
        </w:rPr>
        <w:t xml:space="preserve"> </w:t>
      </w:r>
      <w:r w:rsidR="004B5AF8" w:rsidRPr="00E81D84">
        <w:rPr>
          <w:lang w:val="es-DO"/>
        </w:rPr>
        <w:t>a partir de los datos de la División de Planificación</w:t>
      </w:r>
    </w:p>
    <w:p w14:paraId="07156557" w14:textId="77777777" w:rsidR="004B5AF8" w:rsidRDefault="004B5AF8" w:rsidP="00F6586B">
      <w:pPr>
        <w:spacing w:line="360" w:lineRule="auto"/>
        <w:rPr>
          <w:b/>
          <w:bCs/>
          <w:lang w:val="es-DO"/>
        </w:rPr>
      </w:pPr>
    </w:p>
    <w:p w14:paraId="7A69514C" w14:textId="0AC6C8E3" w:rsidR="00E52ED4" w:rsidRDefault="00E52ED4" w:rsidP="00F6586B">
      <w:pPr>
        <w:spacing w:line="360" w:lineRule="auto"/>
        <w:rPr>
          <w:b/>
          <w:bCs/>
          <w:lang w:val="es-DO"/>
        </w:rPr>
      </w:pPr>
      <w:r w:rsidRPr="00EB0CDA">
        <w:rPr>
          <w:b/>
          <w:bCs/>
          <w:lang w:val="es-DO"/>
        </w:rPr>
        <w:t>Planificación Operativa</w:t>
      </w:r>
    </w:p>
    <w:p w14:paraId="314F73A7" w14:textId="77B6500A" w:rsidR="000059C6" w:rsidRPr="00C865B6" w:rsidRDefault="000059C6" w:rsidP="006B204A">
      <w:pPr>
        <w:spacing w:line="360" w:lineRule="auto"/>
        <w:jc w:val="both"/>
        <w:rPr>
          <w:lang w:val="es-DO"/>
        </w:rPr>
      </w:pPr>
      <w:r w:rsidRPr="00C865B6">
        <w:rPr>
          <w:lang w:val="es-DO"/>
        </w:rPr>
        <w:t>Con el objetivo de alcanzar los resultados esperados en el Plan Estratégico Institucional 2021-2024, se elaboró el Plan Operativo Anual (POA) 202</w:t>
      </w:r>
      <w:r w:rsidR="00E0624D">
        <w:rPr>
          <w:lang w:val="es-DO"/>
        </w:rPr>
        <w:t>3</w:t>
      </w:r>
      <w:r w:rsidRPr="00C865B6">
        <w:rPr>
          <w:lang w:val="es-DO"/>
        </w:rPr>
        <w:t xml:space="preserve">, </w:t>
      </w:r>
      <w:r w:rsidR="007B556B">
        <w:rPr>
          <w:lang w:val="es-DO"/>
        </w:rPr>
        <w:t>conformado por</w:t>
      </w:r>
      <w:r w:rsidRPr="00C865B6">
        <w:rPr>
          <w:lang w:val="es-DO"/>
        </w:rPr>
        <w:t xml:space="preserve"> </w:t>
      </w:r>
      <w:r w:rsidR="006B31C2">
        <w:rPr>
          <w:lang w:val="es-DO"/>
        </w:rPr>
        <w:t>82</w:t>
      </w:r>
      <w:r w:rsidRPr="00C865B6">
        <w:rPr>
          <w:lang w:val="es-DO"/>
        </w:rPr>
        <w:t xml:space="preserve"> proyectos y productos asociados a iniciativas de transformación y producción misional</w:t>
      </w:r>
      <w:r w:rsidR="00B161F7">
        <w:rPr>
          <w:lang w:val="es-DO"/>
        </w:rPr>
        <w:t xml:space="preserve">, </w:t>
      </w:r>
      <w:r w:rsidRPr="00C865B6">
        <w:rPr>
          <w:lang w:val="es-DO"/>
        </w:rPr>
        <w:lastRenderedPageBreak/>
        <w:t xml:space="preserve">ejecutados </w:t>
      </w:r>
      <w:r w:rsidR="00292857" w:rsidRPr="00C865B6">
        <w:rPr>
          <w:lang w:val="es-DO"/>
        </w:rPr>
        <w:t>por</w:t>
      </w:r>
      <w:r w:rsidR="00292857">
        <w:rPr>
          <w:lang w:val="es-DO"/>
        </w:rPr>
        <w:t xml:space="preserve"> </w:t>
      </w:r>
      <w:r w:rsidR="00AD5523">
        <w:rPr>
          <w:lang w:val="es-DO"/>
        </w:rPr>
        <w:t xml:space="preserve">24 </w:t>
      </w:r>
      <w:r w:rsidR="00292857" w:rsidRPr="00C865B6">
        <w:rPr>
          <w:lang w:val="es-DO"/>
        </w:rPr>
        <w:t>departamentos</w:t>
      </w:r>
      <w:r w:rsidRPr="00C865B6">
        <w:rPr>
          <w:lang w:val="es-DO"/>
        </w:rPr>
        <w:t xml:space="preserve"> y áreas de la institución.</w:t>
      </w:r>
      <w:r w:rsidR="005D19B9">
        <w:rPr>
          <w:lang w:val="es-DO"/>
        </w:rPr>
        <w:t xml:space="preserve"> Al corte de noviembre del presente año, l</w:t>
      </w:r>
      <w:r w:rsidRPr="00C865B6">
        <w:rPr>
          <w:lang w:val="es-DO"/>
        </w:rPr>
        <w:t>a ejecución POA</w:t>
      </w:r>
      <w:r w:rsidR="005D19B9">
        <w:rPr>
          <w:lang w:val="es-DO"/>
        </w:rPr>
        <w:t xml:space="preserve"> </w:t>
      </w:r>
      <w:r w:rsidR="006C1E6A">
        <w:rPr>
          <w:lang w:val="es-DO"/>
        </w:rPr>
        <w:t xml:space="preserve">alcanzó </w:t>
      </w:r>
      <w:r w:rsidRPr="00435B75">
        <w:rPr>
          <w:lang w:val="es-DO"/>
        </w:rPr>
        <w:t xml:space="preserve">un </w:t>
      </w:r>
      <w:r w:rsidR="001C3284">
        <w:rPr>
          <w:lang w:val="es-DO"/>
        </w:rPr>
        <w:t>72</w:t>
      </w:r>
      <w:r w:rsidRPr="00435B75">
        <w:rPr>
          <w:lang w:val="es-DO"/>
        </w:rPr>
        <w:t>% de</w:t>
      </w:r>
      <w:r w:rsidRPr="00C865B6">
        <w:rPr>
          <w:lang w:val="es-DO"/>
        </w:rPr>
        <w:t xml:space="preserve"> avance en cuanto a </w:t>
      </w:r>
      <w:r w:rsidR="00DA4B5C">
        <w:rPr>
          <w:lang w:val="es-DO"/>
        </w:rPr>
        <w:t>proyectos y productos</w:t>
      </w:r>
      <w:r w:rsidR="00435B75">
        <w:rPr>
          <w:lang w:val="es-DO"/>
        </w:rPr>
        <w:t xml:space="preserve">, </w:t>
      </w:r>
      <w:r w:rsidR="006C1E6A">
        <w:rPr>
          <w:lang w:val="es-DO"/>
        </w:rPr>
        <w:t xml:space="preserve">con </w:t>
      </w:r>
      <w:r w:rsidR="009465E7">
        <w:rPr>
          <w:lang w:val="es-DO"/>
        </w:rPr>
        <w:t>59</w:t>
      </w:r>
      <w:r w:rsidRPr="00C865B6">
        <w:rPr>
          <w:lang w:val="es-DO"/>
        </w:rPr>
        <w:t xml:space="preserve"> productos y proyectos concluidos.</w:t>
      </w:r>
      <w:r w:rsidR="0045147F">
        <w:rPr>
          <w:lang w:val="es-DO"/>
        </w:rPr>
        <w:t xml:space="preserve"> </w:t>
      </w:r>
    </w:p>
    <w:p w14:paraId="1C867247" w14:textId="0B427953" w:rsidR="00111783" w:rsidRPr="00111783" w:rsidRDefault="007758B2" w:rsidP="00111783">
      <w:pPr>
        <w:spacing w:line="360" w:lineRule="auto"/>
        <w:jc w:val="both"/>
        <w:rPr>
          <w:lang w:val="es-DO"/>
        </w:rPr>
      </w:pPr>
      <w:r>
        <w:rPr>
          <w:lang w:val="es-DO"/>
        </w:rPr>
        <w:t xml:space="preserve">Asimismo, se llevó a cabo la implementación de una </w:t>
      </w:r>
      <w:r w:rsidR="00CA6B90" w:rsidRPr="0013285B">
        <w:rPr>
          <w:lang w:val="es-DO"/>
        </w:rPr>
        <w:t>Oficina de Gestión de Proyectos</w:t>
      </w:r>
      <w:r w:rsidR="00F83F4B">
        <w:rPr>
          <w:lang w:val="es-DO"/>
        </w:rPr>
        <w:t xml:space="preserve"> </w:t>
      </w:r>
      <w:r w:rsidRPr="0013285B">
        <w:rPr>
          <w:lang w:val="es-DO"/>
        </w:rPr>
        <w:t>(PMO</w:t>
      </w:r>
      <w:r w:rsidR="0013285B" w:rsidRPr="0013285B">
        <w:rPr>
          <w:lang w:val="es-DO"/>
        </w:rPr>
        <w:t xml:space="preserve"> por sus siglas en inglés</w:t>
      </w:r>
      <w:r w:rsidRPr="0013285B">
        <w:rPr>
          <w:lang w:val="es-DO"/>
        </w:rPr>
        <w:t>)</w:t>
      </w:r>
      <w:r w:rsidR="0013285B" w:rsidRPr="0013285B">
        <w:rPr>
          <w:lang w:val="es-DO"/>
        </w:rPr>
        <w:t>.</w:t>
      </w:r>
      <w:r w:rsidR="00CA6B90">
        <w:rPr>
          <w:b/>
          <w:bCs/>
          <w:lang w:val="es-DO"/>
        </w:rPr>
        <w:t xml:space="preserve"> </w:t>
      </w:r>
      <w:r w:rsidR="00CA6B90" w:rsidRPr="00CA6B90">
        <w:rPr>
          <w:lang w:val="es-DO"/>
        </w:rPr>
        <w:t>Mediante este proyecto, la institución establec</w:t>
      </w:r>
      <w:r w:rsidR="000F3A05">
        <w:rPr>
          <w:lang w:val="es-DO"/>
        </w:rPr>
        <w:t>ió</w:t>
      </w:r>
      <w:r w:rsidR="00CA6B90" w:rsidRPr="00CA6B90">
        <w:rPr>
          <w:lang w:val="es-DO"/>
        </w:rPr>
        <w:t xml:space="preserve"> </w:t>
      </w:r>
      <w:r w:rsidR="00111783" w:rsidRPr="00111783">
        <w:rPr>
          <w:lang w:val="es-DO"/>
        </w:rPr>
        <w:t>una metodología estandarizada de dirección de proyectos en la Superintendencia de Bancos</w:t>
      </w:r>
      <w:r w:rsidR="000F3A05">
        <w:rPr>
          <w:lang w:val="es-DO"/>
        </w:rPr>
        <w:t>, con el objetivo de</w:t>
      </w:r>
      <w:r w:rsidR="00111783" w:rsidRPr="00111783">
        <w:rPr>
          <w:lang w:val="es-DO"/>
        </w:rPr>
        <w:t xml:space="preserve"> respald</w:t>
      </w:r>
      <w:r w:rsidR="00700E8E">
        <w:rPr>
          <w:lang w:val="es-DO"/>
        </w:rPr>
        <w:t>ar</w:t>
      </w:r>
      <w:r w:rsidR="00111783" w:rsidRPr="00111783">
        <w:rPr>
          <w:lang w:val="es-DO"/>
        </w:rPr>
        <w:t xml:space="preserve"> el logro de la estrategia institucional y de este modo </w:t>
      </w:r>
      <w:r w:rsidR="00E02597">
        <w:rPr>
          <w:lang w:val="es-DO"/>
        </w:rPr>
        <w:t xml:space="preserve">propiciar </w:t>
      </w:r>
      <w:r w:rsidR="00820B10">
        <w:rPr>
          <w:lang w:val="es-DO"/>
        </w:rPr>
        <w:t xml:space="preserve">la </w:t>
      </w:r>
      <w:r w:rsidR="00204355">
        <w:rPr>
          <w:lang w:val="es-DO"/>
        </w:rPr>
        <w:t>consecución</w:t>
      </w:r>
      <w:r w:rsidR="00820B10">
        <w:rPr>
          <w:lang w:val="es-DO"/>
        </w:rPr>
        <w:t xml:space="preserve"> de su</w:t>
      </w:r>
      <w:r w:rsidR="00E02597">
        <w:rPr>
          <w:lang w:val="es-DO"/>
        </w:rPr>
        <w:t xml:space="preserve"> visión</w:t>
      </w:r>
      <w:r w:rsidR="00383B2B">
        <w:rPr>
          <w:lang w:val="es-DO"/>
        </w:rPr>
        <w:t>.</w:t>
      </w:r>
    </w:p>
    <w:p w14:paraId="164FD7A0" w14:textId="56CC680C" w:rsidR="00BD77DC" w:rsidRPr="00C865B6" w:rsidRDefault="00DB148C" w:rsidP="006B204A">
      <w:pPr>
        <w:spacing w:line="360" w:lineRule="auto"/>
        <w:jc w:val="both"/>
        <w:rPr>
          <w:lang w:val="es-DO"/>
        </w:rPr>
      </w:pPr>
      <w:r>
        <w:rPr>
          <w:lang w:val="es-DO"/>
        </w:rPr>
        <w:t xml:space="preserve">En el año 2023, </w:t>
      </w:r>
      <w:r w:rsidR="00111783" w:rsidRPr="00111783">
        <w:rPr>
          <w:lang w:val="es-DO"/>
        </w:rPr>
        <w:t>se ha incluido</w:t>
      </w:r>
      <w:r w:rsidR="001F77EF">
        <w:rPr>
          <w:lang w:val="es-DO"/>
        </w:rPr>
        <w:t xml:space="preserve"> en el alcance de la PMO</w:t>
      </w:r>
      <w:r w:rsidR="00111783" w:rsidRPr="00111783">
        <w:rPr>
          <w:lang w:val="es-DO"/>
        </w:rPr>
        <w:t xml:space="preserve"> la gestión de tres programas estratégicos</w:t>
      </w:r>
      <w:r w:rsidR="000E6CC8">
        <w:rPr>
          <w:lang w:val="es-DO"/>
        </w:rPr>
        <w:t xml:space="preserve">, compuestos por </w:t>
      </w:r>
      <w:r w:rsidR="00111783" w:rsidRPr="00111783">
        <w:rPr>
          <w:lang w:val="es-DO"/>
        </w:rPr>
        <w:t>20 proyectos del total de 63 proyectos del Plan Operativo Anual (POA) 2023, representando el 31.7% del portafolio de proyectos de la SB. Los tipos de proyectos seleccionados incluyen prácticas de gestión en materia de construcción, soluciones tecnológicas y certificaciones de estándares internacionales</w:t>
      </w:r>
    </w:p>
    <w:p w14:paraId="5B555D41" w14:textId="79463A3F" w:rsidR="008007A7" w:rsidRPr="00F34108" w:rsidRDefault="00E52ED4" w:rsidP="001E280B">
      <w:pPr>
        <w:spacing w:line="360" w:lineRule="auto"/>
        <w:rPr>
          <w:b/>
          <w:lang w:val="es-DO"/>
        </w:rPr>
      </w:pPr>
      <w:r w:rsidRPr="00C865B6">
        <w:rPr>
          <w:b/>
          <w:bCs/>
          <w:lang w:val="es-DO"/>
        </w:rPr>
        <w:t>Desarrollo Organizacional</w:t>
      </w:r>
    </w:p>
    <w:p w14:paraId="1A94FE6A" w14:textId="66B51FDE" w:rsidR="008007A7" w:rsidRPr="008007A7" w:rsidRDefault="00383B2B" w:rsidP="006B204A">
      <w:pPr>
        <w:spacing w:line="360" w:lineRule="auto"/>
        <w:jc w:val="both"/>
        <w:rPr>
          <w:lang w:val="es-DO"/>
        </w:rPr>
      </w:pPr>
      <w:r>
        <w:rPr>
          <w:lang w:val="es-DO"/>
        </w:rPr>
        <w:t>En lo referente</w:t>
      </w:r>
      <w:r w:rsidR="008007A7" w:rsidRPr="008007A7">
        <w:rPr>
          <w:lang w:val="es-DO"/>
        </w:rPr>
        <w:t xml:space="preserve"> </w:t>
      </w:r>
      <w:r>
        <w:rPr>
          <w:lang w:val="es-DO"/>
        </w:rPr>
        <w:t>desarrollo organizacional</w:t>
      </w:r>
      <w:r w:rsidR="008007A7" w:rsidRPr="008007A7">
        <w:rPr>
          <w:lang w:val="es-DO"/>
        </w:rPr>
        <w:t xml:space="preserve"> la Superintendencia de Bancos </w:t>
      </w:r>
      <w:r w:rsidR="001469A6">
        <w:rPr>
          <w:lang w:val="es-DO"/>
        </w:rPr>
        <w:t>tuvo un</w:t>
      </w:r>
      <w:r w:rsidR="008007A7" w:rsidRPr="008007A7">
        <w:rPr>
          <w:lang w:val="es-DO"/>
        </w:rPr>
        <w:t xml:space="preserve"> enfoque hacia la transformación y desarrollo de las operaciones, la gestión de riesgo por procesos, la prevención de riesgos laborales, la sostenibilidad ambiental y la equidad de género. A continuación, las principales iniciativas realizadas en estos temas.</w:t>
      </w:r>
    </w:p>
    <w:p w14:paraId="07F47632" w14:textId="18265557" w:rsidR="006A7B6C" w:rsidRPr="008007A7" w:rsidRDefault="008007A7" w:rsidP="00CB4994">
      <w:pPr>
        <w:pStyle w:val="Prrafodelista"/>
        <w:numPr>
          <w:ilvl w:val="0"/>
          <w:numId w:val="22"/>
        </w:numPr>
        <w:spacing w:after="160" w:line="360" w:lineRule="auto"/>
        <w:contextualSpacing w:val="0"/>
        <w:jc w:val="both"/>
        <w:rPr>
          <w:rFonts w:ascii="Times New Roman" w:hAnsi="Times New Roman"/>
          <w:color w:val="767171"/>
          <w:spacing w:val="20"/>
          <w:sz w:val="24"/>
          <w:szCs w:val="24"/>
        </w:rPr>
      </w:pPr>
      <w:r w:rsidRPr="008007A7">
        <w:rPr>
          <w:rFonts w:ascii="Times New Roman" w:hAnsi="Times New Roman"/>
          <w:color w:val="767171"/>
          <w:spacing w:val="20"/>
          <w:sz w:val="24"/>
          <w:szCs w:val="24"/>
        </w:rPr>
        <w:t xml:space="preserve">La Superintendencia de Bancos implementó su política medioambiental a través del proyecto interno SB GREEN, fruto de la alianza instaurada con la empresa certificadora Sostenibilidad 3Rs, para lograr una superintendencia más sostenible y medioambientalmente responsable con los procesos </w:t>
      </w:r>
      <w:r w:rsidRPr="008007A7">
        <w:rPr>
          <w:rFonts w:ascii="Times New Roman" w:hAnsi="Times New Roman"/>
          <w:color w:val="767171"/>
          <w:spacing w:val="20"/>
          <w:sz w:val="24"/>
          <w:szCs w:val="24"/>
        </w:rPr>
        <w:lastRenderedPageBreak/>
        <w:t>de manejo de residuos sólidos y sistemas sostenibles, cumpliendo así con los objetivos 3, 6, 7, 11, 12, 16 y 17 de desarrollo sostenible de la ONU.</w:t>
      </w:r>
    </w:p>
    <w:p w14:paraId="457C2377" w14:textId="68227CA9" w:rsidR="008007A7" w:rsidRPr="008007A7" w:rsidRDefault="008007A7" w:rsidP="00CB4994">
      <w:pPr>
        <w:pStyle w:val="Prrafodelista"/>
        <w:numPr>
          <w:ilvl w:val="0"/>
          <w:numId w:val="22"/>
        </w:numPr>
        <w:spacing w:line="360" w:lineRule="auto"/>
        <w:contextualSpacing w:val="0"/>
        <w:jc w:val="both"/>
        <w:rPr>
          <w:rFonts w:ascii="Times New Roman" w:hAnsi="Times New Roman"/>
          <w:color w:val="767171"/>
          <w:spacing w:val="20"/>
          <w:sz w:val="24"/>
          <w:szCs w:val="24"/>
        </w:rPr>
      </w:pPr>
      <w:r w:rsidRPr="008007A7">
        <w:rPr>
          <w:rFonts w:ascii="Times New Roman" w:hAnsi="Times New Roman"/>
          <w:color w:val="767171"/>
          <w:spacing w:val="20"/>
          <w:sz w:val="24"/>
          <w:szCs w:val="24"/>
        </w:rPr>
        <w:t xml:space="preserve">En el marco de la implementación del Programa de Gestión Ambiental, la institución fue reconocida por destacar entre las organizaciones certificadas del Sector Público, en la mejora continua de sus procesos del Sistema de Gestión Ambiental. El reconocimiento fue entregado por el </w:t>
      </w:r>
      <w:proofErr w:type="gramStart"/>
      <w:r w:rsidRPr="008007A7">
        <w:rPr>
          <w:rFonts w:ascii="Times New Roman" w:hAnsi="Times New Roman"/>
          <w:color w:val="767171"/>
          <w:spacing w:val="20"/>
          <w:sz w:val="24"/>
          <w:szCs w:val="24"/>
        </w:rPr>
        <w:t>Ministro</w:t>
      </w:r>
      <w:proofErr w:type="gramEnd"/>
      <w:r w:rsidRPr="008007A7">
        <w:rPr>
          <w:rFonts w:ascii="Times New Roman" w:hAnsi="Times New Roman"/>
          <w:color w:val="767171"/>
          <w:spacing w:val="20"/>
          <w:sz w:val="24"/>
          <w:szCs w:val="24"/>
        </w:rPr>
        <w:t xml:space="preserve"> de Economía, Planificación y Desarrollo, en conjunto con la presidenta de Sostenibilidad 3Rs y la Embajadora de la Unión Europea en la Rep. Dom.</w:t>
      </w:r>
    </w:p>
    <w:p w14:paraId="4669780D" w14:textId="77777777" w:rsidR="008007A7" w:rsidRPr="008007A7" w:rsidRDefault="008007A7" w:rsidP="006B204A">
      <w:pPr>
        <w:spacing w:line="360" w:lineRule="auto"/>
        <w:jc w:val="both"/>
        <w:rPr>
          <w:lang w:val="es-DO"/>
        </w:rPr>
      </w:pPr>
      <w:r w:rsidRPr="008007A7">
        <w:rPr>
          <w:lang w:val="es-DO"/>
        </w:rPr>
        <w:t xml:space="preserve">Así mismo, la Superintendencia de Bancos continúa implementando su Sistema de Gestión de Calidad, basada en la Norma ISO 9001:2015, buscando la mejora continua de los procesos. Este despliegue ha sido planificado en 3 etapas, culminando en el 2024. </w:t>
      </w:r>
    </w:p>
    <w:p w14:paraId="572F732C" w14:textId="77777777" w:rsidR="008007A7" w:rsidRPr="008007A7" w:rsidRDefault="008007A7" w:rsidP="006B204A">
      <w:pPr>
        <w:spacing w:line="360" w:lineRule="auto"/>
        <w:jc w:val="both"/>
        <w:rPr>
          <w:lang w:val="es-DO"/>
        </w:rPr>
      </w:pPr>
      <w:r w:rsidRPr="008007A7">
        <w:rPr>
          <w:lang w:val="es-DO"/>
        </w:rPr>
        <w:t>Sobre este proyecto, a la fecha podemos citar las siguientes acciones relevantes:</w:t>
      </w:r>
    </w:p>
    <w:p w14:paraId="1E5B7A9E" w14:textId="7F99E3AC" w:rsidR="008007A7" w:rsidRPr="008007A7" w:rsidRDefault="008007A7" w:rsidP="00CB4994">
      <w:pPr>
        <w:pStyle w:val="Prrafodelista"/>
        <w:numPr>
          <w:ilvl w:val="0"/>
          <w:numId w:val="22"/>
        </w:numPr>
        <w:spacing w:line="360" w:lineRule="auto"/>
        <w:contextualSpacing w:val="0"/>
        <w:jc w:val="both"/>
        <w:rPr>
          <w:rFonts w:ascii="Times New Roman" w:hAnsi="Times New Roman"/>
          <w:color w:val="767171"/>
          <w:spacing w:val="20"/>
          <w:sz w:val="24"/>
          <w:szCs w:val="24"/>
        </w:rPr>
      </w:pPr>
      <w:r w:rsidRPr="008007A7">
        <w:rPr>
          <w:rFonts w:ascii="Times New Roman" w:hAnsi="Times New Roman"/>
          <w:color w:val="767171"/>
          <w:spacing w:val="20"/>
          <w:sz w:val="24"/>
          <w:szCs w:val="24"/>
        </w:rPr>
        <w:t>Ratifica</w:t>
      </w:r>
      <w:r w:rsidR="001469A6">
        <w:rPr>
          <w:rFonts w:ascii="Times New Roman" w:hAnsi="Times New Roman"/>
          <w:color w:val="767171"/>
          <w:spacing w:val="20"/>
          <w:sz w:val="24"/>
          <w:szCs w:val="24"/>
        </w:rPr>
        <w:t>ción de</w:t>
      </w:r>
      <w:r w:rsidRPr="008007A7">
        <w:rPr>
          <w:rFonts w:ascii="Times New Roman" w:hAnsi="Times New Roman"/>
          <w:color w:val="767171"/>
          <w:spacing w:val="20"/>
          <w:sz w:val="24"/>
          <w:szCs w:val="24"/>
        </w:rPr>
        <w:t xml:space="preserve"> conformidad para los procesos de ProUsuario, Registro &amp; Autorizaciones y áreas de apoyo a estas operaciones, que fueron certificados en la etapa 1.</w:t>
      </w:r>
    </w:p>
    <w:p w14:paraId="367BC9F4" w14:textId="0A947C30" w:rsidR="008007A7" w:rsidRPr="008007A7" w:rsidRDefault="008007A7" w:rsidP="00CB4994">
      <w:pPr>
        <w:pStyle w:val="Prrafodelista"/>
        <w:numPr>
          <w:ilvl w:val="0"/>
          <w:numId w:val="22"/>
        </w:numPr>
        <w:spacing w:line="360" w:lineRule="auto"/>
        <w:contextualSpacing w:val="0"/>
        <w:jc w:val="both"/>
        <w:rPr>
          <w:rFonts w:ascii="Times New Roman" w:hAnsi="Times New Roman"/>
          <w:color w:val="767171"/>
          <w:spacing w:val="20"/>
          <w:sz w:val="24"/>
          <w:szCs w:val="24"/>
        </w:rPr>
      </w:pPr>
      <w:r w:rsidRPr="008007A7">
        <w:rPr>
          <w:rFonts w:ascii="Times New Roman" w:hAnsi="Times New Roman"/>
          <w:color w:val="767171"/>
          <w:spacing w:val="20"/>
          <w:sz w:val="24"/>
          <w:szCs w:val="24"/>
        </w:rPr>
        <w:t>Amplia</w:t>
      </w:r>
      <w:r w:rsidR="001469A6">
        <w:rPr>
          <w:rFonts w:ascii="Times New Roman" w:hAnsi="Times New Roman"/>
          <w:color w:val="767171"/>
          <w:spacing w:val="20"/>
          <w:sz w:val="24"/>
          <w:szCs w:val="24"/>
        </w:rPr>
        <w:t>ción de</w:t>
      </w:r>
      <w:r w:rsidR="00280078">
        <w:rPr>
          <w:rFonts w:ascii="Times New Roman" w:hAnsi="Times New Roman"/>
          <w:color w:val="767171"/>
          <w:spacing w:val="20"/>
          <w:sz w:val="24"/>
          <w:szCs w:val="24"/>
        </w:rPr>
        <w:t>l</w:t>
      </w:r>
      <w:r w:rsidRPr="008007A7">
        <w:rPr>
          <w:rFonts w:ascii="Times New Roman" w:hAnsi="Times New Roman"/>
          <w:color w:val="767171"/>
          <w:spacing w:val="20"/>
          <w:sz w:val="24"/>
          <w:szCs w:val="24"/>
        </w:rPr>
        <w:t xml:space="preserve"> alcance </w:t>
      </w:r>
      <w:r w:rsidR="00280078">
        <w:rPr>
          <w:rFonts w:ascii="Times New Roman" w:hAnsi="Times New Roman"/>
          <w:color w:val="767171"/>
          <w:spacing w:val="20"/>
          <w:sz w:val="24"/>
          <w:szCs w:val="24"/>
        </w:rPr>
        <w:t>certificable</w:t>
      </w:r>
      <w:r w:rsidRPr="008007A7">
        <w:rPr>
          <w:rFonts w:ascii="Times New Roman" w:hAnsi="Times New Roman"/>
          <w:color w:val="767171"/>
          <w:spacing w:val="20"/>
          <w:sz w:val="24"/>
          <w:szCs w:val="24"/>
        </w:rPr>
        <w:t xml:space="preserve"> </w:t>
      </w:r>
      <w:r w:rsidR="00280078">
        <w:rPr>
          <w:rFonts w:ascii="Times New Roman" w:hAnsi="Times New Roman"/>
          <w:color w:val="767171"/>
          <w:spacing w:val="20"/>
          <w:sz w:val="24"/>
          <w:szCs w:val="24"/>
        </w:rPr>
        <w:t>a</w:t>
      </w:r>
      <w:r w:rsidR="00914B25">
        <w:rPr>
          <w:rFonts w:ascii="Times New Roman" w:hAnsi="Times New Roman"/>
          <w:color w:val="767171"/>
          <w:spacing w:val="20"/>
          <w:sz w:val="24"/>
          <w:szCs w:val="24"/>
        </w:rPr>
        <w:t xml:space="preserve"> los</w:t>
      </w:r>
      <w:r w:rsidRPr="008007A7">
        <w:rPr>
          <w:rFonts w:ascii="Times New Roman" w:hAnsi="Times New Roman"/>
          <w:color w:val="767171"/>
          <w:spacing w:val="20"/>
          <w:sz w:val="24"/>
          <w:szCs w:val="24"/>
        </w:rPr>
        <w:t xml:space="preserve"> proceso</w:t>
      </w:r>
      <w:r w:rsidR="00280078">
        <w:rPr>
          <w:rFonts w:ascii="Times New Roman" w:hAnsi="Times New Roman"/>
          <w:color w:val="767171"/>
          <w:spacing w:val="20"/>
          <w:sz w:val="24"/>
          <w:szCs w:val="24"/>
        </w:rPr>
        <w:t>s</w:t>
      </w:r>
      <w:r w:rsidRPr="008007A7">
        <w:rPr>
          <w:rFonts w:ascii="Times New Roman" w:hAnsi="Times New Roman"/>
          <w:color w:val="767171"/>
          <w:spacing w:val="20"/>
          <w:sz w:val="24"/>
          <w:szCs w:val="24"/>
        </w:rPr>
        <w:t xml:space="preserve"> de Supervisión PLAFT y </w:t>
      </w:r>
      <w:r w:rsidR="00E24407">
        <w:rPr>
          <w:rFonts w:ascii="Times New Roman" w:hAnsi="Times New Roman"/>
          <w:color w:val="767171"/>
          <w:spacing w:val="20"/>
          <w:sz w:val="24"/>
          <w:szCs w:val="24"/>
        </w:rPr>
        <w:t xml:space="preserve">el </w:t>
      </w:r>
      <w:r w:rsidRPr="008007A7">
        <w:rPr>
          <w:rFonts w:ascii="Times New Roman" w:hAnsi="Times New Roman"/>
          <w:color w:val="767171"/>
          <w:spacing w:val="20"/>
          <w:sz w:val="24"/>
          <w:szCs w:val="24"/>
        </w:rPr>
        <w:t xml:space="preserve">proceso Administrativo Sancionador </w:t>
      </w:r>
      <w:r w:rsidR="00E24407">
        <w:rPr>
          <w:rFonts w:ascii="Times New Roman" w:hAnsi="Times New Roman"/>
          <w:color w:val="767171"/>
          <w:spacing w:val="20"/>
          <w:sz w:val="24"/>
          <w:szCs w:val="24"/>
        </w:rPr>
        <w:t>del</w:t>
      </w:r>
      <w:r w:rsidRPr="008007A7">
        <w:rPr>
          <w:rFonts w:ascii="Times New Roman" w:hAnsi="Times New Roman"/>
          <w:color w:val="767171"/>
          <w:spacing w:val="20"/>
          <w:sz w:val="24"/>
          <w:szCs w:val="24"/>
        </w:rPr>
        <w:t xml:space="preserve"> departamento de Sanciones. </w:t>
      </w:r>
    </w:p>
    <w:p w14:paraId="45FF6537" w14:textId="00D3305E" w:rsidR="008007A7" w:rsidRPr="008007A7" w:rsidRDefault="008007A7" w:rsidP="00CB4994">
      <w:pPr>
        <w:pStyle w:val="Prrafodelista"/>
        <w:numPr>
          <w:ilvl w:val="0"/>
          <w:numId w:val="22"/>
        </w:numPr>
        <w:spacing w:line="360" w:lineRule="auto"/>
        <w:contextualSpacing w:val="0"/>
        <w:jc w:val="both"/>
        <w:rPr>
          <w:rFonts w:ascii="Times New Roman" w:hAnsi="Times New Roman"/>
          <w:color w:val="767171"/>
          <w:spacing w:val="20"/>
          <w:sz w:val="24"/>
          <w:szCs w:val="24"/>
        </w:rPr>
      </w:pPr>
      <w:r w:rsidRPr="008007A7">
        <w:rPr>
          <w:rFonts w:ascii="Times New Roman" w:hAnsi="Times New Roman"/>
          <w:color w:val="767171"/>
          <w:spacing w:val="20"/>
          <w:sz w:val="24"/>
          <w:szCs w:val="24"/>
        </w:rPr>
        <w:t xml:space="preserve">En curso la última de las 3 etapas de implementación planificadas, ampliando el alcance para incluir los procesos del departamento de Monitoreo de Riesgos y los procesos de </w:t>
      </w:r>
      <w:r w:rsidR="00645AF5">
        <w:rPr>
          <w:rFonts w:ascii="Times New Roman" w:hAnsi="Times New Roman"/>
          <w:color w:val="767171"/>
          <w:spacing w:val="20"/>
          <w:sz w:val="24"/>
          <w:szCs w:val="24"/>
        </w:rPr>
        <w:t>G</w:t>
      </w:r>
      <w:r w:rsidRPr="008007A7">
        <w:rPr>
          <w:rFonts w:ascii="Times New Roman" w:hAnsi="Times New Roman"/>
          <w:color w:val="767171"/>
          <w:spacing w:val="20"/>
          <w:sz w:val="24"/>
          <w:szCs w:val="24"/>
        </w:rPr>
        <w:t>estión de Auditores Externos del departamento de Regulación.</w:t>
      </w:r>
    </w:p>
    <w:p w14:paraId="7E06BF46" w14:textId="1082AE42" w:rsidR="00DD797A" w:rsidRPr="007630F3" w:rsidRDefault="006324B2" w:rsidP="001E280B">
      <w:pPr>
        <w:pStyle w:val="Prrafodelista"/>
        <w:numPr>
          <w:ilvl w:val="0"/>
          <w:numId w:val="22"/>
        </w:numPr>
        <w:spacing w:line="360" w:lineRule="auto"/>
        <w:contextualSpacing w:val="0"/>
        <w:jc w:val="both"/>
        <w:rPr>
          <w:rFonts w:ascii="Times New Roman" w:hAnsi="Times New Roman"/>
          <w:color w:val="767171"/>
          <w:spacing w:val="20"/>
          <w:sz w:val="24"/>
          <w:szCs w:val="24"/>
        </w:rPr>
      </w:pPr>
      <w:r>
        <w:rPr>
          <w:rFonts w:ascii="Times New Roman" w:hAnsi="Times New Roman"/>
          <w:color w:val="767171"/>
          <w:spacing w:val="20"/>
          <w:sz w:val="24"/>
          <w:szCs w:val="24"/>
        </w:rPr>
        <w:lastRenderedPageBreak/>
        <w:t>Mejora</w:t>
      </w:r>
      <w:r w:rsidR="001001B9">
        <w:rPr>
          <w:rFonts w:ascii="Times New Roman" w:hAnsi="Times New Roman"/>
          <w:color w:val="767171"/>
          <w:spacing w:val="20"/>
          <w:sz w:val="24"/>
          <w:szCs w:val="24"/>
        </w:rPr>
        <w:t xml:space="preserve"> sustancial</w:t>
      </w:r>
      <w:r w:rsidR="008007A7" w:rsidRPr="008007A7">
        <w:rPr>
          <w:rFonts w:ascii="Times New Roman" w:hAnsi="Times New Roman"/>
          <w:color w:val="767171"/>
          <w:spacing w:val="20"/>
          <w:sz w:val="24"/>
          <w:szCs w:val="24"/>
        </w:rPr>
        <w:t xml:space="preserve"> </w:t>
      </w:r>
      <w:r w:rsidR="001001B9">
        <w:rPr>
          <w:rFonts w:ascii="Times New Roman" w:hAnsi="Times New Roman"/>
          <w:color w:val="767171"/>
          <w:spacing w:val="20"/>
          <w:sz w:val="24"/>
          <w:szCs w:val="24"/>
        </w:rPr>
        <w:t>en</w:t>
      </w:r>
      <w:r w:rsidR="008007A7" w:rsidRPr="008007A7">
        <w:rPr>
          <w:rFonts w:ascii="Times New Roman" w:hAnsi="Times New Roman"/>
          <w:color w:val="767171"/>
          <w:spacing w:val="20"/>
          <w:sz w:val="24"/>
          <w:szCs w:val="24"/>
        </w:rPr>
        <w:t xml:space="preserve"> la administración y custodia de documentación controlada</w:t>
      </w:r>
      <w:r w:rsidR="001001B9">
        <w:rPr>
          <w:rFonts w:ascii="Times New Roman" w:hAnsi="Times New Roman"/>
          <w:color w:val="767171"/>
          <w:spacing w:val="20"/>
          <w:sz w:val="24"/>
          <w:szCs w:val="24"/>
        </w:rPr>
        <w:t xml:space="preserve"> mediante la </w:t>
      </w:r>
      <w:r w:rsidR="008007A7" w:rsidRPr="008007A7">
        <w:rPr>
          <w:rFonts w:ascii="Times New Roman" w:hAnsi="Times New Roman"/>
          <w:color w:val="767171"/>
          <w:spacing w:val="20"/>
          <w:sz w:val="24"/>
          <w:szCs w:val="24"/>
        </w:rPr>
        <w:t>implementa</w:t>
      </w:r>
      <w:r w:rsidR="001001B9">
        <w:rPr>
          <w:rFonts w:ascii="Times New Roman" w:hAnsi="Times New Roman"/>
          <w:color w:val="767171"/>
          <w:spacing w:val="20"/>
          <w:sz w:val="24"/>
          <w:szCs w:val="24"/>
        </w:rPr>
        <w:t>ción</w:t>
      </w:r>
      <w:r w:rsidR="00411D69">
        <w:rPr>
          <w:rFonts w:ascii="Times New Roman" w:hAnsi="Times New Roman"/>
          <w:color w:val="767171"/>
          <w:spacing w:val="20"/>
          <w:sz w:val="24"/>
          <w:szCs w:val="24"/>
        </w:rPr>
        <w:t xml:space="preserve"> de </w:t>
      </w:r>
      <w:r w:rsidR="00797869">
        <w:rPr>
          <w:rFonts w:ascii="Times New Roman" w:hAnsi="Times New Roman"/>
          <w:color w:val="767171"/>
          <w:spacing w:val="20"/>
          <w:sz w:val="24"/>
          <w:szCs w:val="24"/>
        </w:rPr>
        <w:t>un</w:t>
      </w:r>
      <w:r w:rsidR="008007A7" w:rsidRPr="008007A7">
        <w:rPr>
          <w:rFonts w:ascii="Times New Roman" w:hAnsi="Times New Roman"/>
          <w:color w:val="767171"/>
          <w:spacing w:val="20"/>
          <w:sz w:val="24"/>
          <w:szCs w:val="24"/>
        </w:rPr>
        <w:t xml:space="preserve"> repositorio</w:t>
      </w:r>
      <w:r w:rsidR="006019D2">
        <w:rPr>
          <w:rFonts w:ascii="Times New Roman" w:hAnsi="Times New Roman"/>
          <w:color w:val="767171"/>
          <w:spacing w:val="20"/>
          <w:sz w:val="24"/>
          <w:szCs w:val="24"/>
        </w:rPr>
        <w:t xml:space="preserve"> web</w:t>
      </w:r>
      <w:r w:rsidR="00D76AB9">
        <w:rPr>
          <w:rFonts w:ascii="Times New Roman" w:hAnsi="Times New Roman"/>
          <w:color w:val="767171"/>
          <w:spacing w:val="20"/>
          <w:sz w:val="24"/>
          <w:szCs w:val="24"/>
        </w:rPr>
        <w:t xml:space="preserve"> </w:t>
      </w:r>
      <w:r w:rsidR="003B5551">
        <w:rPr>
          <w:rFonts w:ascii="Times New Roman" w:hAnsi="Times New Roman"/>
          <w:color w:val="767171"/>
          <w:spacing w:val="20"/>
          <w:sz w:val="24"/>
          <w:szCs w:val="24"/>
        </w:rPr>
        <w:t xml:space="preserve">interno </w:t>
      </w:r>
      <w:r w:rsidR="00D76AB9">
        <w:rPr>
          <w:rFonts w:ascii="Times New Roman" w:hAnsi="Times New Roman"/>
          <w:color w:val="767171"/>
          <w:spacing w:val="20"/>
          <w:sz w:val="24"/>
          <w:szCs w:val="24"/>
        </w:rPr>
        <w:t xml:space="preserve">de </w:t>
      </w:r>
      <w:r w:rsidR="00DC28C5">
        <w:rPr>
          <w:rFonts w:ascii="Times New Roman" w:hAnsi="Times New Roman"/>
          <w:color w:val="767171"/>
          <w:spacing w:val="20"/>
          <w:sz w:val="24"/>
          <w:szCs w:val="24"/>
        </w:rPr>
        <w:t xml:space="preserve">políticas, procedimientos y </w:t>
      </w:r>
      <w:r w:rsidR="00D74E3E">
        <w:rPr>
          <w:rFonts w:ascii="Times New Roman" w:hAnsi="Times New Roman"/>
          <w:color w:val="767171"/>
          <w:spacing w:val="20"/>
          <w:sz w:val="24"/>
          <w:szCs w:val="24"/>
        </w:rPr>
        <w:t>formatos controlados</w:t>
      </w:r>
      <w:r w:rsidR="006019D2">
        <w:rPr>
          <w:rFonts w:ascii="Times New Roman" w:hAnsi="Times New Roman"/>
          <w:color w:val="767171"/>
          <w:spacing w:val="20"/>
          <w:sz w:val="24"/>
          <w:szCs w:val="24"/>
        </w:rPr>
        <w:t>.</w:t>
      </w:r>
      <w:r w:rsidR="008007A7" w:rsidRPr="008007A7">
        <w:rPr>
          <w:rFonts w:ascii="Times New Roman" w:hAnsi="Times New Roman"/>
          <w:color w:val="767171"/>
          <w:spacing w:val="20"/>
          <w:sz w:val="24"/>
          <w:szCs w:val="24"/>
        </w:rPr>
        <w:t xml:space="preserve"> </w:t>
      </w:r>
      <w:r w:rsidR="007738D7">
        <w:rPr>
          <w:rFonts w:ascii="Times New Roman" w:hAnsi="Times New Roman"/>
          <w:color w:val="767171"/>
          <w:spacing w:val="20"/>
          <w:sz w:val="24"/>
          <w:szCs w:val="24"/>
        </w:rPr>
        <w:t>Esta mejora</w:t>
      </w:r>
      <w:r w:rsidR="008007A7" w:rsidRPr="008007A7">
        <w:rPr>
          <w:rFonts w:ascii="Times New Roman" w:hAnsi="Times New Roman"/>
          <w:color w:val="767171"/>
          <w:spacing w:val="20"/>
          <w:sz w:val="24"/>
          <w:szCs w:val="24"/>
        </w:rPr>
        <w:t xml:space="preserve"> </w:t>
      </w:r>
      <w:r w:rsidR="007738D7">
        <w:rPr>
          <w:rFonts w:ascii="Times New Roman" w:hAnsi="Times New Roman"/>
          <w:color w:val="767171"/>
          <w:spacing w:val="20"/>
          <w:sz w:val="24"/>
          <w:szCs w:val="24"/>
        </w:rPr>
        <w:t>foment</w:t>
      </w:r>
      <w:r w:rsidR="00ED2A42">
        <w:rPr>
          <w:rFonts w:ascii="Times New Roman" w:hAnsi="Times New Roman"/>
          <w:color w:val="767171"/>
          <w:spacing w:val="20"/>
          <w:sz w:val="24"/>
          <w:szCs w:val="24"/>
        </w:rPr>
        <w:t>a</w:t>
      </w:r>
      <w:r w:rsidR="008007A7" w:rsidRPr="008007A7">
        <w:rPr>
          <w:rFonts w:ascii="Times New Roman" w:hAnsi="Times New Roman"/>
          <w:color w:val="767171"/>
          <w:spacing w:val="20"/>
          <w:sz w:val="24"/>
          <w:szCs w:val="24"/>
        </w:rPr>
        <w:t xml:space="preserve"> accesibilidad</w:t>
      </w:r>
      <w:r w:rsidR="00167497">
        <w:rPr>
          <w:rFonts w:ascii="Times New Roman" w:hAnsi="Times New Roman"/>
          <w:color w:val="767171"/>
          <w:spacing w:val="20"/>
          <w:sz w:val="24"/>
          <w:szCs w:val="24"/>
        </w:rPr>
        <w:t>,</w:t>
      </w:r>
      <w:r w:rsidR="008007A7" w:rsidRPr="008007A7">
        <w:rPr>
          <w:rFonts w:ascii="Times New Roman" w:hAnsi="Times New Roman"/>
          <w:color w:val="767171"/>
          <w:spacing w:val="20"/>
          <w:sz w:val="24"/>
          <w:szCs w:val="24"/>
        </w:rPr>
        <w:t xml:space="preserve"> </w:t>
      </w:r>
      <w:r w:rsidR="00167497">
        <w:rPr>
          <w:rFonts w:ascii="Times New Roman" w:hAnsi="Times New Roman"/>
          <w:color w:val="767171"/>
          <w:spacing w:val="20"/>
          <w:sz w:val="24"/>
          <w:szCs w:val="24"/>
        </w:rPr>
        <w:t>eficiencia</w:t>
      </w:r>
      <w:r w:rsidR="00FA516F">
        <w:rPr>
          <w:rFonts w:ascii="Times New Roman" w:hAnsi="Times New Roman"/>
          <w:color w:val="767171"/>
          <w:spacing w:val="20"/>
          <w:sz w:val="24"/>
          <w:szCs w:val="24"/>
        </w:rPr>
        <w:t xml:space="preserve">, control de información sensible y </w:t>
      </w:r>
      <w:r w:rsidR="004D7E41">
        <w:rPr>
          <w:rFonts w:ascii="Times New Roman" w:hAnsi="Times New Roman"/>
          <w:color w:val="767171"/>
          <w:spacing w:val="20"/>
          <w:sz w:val="24"/>
          <w:szCs w:val="24"/>
        </w:rPr>
        <w:t xml:space="preserve">continuidad de </w:t>
      </w:r>
      <w:r w:rsidR="00FF5C55">
        <w:rPr>
          <w:rFonts w:ascii="Times New Roman" w:hAnsi="Times New Roman"/>
          <w:color w:val="767171"/>
          <w:spacing w:val="20"/>
          <w:sz w:val="24"/>
          <w:szCs w:val="24"/>
        </w:rPr>
        <w:t>negocio</w:t>
      </w:r>
      <w:r w:rsidR="008007A7" w:rsidRPr="008007A7">
        <w:rPr>
          <w:rFonts w:ascii="Times New Roman" w:hAnsi="Times New Roman"/>
          <w:color w:val="767171"/>
          <w:spacing w:val="20"/>
          <w:sz w:val="24"/>
          <w:szCs w:val="24"/>
        </w:rPr>
        <w:t>.</w:t>
      </w:r>
    </w:p>
    <w:p w14:paraId="66EA6338" w14:textId="2242F6E7" w:rsidR="00E52ED4" w:rsidRDefault="00E52ED4" w:rsidP="001E280B">
      <w:pPr>
        <w:spacing w:line="360" w:lineRule="auto"/>
        <w:rPr>
          <w:b/>
          <w:lang w:val="es-DO"/>
        </w:rPr>
      </w:pPr>
      <w:r w:rsidRPr="00C865B6">
        <w:rPr>
          <w:b/>
          <w:lang w:val="es-DO"/>
        </w:rPr>
        <w:t>Equidad de Género</w:t>
      </w:r>
    </w:p>
    <w:p w14:paraId="473244D9" w14:textId="6CA5609E" w:rsidR="0002386B" w:rsidRDefault="0002386B" w:rsidP="006B204A">
      <w:pPr>
        <w:shd w:val="clear" w:color="auto" w:fill="FFFFFF"/>
        <w:spacing w:line="360" w:lineRule="auto"/>
        <w:jc w:val="both"/>
        <w:rPr>
          <w:rFonts w:eastAsia="Calibri"/>
          <w:lang w:val="es-DO"/>
        </w:rPr>
      </w:pPr>
      <w:r w:rsidRPr="0002386B">
        <w:rPr>
          <w:rFonts w:eastAsia="Calibri"/>
          <w:lang w:val="es-DO"/>
        </w:rPr>
        <w:t xml:space="preserve">La Superintendencia de Bancos </w:t>
      </w:r>
      <w:r w:rsidR="002001B5" w:rsidRPr="002001B5">
        <w:rPr>
          <w:rFonts w:eastAsia="Calibri"/>
          <w:lang w:val="es-DO"/>
        </w:rPr>
        <w:t>reafirma su compromiso con la promoción de la igualdad de género y la autonomía económica y social de las mujeres en el ámbito empresarial y organizacional. Este compromiso se ve respaldado por la implementación del programa Sello Igualando RD, en colaboración con el Ministerio de la Mujer y el Programa de las Naciones Unidas para el Desarrollo (PNUD)</w:t>
      </w:r>
      <w:r w:rsidR="002001B5">
        <w:rPr>
          <w:rFonts w:eastAsia="Calibri"/>
          <w:lang w:val="es-DO"/>
        </w:rPr>
        <w:t>.</w:t>
      </w:r>
      <w:r w:rsidR="00DD4417">
        <w:rPr>
          <w:rFonts w:eastAsia="Calibri"/>
          <w:lang w:val="es-DO"/>
        </w:rPr>
        <w:t xml:space="preserve"> </w:t>
      </w:r>
    </w:p>
    <w:p w14:paraId="183B728D" w14:textId="77777777" w:rsidR="00161B59" w:rsidRPr="0002386B" w:rsidRDefault="00161B59" w:rsidP="006B204A">
      <w:pPr>
        <w:shd w:val="clear" w:color="auto" w:fill="FFFFFF"/>
        <w:spacing w:after="0" w:line="360" w:lineRule="auto"/>
        <w:jc w:val="both"/>
        <w:rPr>
          <w:rFonts w:eastAsia="Calibri"/>
          <w:lang w:val="es-DO"/>
        </w:rPr>
      </w:pPr>
    </w:p>
    <w:p w14:paraId="74C32147" w14:textId="29487DA8" w:rsidR="00E52ED4" w:rsidRDefault="009B786D" w:rsidP="006B204A">
      <w:pPr>
        <w:pStyle w:val="Estilo3"/>
        <w:spacing w:before="0" w:after="160" w:line="360" w:lineRule="auto"/>
        <w:rPr>
          <w:b/>
          <w:szCs w:val="24"/>
        </w:rPr>
      </w:pPr>
      <w:bookmarkStart w:id="97" w:name="_Toc122435022"/>
      <w:bookmarkStart w:id="98" w:name="_Toc123046927"/>
      <w:bookmarkStart w:id="99" w:name="_Toc155354624"/>
      <w:r>
        <w:rPr>
          <w:b/>
          <w:szCs w:val="24"/>
        </w:rPr>
        <w:t>4</w:t>
      </w:r>
      <w:r w:rsidR="00E52ED4" w:rsidRPr="00C865B6">
        <w:rPr>
          <w:b/>
          <w:szCs w:val="24"/>
        </w:rPr>
        <w:t>.6 Desempeño en Materia Comunicacional</w:t>
      </w:r>
      <w:bookmarkEnd w:id="97"/>
      <w:bookmarkEnd w:id="98"/>
      <w:bookmarkEnd w:id="99"/>
    </w:p>
    <w:p w14:paraId="44FA7F01" w14:textId="725FB6A2" w:rsidR="00D16F90" w:rsidRPr="001A0DEC" w:rsidRDefault="00D16F90" w:rsidP="006B204A">
      <w:pPr>
        <w:pStyle w:val="paragraph"/>
        <w:spacing w:before="0" w:beforeAutospacing="0" w:after="160" w:afterAutospacing="0" w:line="360" w:lineRule="auto"/>
        <w:jc w:val="both"/>
        <w:textAlignment w:val="baseline"/>
        <w:rPr>
          <w:rFonts w:eastAsiaTheme="minorHAnsi"/>
          <w:color w:val="767171"/>
          <w:spacing w:val="20"/>
          <w:lang w:eastAsia="en-US"/>
        </w:rPr>
      </w:pPr>
      <w:r w:rsidRPr="001A0DEC">
        <w:rPr>
          <w:rFonts w:eastAsiaTheme="minorHAnsi"/>
          <w:color w:val="767171"/>
          <w:spacing w:val="20"/>
          <w:lang w:eastAsia="en-US"/>
        </w:rPr>
        <w:t xml:space="preserve">Desde el </w:t>
      </w:r>
      <w:r w:rsidR="007B297C">
        <w:rPr>
          <w:rFonts w:eastAsiaTheme="minorHAnsi"/>
          <w:color w:val="767171"/>
          <w:spacing w:val="20"/>
          <w:lang w:eastAsia="en-US"/>
        </w:rPr>
        <w:t>e</w:t>
      </w:r>
      <w:r w:rsidRPr="001A0DEC">
        <w:rPr>
          <w:rFonts w:eastAsiaTheme="minorHAnsi"/>
          <w:color w:val="767171"/>
          <w:spacing w:val="20"/>
          <w:lang w:eastAsia="en-US"/>
        </w:rPr>
        <w:t>je de Fortalecimiento Institucional del Plan Estratégico de la Superintendencia de Bancos (SB) se contempla el impulso de acciones orientadas a la transformación de la organización. Durante el año 2023</w:t>
      </w:r>
      <w:r w:rsidR="00542B16">
        <w:rPr>
          <w:rFonts w:eastAsiaTheme="minorHAnsi"/>
          <w:color w:val="767171"/>
          <w:spacing w:val="20"/>
          <w:lang w:eastAsia="en-US"/>
        </w:rPr>
        <w:t>,</w:t>
      </w:r>
      <w:r w:rsidRPr="001A0DEC">
        <w:rPr>
          <w:rFonts w:eastAsiaTheme="minorHAnsi"/>
          <w:color w:val="767171"/>
          <w:spacing w:val="20"/>
          <w:lang w:eastAsia="en-US"/>
        </w:rPr>
        <w:t xml:space="preserve"> </w:t>
      </w:r>
      <w:r w:rsidR="00E26358">
        <w:rPr>
          <w:rFonts w:eastAsiaTheme="minorHAnsi"/>
          <w:color w:val="767171"/>
          <w:spacing w:val="20"/>
          <w:lang w:eastAsia="en-US"/>
        </w:rPr>
        <w:t xml:space="preserve">la </w:t>
      </w:r>
      <w:r w:rsidR="00EF6673">
        <w:rPr>
          <w:rFonts w:eastAsiaTheme="minorHAnsi"/>
          <w:color w:val="767171"/>
          <w:spacing w:val="20"/>
          <w:lang w:eastAsia="en-US"/>
        </w:rPr>
        <w:t>estrategia</w:t>
      </w:r>
      <w:r w:rsidR="00E26358">
        <w:rPr>
          <w:rFonts w:eastAsiaTheme="minorHAnsi"/>
          <w:color w:val="767171"/>
          <w:spacing w:val="20"/>
          <w:lang w:eastAsia="en-US"/>
        </w:rPr>
        <w:t xml:space="preserve"> de </w:t>
      </w:r>
      <w:r w:rsidR="0062326C">
        <w:rPr>
          <w:rFonts w:eastAsiaTheme="minorHAnsi"/>
          <w:color w:val="767171"/>
          <w:spacing w:val="20"/>
          <w:lang w:eastAsia="en-US"/>
        </w:rPr>
        <w:t>c</w:t>
      </w:r>
      <w:r w:rsidRPr="001A0DEC">
        <w:rPr>
          <w:rFonts w:eastAsiaTheme="minorHAnsi"/>
          <w:color w:val="767171"/>
          <w:spacing w:val="20"/>
          <w:lang w:eastAsia="en-US"/>
        </w:rPr>
        <w:t>omunicaciones</w:t>
      </w:r>
      <w:r w:rsidR="00876CF9">
        <w:rPr>
          <w:rFonts w:eastAsiaTheme="minorHAnsi"/>
          <w:color w:val="767171"/>
          <w:spacing w:val="20"/>
          <w:lang w:eastAsia="en-US"/>
        </w:rPr>
        <w:t xml:space="preserve"> </w:t>
      </w:r>
      <w:r w:rsidR="00542B16">
        <w:rPr>
          <w:rFonts w:eastAsiaTheme="minorHAnsi"/>
          <w:color w:val="767171"/>
          <w:spacing w:val="20"/>
          <w:lang w:eastAsia="en-US"/>
        </w:rPr>
        <w:t xml:space="preserve">fue estructurada de manera tal que apoye </w:t>
      </w:r>
      <w:r w:rsidRPr="001A0DEC">
        <w:rPr>
          <w:rFonts w:eastAsiaTheme="minorHAnsi"/>
          <w:color w:val="767171"/>
          <w:spacing w:val="20"/>
          <w:lang w:eastAsia="en-US"/>
        </w:rPr>
        <w:t>est</w:t>
      </w:r>
      <w:r w:rsidR="00542B16">
        <w:rPr>
          <w:rFonts w:eastAsiaTheme="minorHAnsi"/>
          <w:color w:val="767171"/>
          <w:spacing w:val="20"/>
          <w:lang w:eastAsia="en-US"/>
        </w:rPr>
        <w:t>e</w:t>
      </w:r>
      <w:r w:rsidRPr="001A0DEC">
        <w:rPr>
          <w:rFonts w:eastAsiaTheme="minorHAnsi"/>
          <w:color w:val="767171"/>
          <w:spacing w:val="20"/>
          <w:lang w:eastAsia="en-US"/>
        </w:rPr>
        <w:t xml:space="preserve"> proceso</w:t>
      </w:r>
      <w:r w:rsidR="004C5766">
        <w:rPr>
          <w:rFonts w:eastAsiaTheme="minorHAnsi"/>
          <w:color w:val="767171"/>
          <w:spacing w:val="20"/>
          <w:lang w:eastAsia="en-US"/>
        </w:rPr>
        <w:t xml:space="preserve">, </w:t>
      </w:r>
      <w:r w:rsidR="00756950">
        <w:rPr>
          <w:rFonts w:eastAsiaTheme="minorHAnsi"/>
          <w:color w:val="767171"/>
          <w:spacing w:val="20"/>
          <w:lang w:eastAsia="en-US"/>
        </w:rPr>
        <w:t>fugiendo como herramienta</w:t>
      </w:r>
      <w:r w:rsidR="001127CE">
        <w:rPr>
          <w:rFonts w:eastAsiaTheme="minorHAnsi"/>
          <w:color w:val="767171"/>
          <w:spacing w:val="20"/>
          <w:lang w:eastAsia="en-US"/>
        </w:rPr>
        <w:t xml:space="preserve"> </w:t>
      </w:r>
      <w:r w:rsidR="006B313C">
        <w:rPr>
          <w:rFonts w:eastAsiaTheme="minorHAnsi"/>
          <w:color w:val="767171"/>
          <w:spacing w:val="20"/>
          <w:lang w:eastAsia="en-US"/>
        </w:rPr>
        <w:t>complementaria para los</w:t>
      </w:r>
      <w:r w:rsidRPr="001A0DEC">
        <w:rPr>
          <w:rFonts w:eastAsiaTheme="minorHAnsi"/>
          <w:color w:val="767171"/>
          <w:spacing w:val="20"/>
          <w:lang w:eastAsia="en-US"/>
        </w:rPr>
        <w:t xml:space="preserve"> proyectos</w:t>
      </w:r>
      <w:r w:rsidR="006B313C">
        <w:rPr>
          <w:rFonts w:eastAsiaTheme="minorHAnsi"/>
          <w:color w:val="767171"/>
          <w:spacing w:val="20"/>
          <w:lang w:eastAsia="en-US"/>
        </w:rPr>
        <w:t xml:space="preserve"> llevados a cabo</w:t>
      </w:r>
      <w:r w:rsidR="001127CE">
        <w:rPr>
          <w:rFonts w:eastAsiaTheme="minorHAnsi"/>
          <w:color w:val="767171"/>
          <w:spacing w:val="20"/>
          <w:lang w:eastAsia="en-US"/>
        </w:rPr>
        <w:t xml:space="preserve"> </w:t>
      </w:r>
      <w:r w:rsidRPr="001A0DEC">
        <w:rPr>
          <w:rFonts w:eastAsiaTheme="minorHAnsi"/>
          <w:color w:val="767171"/>
          <w:spacing w:val="20"/>
          <w:lang w:eastAsia="en-US"/>
        </w:rPr>
        <w:t xml:space="preserve">y </w:t>
      </w:r>
      <w:r w:rsidR="00FA751F">
        <w:rPr>
          <w:rFonts w:eastAsiaTheme="minorHAnsi"/>
          <w:color w:val="767171"/>
          <w:spacing w:val="20"/>
          <w:lang w:eastAsia="en-US"/>
        </w:rPr>
        <w:t xml:space="preserve">como eslabón </w:t>
      </w:r>
      <w:r w:rsidR="000D3158">
        <w:rPr>
          <w:rFonts w:eastAsiaTheme="minorHAnsi"/>
          <w:color w:val="767171"/>
          <w:spacing w:val="20"/>
          <w:lang w:eastAsia="en-US"/>
        </w:rPr>
        <w:t xml:space="preserve">para </w:t>
      </w:r>
      <w:r w:rsidRPr="001A0DEC">
        <w:rPr>
          <w:rFonts w:eastAsiaTheme="minorHAnsi"/>
          <w:color w:val="767171"/>
          <w:spacing w:val="20"/>
          <w:lang w:eastAsia="en-US"/>
        </w:rPr>
        <w:t>robustecer la imagen institucional. </w:t>
      </w:r>
    </w:p>
    <w:p w14:paraId="58E71BDC" w14:textId="77777777" w:rsidR="00D16F90" w:rsidRPr="001A0DEC" w:rsidRDefault="00D16F90" w:rsidP="006B204A">
      <w:pPr>
        <w:pStyle w:val="paragraph"/>
        <w:spacing w:before="0" w:beforeAutospacing="0" w:after="160" w:afterAutospacing="0" w:line="360" w:lineRule="auto"/>
        <w:jc w:val="both"/>
        <w:textAlignment w:val="baseline"/>
        <w:rPr>
          <w:rFonts w:eastAsiaTheme="minorHAnsi"/>
          <w:color w:val="767171"/>
          <w:spacing w:val="20"/>
          <w:lang w:eastAsia="en-US"/>
        </w:rPr>
      </w:pPr>
      <w:r w:rsidRPr="001A0DEC">
        <w:rPr>
          <w:rFonts w:eastAsiaTheme="minorHAnsi"/>
          <w:color w:val="767171"/>
          <w:spacing w:val="20"/>
          <w:lang w:eastAsia="en-US"/>
        </w:rPr>
        <w:t>Durante la ejecución de las iniciativas y proyectos del año 2023, se presentaron los siguientes logros: </w:t>
      </w:r>
    </w:p>
    <w:p w14:paraId="59240B6A" w14:textId="7824B3B3" w:rsidR="00D16F90" w:rsidRPr="00D53A62" w:rsidRDefault="00A6715A" w:rsidP="00D53A62">
      <w:pPr>
        <w:pStyle w:val="paragraph"/>
        <w:numPr>
          <w:ilvl w:val="0"/>
          <w:numId w:val="27"/>
        </w:numPr>
        <w:spacing w:before="0" w:beforeAutospacing="0" w:after="160" w:afterAutospacing="0" w:line="360" w:lineRule="auto"/>
        <w:jc w:val="both"/>
        <w:textAlignment w:val="baseline"/>
        <w:rPr>
          <w:rFonts w:eastAsiaTheme="minorHAnsi"/>
          <w:color w:val="767171"/>
          <w:spacing w:val="20"/>
          <w:lang w:eastAsia="en-US"/>
        </w:rPr>
      </w:pPr>
      <w:r>
        <w:rPr>
          <w:rFonts w:eastAsiaTheme="minorHAnsi"/>
          <w:color w:val="767171"/>
          <w:spacing w:val="20"/>
          <w:lang w:eastAsia="en-US"/>
        </w:rPr>
        <w:t>Se realizó</w:t>
      </w:r>
      <w:r w:rsidR="00D16F90" w:rsidRPr="001A0DEC">
        <w:rPr>
          <w:rFonts w:eastAsiaTheme="minorHAnsi"/>
          <w:color w:val="767171"/>
          <w:spacing w:val="20"/>
          <w:lang w:eastAsia="en-US"/>
        </w:rPr>
        <w:t xml:space="preserve"> la campaña “Volvemos por ti”, dirigida a comunicar los detalles de la segunda y tercera etapa del proyecto </w:t>
      </w:r>
      <w:r>
        <w:rPr>
          <w:rFonts w:eastAsiaTheme="minorHAnsi"/>
          <w:color w:val="767171"/>
          <w:spacing w:val="20"/>
          <w:lang w:eastAsia="en-US"/>
        </w:rPr>
        <w:t>de</w:t>
      </w:r>
      <w:r w:rsidR="00D16F90" w:rsidRPr="001A0DEC">
        <w:rPr>
          <w:rFonts w:eastAsiaTheme="minorHAnsi"/>
          <w:color w:val="767171"/>
          <w:spacing w:val="20"/>
          <w:lang w:eastAsia="en-US"/>
        </w:rPr>
        <w:t xml:space="preserve"> ampliación del alcance de la certificación ISO 9001: 2015</w:t>
      </w:r>
      <w:r w:rsidR="00D53A62">
        <w:rPr>
          <w:rFonts w:eastAsiaTheme="minorHAnsi"/>
          <w:color w:val="767171"/>
          <w:spacing w:val="20"/>
          <w:lang w:eastAsia="en-US"/>
        </w:rPr>
        <w:t>.</w:t>
      </w:r>
      <w:r w:rsidR="00D16F90" w:rsidRPr="001A0DEC">
        <w:rPr>
          <w:rFonts w:eastAsiaTheme="minorHAnsi"/>
          <w:color w:val="767171"/>
          <w:spacing w:val="20"/>
          <w:lang w:eastAsia="en-US"/>
        </w:rPr>
        <w:t xml:space="preserve"> </w:t>
      </w:r>
      <w:r w:rsidR="00D53A62">
        <w:rPr>
          <w:rFonts w:eastAsiaTheme="minorHAnsi"/>
          <w:color w:val="767171"/>
          <w:spacing w:val="20"/>
          <w:lang w:eastAsia="en-US"/>
        </w:rPr>
        <w:t>A</w:t>
      </w:r>
      <w:r w:rsidR="00D16F90" w:rsidRPr="001A0DEC">
        <w:rPr>
          <w:rFonts w:eastAsiaTheme="minorHAnsi"/>
          <w:color w:val="767171"/>
          <w:spacing w:val="20"/>
          <w:lang w:eastAsia="en-US"/>
        </w:rPr>
        <w:t>demás</w:t>
      </w:r>
      <w:r w:rsidR="00D53A62">
        <w:rPr>
          <w:rFonts w:eastAsiaTheme="minorHAnsi"/>
          <w:color w:val="767171"/>
          <w:spacing w:val="20"/>
          <w:lang w:eastAsia="en-US"/>
        </w:rPr>
        <w:t>, se realizaron las</w:t>
      </w:r>
      <w:r w:rsidR="00D16F90" w:rsidRPr="001A0DEC">
        <w:rPr>
          <w:rFonts w:eastAsiaTheme="minorHAnsi"/>
          <w:color w:val="767171"/>
          <w:spacing w:val="20"/>
          <w:lang w:eastAsia="en-US"/>
        </w:rPr>
        <w:t xml:space="preserve"> campaña</w:t>
      </w:r>
      <w:r w:rsidR="00D53A62">
        <w:rPr>
          <w:rFonts w:eastAsiaTheme="minorHAnsi"/>
          <w:color w:val="767171"/>
          <w:spacing w:val="20"/>
          <w:lang w:eastAsia="en-US"/>
        </w:rPr>
        <w:t>s</w:t>
      </w:r>
      <w:r w:rsidR="00D16F90" w:rsidRPr="001A0DEC">
        <w:rPr>
          <w:rFonts w:eastAsiaTheme="minorHAnsi"/>
          <w:color w:val="767171"/>
          <w:spacing w:val="20"/>
          <w:lang w:eastAsia="en-US"/>
        </w:rPr>
        <w:t xml:space="preserve"> </w:t>
      </w:r>
      <w:r w:rsidR="00941F4E">
        <w:rPr>
          <w:rFonts w:eastAsiaTheme="minorHAnsi"/>
          <w:color w:val="767171"/>
          <w:spacing w:val="20"/>
          <w:lang w:eastAsia="en-US"/>
        </w:rPr>
        <w:t>“</w:t>
      </w:r>
      <w:r w:rsidR="00D16F90" w:rsidRPr="001A0DEC">
        <w:rPr>
          <w:rFonts w:eastAsiaTheme="minorHAnsi"/>
          <w:color w:val="767171"/>
          <w:spacing w:val="20"/>
          <w:lang w:eastAsia="en-US"/>
        </w:rPr>
        <w:t>Semana de la Ética 2023</w:t>
      </w:r>
      <w:r w:rsidR="00941F4E">
        <w:rPr>
          <w:rFonts w:eastAsiaTheme="minorHAnsi"/>
          <w:color w:val="767171"/>
          <w:spacing w:val="20"/>
          <w:lang w:eastAsia="en-US"/>
        </w:rPr>
        <w:t>”,</w:t>
      </w:r>
      <w:r w:rsidR="00D16F90" w:rsidRPr="001A0DEC">
        <w:rPr>
          <w:rFonts w:eastAsiaTheme="minorHAnsi"/>
          <w:color w:val="767171"/>
          <w:spacing w:val="20"/>
          <w:lang w:eastAsia="en-US"/>
        </w:rPr>
        <w:t xml:space="preserve"> </w:t>
      </w:r>
      <w:r w:rsidR="00941F4E">
        <w:rPr>
          <w:rFonts w:eastAsiaTheme="minorHAnsi"/>
          <w:color w:val="767171"/>
          <w:spacing w:val="20"/>
          <w:lang w:eastAsia="en-US"/>
        </w:rPr>
        <w:t>“</w:t>
      </w:r>
      <w:r w:rsidR="00D16F90" w:rsidRPr="001A0DEC">
        <w:rPr>
          <w:rFonts w:eastAsiaTheme="minorHAnsi"/>
          <w:color w:val="767171"/>
          <w:spacing w:val="20"/>
          <w:lang w:eastAsia="en-US"/>
        </w:rPr>
        <w:t xml:space="preserve">Cultura de </w:t>
      </w:r>
      <w:r w:rsidR="00D16F90" w:rsidRPr="001A0DEC">
        <w:rPr>
          <w:rFonts w:eastAsiaTheme="minorHAnsi"/>
          <w:color w:val="767171"/>
          <w:spacing w:val="20"/>
          <w:lang w:eastAsia="en-US"/>
        </w:rPr>
        <w:lastRenderedPageBreak/>
        <w:t>Gestión de Riesgos</w:t>
      </w:r>
      <w:r w:rsidR="00941F4E">
        <w:rPr>
          <w:rFonts w:eastAsiaTheme="minorHAnsi"/>
          <w:color w:val="767171"/>
          <w:spacing w:val="20"/>
          <w:lang w:eastAsia="en-US"/>
        </w:rPr>
        <w:t>” y</w:t>
      </w:r>
      <w:r w:rsidR="00D16F90" w:rsidRPr="00D53A62">
        <w:rPr>
          <w:rFonts w:eastAsiaTheme="minorHAnsi"/>
          <w:color w:val="767171"/>
          <w:spacing w:val="20"/>
          <w:lang w:eastAsia="en-US"/>
        </w:rPr>
        <w:t xml:space="preserve"> “Programa de Readecuaciones Físicas de la Superintendencia de Bancos”.</w:t>
      </w:r>
    </w:p>
    <w:p w14:paraId="56D6D7BE" w14:textId="55423C19" w:rsidR="00D16F90" w:rsidRPr="001A0DEC" w:rsidRDefault="00A62C70" w:rsidP="00CB4994">
      <w:pPr>
        <w:pStyle w:val="paragraph"/>
        <w:numPr>
          <w:ilvl w:val="0"/>
          <w:numId w:val="27"/>
        </w:numPr>
        <w:spacing w:before="0" w:beforeAutospacing="0" w:after="160" w:afterAutospacing="0" w:line="360" w:lineRule="auto"/>
        <w:jc w:val="both"/>
        <w:textAlignment w:val="baseline"/>
        <w:rPr>
          <w:rFonts w:eastAsiaTheme="minorHAnsi"/>
          <w:color w:val="767171"/>
          <w:spacing w:val="20"/>
          <w:lang w:eastAsia="en-US"/>
        </w:rPr>
      </w:pPr>
      <w:r>
        <w:rPr>
          <w:rFonts w:eastAsiaTheme="minorHAnsi"/>
          <w:color w:val="767171"/>
          <w:spacing w:val="20"/>
          <w:lang w:eastAsia="en-US"/>
        </w:rPr>
        <w:t>Se d</w:t>
      </w:r>
      <w:r w:rsidR="00D16F90" w:rsidRPr="001A0DEC">
        <w:rPr>
          <w:rFonts w:eastAsiaTheme="minorHAnsi"/>
          <w:color w:val="767171"/>
          <w:spacing w:val="20"/>
          <w:lang w:eastAsia="en-US"/>
        </w:rPr>
        <w:t>esarroll</w:t>
      </w:r>
      <w:r>
        <w:rPr>
          <w:rFonts w:eastAsiaTheme="minorHAnsi"/>
          <w:color w:val="767171"/>
          <w:spacing w:val="20"/>
          <w:lang w:eastAsia="en-US"/>
        </w:rPr>
        <w:t>ó</w:t>
      </w:r>
      <w:r w:rsidR="00D16F90" w:rsidRPr="001A0DEC">
        <w:rPr>
          <w:rFonts w:eastAsiaTheme="minorHAnsi"/>
          <w:color w:val="767171"/>
          <w:spacing w:val="20"/>
          <w:lang w:eastAsia="en-US"/>
        </w:rPr>
        <w:t xml:space="preserve"> la iniciativa “La Superintendencia de Bancos se Transforma”, dirigida a comunicar los detalles de proyectos que están bajo la sombrilla del Sistema de Gestión Integrado, que incluye la implementación de acciones con miras a la obtención de la ISO 37001 sobre Sistemas de Gestión Antisoborno; ISO 22301 sobre Continuidad del Negocio, e ISO 27001 sobre Seguridad de la Información. </w:t>
      </w:r>
    </w:p>
    <w:p w14:paraId="0B1F85FE" w14:textId="77777777" w:rsidR="00D16F90" w:rsidRPr="001A0DEC" w:rsidRDefault="00D16F90" w:rsidP="00CB4994">
      <w:pPr>
        <w:pStyle w:val="paragraph"/>
        <w:numPr>
          <w:ilvl w:val="0"/>
          <w:numId w:val="27"/>
        </w:numPr>
        <w:spacing w:before="0" w:beforeAutospacing="0" w:after="160" w:afterAutospacing="0" w:line="360" w:lineRule="auto"/>
        <w:jc w:val="both"/>
        <w:textAlignment w:val="baseline"/>
        <w:rPr>
          <w:rFonts w:eastAsiaTheme="minorHAnsi"/>
          <w:color w:val="767171"/>
          <w:spacing w:val="20"/>
          <w:lang w:eastAsia="en-US"/>
        </w:rPr>
      </w:pPr>
      <w:r w:rsidRPr="001A0DEC">
        <w:rPr>
          <w:rFonts w:eastAsiaTheme="minorHAnsi"/>
          <w:color w:val="767171"/>
          <w:spacing w:val="20"/>
          <w:lang w:eastAsia="en-US"/>
        </w:rPr>
        <w:t>Logrado un promedio de 97% de visibilidad positiva, y un total de 1,906 menciones en el 2023, en medios de comunicación impresos, audiovisuales y digitales, contribuyendo al desarrollo de la agenda de contenido para difundir a través de los medios de comunicación masiva. </w:t>
      </w:r>
    </w:p>
    <w:p w14:paraId="43122930" w14:textId="77777777" w:rsidR="00D16F90" w:rsidRPr="001A0DEC" w:rsidRDefault="00D16F90" w:rsidP="00CB4994">
      <w:pPr>
        <w:pStyle w:val="paragraph"/>
        <w:numPr>
          <w:ilvl w:val="0"/>
          <w:numId w:val="27"/>
        </w:numPr>
        <w:spacing w:before="0" w:beforeAutospacing="0" w:after="160" w:afterAutospacing="0" w:line="360" w:lineRule="auto"/>
        <w:jc w:val="both"/>
        <w:textAlignment w:val="baseline"/>
        <w:rPr>
          <w:rFonts w:eastAsiaTheme="minorHAnsi"/>
          <w:color w:val="767171"/>
          <w:spacing w:val="20"/>
          <w:lang w:eastAsia="en-US"/>
        </w:rPr>
      </w:pPr>
      <w:r w:rsidRPr="001A0DEC">
        <w:rPr>
          <w:rFonts w:eastAsiaTheme="minorHAnsi"/>
          <w:color w:val="767171"/>
          <w:spacing w:val="20"/>
          <w:lang w:eastAsia="en-US"/>
        </w:rPr>
        <w:t>Realizada la tercera etapa de la campaña Dinero Busca Dueño (DBD) impactando a más de 8,950 ahorrantes, cuyo objetivo es identificar a los depositantes del antiguo Banco Universal e instituciones relacionadas para devolverles sus recursos financieros. </w:t>
      </w:r>
    </w:p>
    <w:p w14:paraId="2AC2EA35" w14:textId="77777777" w:rsidR="00D16F90" w:rsidRPr="001A0DEC" w:rsidRDefault="00D16F90" w:rsidP="00CB4994">
      <w:pPr>
        <w:pStyle w:val="paragraph"/>
        <w:numPr>
          <w:ilvl w:val="0"/>
          <w:numId w:val="27"/>
        </w:numPr>
        <w:spacing w:before="0" w:beforeAutospacing="0" w:after="160" w:afterAutospacing="0" w:line="360" w:lineRule="auto"/>
        <w:jc w:val="both"/>
        <w:textAlignment w:val="baseline"/>
        <w:rPr>
          <w:rFonts w:eastAsiaTheme="minorHAnsi"/>
          <w:color w:val="767171"/>
          <w:spacing w:val="20"/>
          <w:lang w:eastAsia="en-US"/>
        </w:rPr>
      </w:pPr>
      <w:r w:rsidRPr="001A0DEC">
        <w:rPr>
          <w:rFonts w:eastAsiaTheme="minorHAnsi"/>
          <w:color w:val="767171"/>
          <w:spacing w:val="20"/>
          <w:lang w:eastAsia="en-US"/>
        </w:rPr>
        <w:t>Fue lanzado en el mes de febrero del 2023 la campaña “Valoramos tu tiempo” el cual impacta a toda la población, con el propósito de promover las nuevas facilidades otorgadas a las personas físicas y jurídicas para obtener, en línea y de manera gratuita, certificaciones y servicios legales de la Superintendencia de Bancos. </w:t>
      </w:r>
    </w:p>
    <w:p w14:paraId="3F1EE08F" w14:textId="13E8D3B9" w:rsidR="00DB696E" w:rsidRPr="005E3648" w:rsidRDefault="005C35BD" w:rsidP="00CB4994">
      <w:pPr>
        <w:pStyle w:val="paragraph"/>
        <w:numPr>
          <w:ilvl w:val="0"/>
          <w:numId w:val="27"/>
        </w:numPr>
        <w:spacing w:before="0" w:beforeAutospacing="0" w:after="160" w:afterAutospacing="0" w:line="360" w:lineRule="auto"/>
        <w:jc w:val="both"/>
        <w:textAlignment w:val="baseline"/>
        <w:rPr>
          <w:rFonts w:eastAsiaTheme="minorHAnsi"/>
          <w:color w:val="767171"/>
          <w:spacing w:val="20"/>
          <w:lang w:eastAsia="en-US"/>
        </w:rPr>
      </w:pPr>
      <w:r>
        <w:rPr>
          <w:rFonts w:eastAsiaTheme="minorHAnsi"/>
          <w:color w:val="767171"/>
          <w:spacing w:val="20"/>
          <w:lang w:eastAsia="en-US"/>
        </w:rPr>
        <w:t>Se llevaron a cabo</w:t>
      </w:r>
      <w:r w:rsidR="00D16F90" w:rsidRPr="001A0DEC">
        <w:rPr>
          <w:rFonts w:eastAsiaTheme="minorHAnsi"/>
          <w:color w:val="767171"/>
          <w:spacing w:val="20"/>
          <w:lang w:eastAsia="en-US"/>
        </w:rPr>
        <w:t xml:space="preserve"> campañas destinadas a impactar el sistema financiero nacional, entre las cuales </w:t>
      </w:r>
      <w:r w:rsidR="00422DD5">
        <w:rPr>
          <w:rFonts w:eastAsiaTheme="minorHAnsi"/>
          <w:color w:val="767171"/>
          <w:spacing w:val="20"/>
          <w:lang w:eastAsia="en-US"/>
        </w:rPr>
        <w:t>se puede</w:t>
      </w:r>
      <w:r w:rsidR="003F49AE">
        <w:rPr>
          <w:rFonts w:eastAsiaTheme="minorHAnsi"/>
          <w:color w:val="767171"/>
          <w:spacing w:val="20"/>
          <w:lang w:eastAsia="en-US"/>
        </w:rPr>
        <w:t>n citar</w:t>
      </w:r>
      <w:r w:rsidR="00D16F90" w:rsidRPr="001A0DEC">
        <w:rPr>
          <w:rFonts w:eastAsiaTheme="minorHAnsi"/>
          <w:color w:val="767171"/>
          <w:spacing w:val="20"/>
          <w:lang w:eastAsia="en-US"/>
        </w:rPr>
        <w:t>: “No caigas en gancho”</w:t>
      </w:r>
      <w:r w:rsidR="00422DD5">
        <w:rPr>
          <w:rFonts w:eastAsiaTheme="minorHAnsi"/>
          <w:color w:val="767171"/>
          <w:spacing w:val="20"/>
          <w:lang w:eastAsia="en-US"/>
        </w:rPr>
        <w:t xml:space="preserve"> y</w:t>
      </w:r>
      <w:r w:rsidR="00D16F90" w:rsidRPr="001A0DEC">
        <w:rPr>
          <w:rFonts w:eastAsiaTheme="minorHAnsi"/>
          <w:color w:val="767171"/>
          <w:spacing w:val="20"/>
          <w:lang w:eastAsia="en-US"/>
        </w:rPr>
        <w:t xml:space="preserve"> “ABC de finanzas personales”</w:t>
      </w:r>
      <w:r w:rsidR="00422DD5">
        <w:rPr>
          <w:rFonts w:eastAsiaTheme="minorHAnsi"/>
          <w:color w:val="767171"/>
          <w:spacing w:val="20"/>
          <w:lang w:eastAsia="en-US"/>
        </w:rPr>
        <w:t>;</w:t>
      </w:r>
      <w:r w:rsidR="00D16F90" w:rsidRPr="001A0DEC">
        <w:rPr>
          <w:rFonts w:eastAsiaTheme="minorHAnsi"/>
          <w:color w:val="767171"/>
          <w:spacing w:val="20"/>
          <w:lang w:eastAsia="en-US"/>
        </w:rPr>
        <w:t xml:space="preserve"> ambas encontradas </w:t>
      </w:r>
      <w:r w:rsidR="00D16F90" w:rsidRPr="001A0DEC">
        <w:rPr>
          <w:rFonts w:eastAsiaTheme="minorHAnsi"/>
          <w:color w:val="767171"/>
          <w:spacing w:val="20"/>
          <w:lang w:eastAsia="en-US"/>
        </w:rPr>
        <w:lastRenderedPageBreak/>
        <w:t>dentro de los pilares estratégicos de comunicación recomendados por la Organización para la Cooperación y el Desarrollo Económico (OCDE).</w:t>
      </w:r>
      <w:bookmarkStart w:id="100" w:name="_Toc122435023"/>
    </w:p>
    <w:p w14:paraId="7915F43B" w14:textId="77777777" w:rsidR="00741501" w:rsidRPr="005E3648" w:rsidRDefault="00741501" w:rsidP="003F49AE">
      <w:pPr>
        <w:pStyle w:val="paragraph"/>
        <w:spacing w:before="0" w:beforeAutospacing="0" w:after="160" w:afterAutospacing="0" w:line="360" w:lineRule="auto"/>
        <w:jc w:val="both"/>
        <w:textAlignment w:val="baseline"/>
        <w:rPr>
          <w:rFonts w:eastAsiaTheme="minorHAnsi"/>
          <w:color w:val="767171"/>
          <w:spacing w:val="20"/>
          <w:lang w:eastAsia="en-US"/>
        </w:rPr>
      </w:pPr>
    </w:p>
    <w:p w14:paraId="5F244EC3" w14:textId="2757DA6C" w:rsidR="00E52ED4" w:rsidRPr="008535D6" w:rsidRDefault="002F5D3A" w:rsidP="006B204A">
      <w:pPr>
        <w:pStyle w:val="EstiloTItulosMemorias"/>
        <w:spacing w:before="0" w:after="160"/>
        <w:rPr>
          <w:rFonts w:cs="Times New Roman"/>
          <w:b/>
          <w:bCs/>
        </w:rPr>
      </w:pPr>
      <w:bookmarkStart w:id="101" w:name="_Toc123046928"/>
      <w:bookmarkStart w:id="102" w:name="_Toc155354625"/>
      <w:r w:rsidRPr="008535D6">
        <w:rPr>
          <w:rFonts w:cs="Times New Roman"/>
          <w:b/>
          <w:bCs/>
        </w:rPr>
        <w:t>V</w:t>
      </w:r>
      <w:r w:rsidR="00E52ED4" w:rsidRPr="008535D6">
        <w:rPr>
          <w:rFonts w:cs="Times New Roman"/>
          <w:b/>
          <w:bCs/>
        </w:rPr>
        <w:t>. SERVICIO AL CIUDADANO Y ACCESO A LA INFORMACIÓN</w:t>
      </w:r>
      <w:bookmarkEnd w:id="100"/>
      <w:bookmarkEnd w:id="101"/>
      <w:bookmarkEnd w:id="102"/>
    </w:p>
    <w:p w14:paraId="6A362885" w14:textId="0D8FBD0A" w:rsidR="00985103" w:rsidRPr="00DF5EF3" w:rsidRDefault="00985103" w:rsidP="006B204A">
      <w:pPr>
        <w:pStyle w:val="EstiloTItulosMemorias"/>
        <w:spacing w:before="0" w:after="160" w:line="360" w:lineRule="auto"/>
        <w:jc w:val="left"/>
        <w:outlineLvl w:val="9"/>
        <w:rPr>
          <w:rFonts w:cs="Times New Roman"/>
          <w:sz w:val="24"/>
          <w:szCs w:val="24"/>
          <w:highlight w:val="yellow"/>
        </w:rPr>
      </w:pPr>
      <w:r w:rsidRPr="00AE11F1">
        <w:rPr>
          <w:rFonts w:cs="Times New Roman"/>
          <w:noProof/>
          <w:highlight w:val="yellow"/>
          <w:lang w:eastAsia="es-ES"/>
        </w:rPr>
        <mc:AlternateContent>
          <mc:Choice Requires="wps">
            <w:drawing>
              <wp:anchor distT="0" distB="0" distL="114300" distR="114300" simplePos="0" relativeHeight="251658253" behindDoc="0" locked="0" layoutInCell="1" allowOverlap="1" wp14:anchorId="68B7FAB4" wp14:editId="472C74F2">
                <wp:simplePos x="0" y="0"/>
                <wp:positionH relativeFrom="margin">
                  <wp:posOffset>2267585</wp:posOffset>
                </wp:positionH>
                <wp:positionV relativeFrom="paragraph">
                  <wp:posOffset>52705</wp:posOffset>
                </wp:positionV>
                <wp:extent cx="463550" cy="0"/>
                <wp:effectExtent l="0" t="19050" r="31750" b="19050"/>
                <wp:wrapNone/>
                <wp:docPr id="59" name="Conector rec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72BF2EE0" id="Conector recto 59" o:spid="_x0000_s1026" style="position:absolute;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55pt,4.15pt" to="215.0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" strokecolor="#ee2a24" strokeweight="2.25pt">
                <v:stroke joinstyle="miter"/>
                <w10:wrap anchorx="margin"/>
              </v:line>
            </w:pict>
          </mc:Fallback>
        </mc:AlternateContent>
      </w:r>
    </w:p>
    <w:p w14:paraId="28AE1D68" w14:textId="32034F74" w:rsidR="002B224D" w:rsidRPr="00686DA5" w:rsidRDefault="002B224D" w:rsidP="00CB4994">
      <w:pPr>
        <w:pStyle w:val="Estilo3"/>
        <w:numPr>
          <w:ilvl w:val="1"/>
          <w:numId w:val="7"/>
        </w:numPr>
        <w:spacing w:before="0" w:after="160" w:line="360" w:lineRule="auto"/>
        <w:ind w:left="360"/>
        <w:rPr>
          <w:b/>
          <w:szCs w:val="24"/>
        </w:rPr>
      </w:pPr>
      <w:bookmarkStart w:id="103" w:name="_Toc122435024"/>
      <w:bookmarkStart w:id="104" w:name="_Toc155354626"/>
      <w:r w:rsidRPr="00686DA5">
        <w:rPr>
          <w:b/>
          <w:szCs w:val="24"/>
        </w:rPr>
        <w:t>Nivel de cumplimiento acceso a la información</w:t>
      </w:r>
      <w:bookmarkEnd w:id="104"/>
      <w:r w:rsidRPr="00686DA5">
        <w:rPr>
          <w:b/>
          <w:szCs w:val="24"/>
        </w:rPr>
        <w:t> </w:t>
      </w:r>
    </w:p>
    <w:p w14:paraId="3AAADA20" w14:textId="77777777" w:rsidR="002B224D" w:rsidRPr="004D00B2" w:rsidRDefault="002B224D" w:rsidP="006B204A">
      <w:pPr>
        <w:pStyle w:val="paragraph"/>
        <w:spacing w:before="0" w:beforeAutospacing="0" w:after="0" w:afterAutospacing="0" w:line="360" w:lineRule="auto"/>
        <w:jc w:val="both"/>
        <w:textAlignment w:val="baseline"/>
        <w:rPr>
          <w:rFonts w:eastAsiaTheme="minorHAnsi"/>
          <w:color w:val="767171"/>
          <w:spacing w:val="20"/>
          <w:lang w:eastAsia="en-US"/>
        </w:rPr>
      </w:pPr>
      <w:r w:rsidRPr="004D00B2">
        <w:rPr>
          <w:rFonts w:eastAsiaTheme="minorHAnsi"/>
          <w:color w:val="767171"/>
          <w:spacing w:val="20"/>
          <w:lang w:eastAsia="en-US"/>
        </w:rPr>
        <w:t>La Superintendencia de Bancos, en el año 2023 a través de la Oficina de Libre Acceso a la Información (OAI), atendió un total de 106 solicitudes de información y orientación, sobre temas relacionados con la institución a los solicitantes de esta, dando cumplimiento a la ley 200-04 de Libre Acceso a la Información Pública. </w:t>
      </w:r>
    </w:p>
    <w:p w14:paraId="68A2B8C3" w14:textId="77777777" w:rsidR="002B224D" w:rsidRPr="004D00B2" w:rsidRDefault="002B224D" w:rsidP="006B204A">
      <w:pPr>
        <w:pStyle w:val="paragraph"/>
        <w:spacing w:before="0" w:beforeAutospacing="0" w:after="0" w:afterAutospacing="0" w:line="360" w:lineRule="auto"/>
        <w:jc w:val="both"/>
        <w:textAlignment w:val="baseline"/>
        <w:rPr>
          <w:rFonts w:eastAsiaTheme="minorHAnsi"/>
          <w:color w:val="767171"/>
          <w:spacing w:val="20"/>
          <w:lang w:eastAsia="en-US"/>
        </w:rPr>
      </w:pPr>
    </w:p>
    <w:p w14:paraId="0F7BC28E" w14:textId="0FA42FF5" w:rsidR="00D73C1F" w:rsidRPr="00124EFC" w:rsidRDefault="002B224D" w:rsidP="00124EFC">
      <w:pPr>
        <w:pStyle w:val="Estilo3"/>
        <w:numPr>
          <w:ilvl w:val="1"/>
          <w:numId w:val="7"/>
        </w:numPr>
        <w:spacing w:before="0" w:after="160" w:line="360" w:lineRule="auto"/>
        <w:ind w:left="360"/>
        <w:rPr>
          <w:rFonts w:eastAsiaTheme="minorHAnsi"/>
          <w:b/>
          <w:szCs w:val="24"/>
        </w:rPr>
      </w:pPr>
      <w:bookmarkStart w:id="105" w:name="_Toc155354627"/>
      <w:r w:rsidRPr="00686DA5">
        <w:rPr>
          <w:rFonts w:eastAsiaTheme="minorHAnsi"/>
          <w:b/>
          <w:szCs w:val="24"/>
        </w:rPr>
        <w:t>Resultados sistema de quejas, reclamos y sugerencias</w:t>
      </w:r>
      <w:bookmarkEnd w:id="105"/>
      <w:r w:rsidRPr="00686DA5">
        <w:rPr>
          <w:rFonts w:eastAsiaTheme="minorHAnsi"/>
          <w:b/>
          <w:szCs w:val="24"/>
        </w:rPr>
        <w:t> </w:t>
      </w:r>
    </w:p>
    <w:p w14:paraId="674DCB36" w14:textId="77777777" w:rsidR="002B224D" w:rsidRPr="004D00B2" w:rsidRDefault="002B224D" w:rsidP="006B204A">
      <w:pPr>
        <w:pStyle w:val="paragraph"/>
        <w:spacing w:before="0" w:beforeAutospacing="0" w:after="0" w:afterAutospacing="0" w:line="360" w:lineRule="auto"/>
        <w:jc w:val="both"/>
        <w:textAlignment w:val="baseline"/>
        <w:rPr>
          <w:rFonts w:eastAsiaTheme="minorHAnsi"/>
          <w:color w:val="767171"/>
          <w:spacing w:val="20"/>
          <w:lang w:eastAsia="en-US"/>
        </w:rPr>
      </w:pPr>
      <w:r w:rsidRPr="004D00B2">
        <w:rPr>
          <w:rFonts w:eastAsiaTheme="minorHAnsi"/>
          <w:color w:val="767171"/>
          <w:spacing w:val="20"/>
          <w:lang w:eastAsia="en-US"/>
        </w:rPr>
        <w:t>En el 2023, se recibieron y atendieron un total de 16 casos, de los cuales 8 correspondieron a la categoría de quejas, 3 a la categoría de reclamaciones y 5 a la categoría de sugerencias. Todos los casos fueron respondidos de manera oportuna y satisfactoria. </w:t>
      </w:r>
    </w:p>
    <w:p w14:paraId="22A2B159" w14:textId="77777777" w:rsidR="002B224D" w:rsidRPr="004D00B2" w:rsidRDefault="002B224D" w:rsidP="006B204A">
      <w:pPr>
        <w:pStyle w:val="paragraph"/>
        <w:spacing w:before="0" w:beforeAutospacing="0" w:after="0" w:afterAutospacing="0" w:line="360" w:lineRule="auto"/>
        <w:jc w:val="both"/>
        <w:textAlignment w:val="baseline"/>
        <w:rPr>
          <w:rFonts w:eastAsiaTheme="minorHAnsi"/>
          <w:color w:val="767171"/>
          <w:spacing w:val="20"/>
          <w:lang w:eastAsia="en-US"/>
        </w:rPr>
      </w:pPr>
    </w:p>
    <w:p w14:paraId="0EF493B1" w14:textId="5D73306D" w:rsidR="002B224D" w:rsidRPr="00124EFC" w:rsidRDefault="002B224D" w:rsidP="00124EFC">
      <w:pPr>
        <w:pStyle w:val="Estilo3"/>
        <w:numPr>
          <w:ilvl w:val="1"/>
          <w:numId w:val="7"/>
        </w:numPr>
        <w:spacing w:before="0" w:after="160" w:line="360" w:lineRule="auto"/>
        <w:ind w:left="360"/>
        <w:rPr>
          <w:rFonts w:eastAsiaTheme="minorHAnsi"/>
          <w:b/>
          <w:szCs w:val="24"/>
        </w:rPr>
      </w:pPr>
      <w:bookmarkStart w:id="106" w:name="_Toc155354628"/>
      <w:r w:rsidRPr="00686DA5">
        <w:rPr>
          <w:rFonts w:eastAsiaTheme="minorHAnsi"/>
          <w:b/>
          <w:szCs w:val="24"/>
        </w:rPr>
        <w:t>Resultados de las mediciones del portal de transparencia</w:t>
      </w:r>
      <w:bookmarkEnd w:id="106"/>
      <w:r w:rsidRPr="00686DA5">
        <w:rPr>
          <w:rFonts w:eastAsiaTheme="minorHAnsi"/>
          <w:b/>
          <w:szCs w:val="24"/>
        </w:rPr>
        <w:t> </w:t>
      </w:r>
    </w:p>
    <w:p w14:paraId="01851F5C" w14:textId="2914D810" w:rsidR="00C54F38" w:rsidRPr="0057082E" w:rsidRDefault="002B224D" w:rsidP="0057082E">
      <w:pPr>
        <w:pStyle w:val="paragraph"/>
        <w:spacing w:before="0" w:beforeAutospacing="0" w:after="0" w:afterAutospacing="0" w:line="360" w:lineRule="auto"/>
        <w:jc w:val="both"/>
        <w:textAlignment w:val="baseline"/>
        <w:rPr>
          <w:rFonts w:eastAsiaTheme="minorHAnsi"/>
          <w:color w:val="767171"/>
          <w:spacing w:val="20"/>
          <w:lang w:eastAsia="en-US"/>
        </w:rPr>
      </w:pPr>
      <w:r w:rsidRPr="004D00B2">
        <w:rPr>
          <w:rFonts w:eastAsiaTheme="minorHAnsi"/>
          <w:color w:val="767171"/>
          <w:spacing w:val="20"/>
          <w:lang w:eastAsia="en-US"/>
        </w:rPr>
        <w:t xml:space="preserve">Acorde a la Dirección General de Ética e Integridad Gubernamental (DIGEIG), la Superintendencia de Bancos obtuvo al cierre del año 2023 una calificación de 100% en el </w:t>
      </w:r>
      <w:proofErr w:type="spellStart"/>
      <w:r w:rsidRPr="004D00B2">
        <w:rPr>
          <w:rFonts w:eastAsiaTheme="minorHAnsi"/>
          <w:color w:val="767171"/>
          <w:spacing w:val="20"/>
          <w:lang w:eastAsia="en-US"/>
        </w:rPr>
        <w:t>sub-portal</w:t>
      </w:r>
      <w:proofErr w:type="spellEnd"/>
      <w:r w:rsidRPr="004D00B2">
        <w:rPr>
          <w:rFonts w:eastAsiaTheme="minorHAnsi"/>
          <w:color w:val="767171"/>
          <w:spacing w:val="20"/>
          <w:lang w:eastAsia="en-US"/>
        </w:rPr>
        <w:t xml:space="preserve"> de transparencia gubernamental, contribuyendo a la lucha contra la corrupción, gobierno abierto, transparencia y libre acceso a la información en el ámbito administrativo.</w:t>
      </w:r>
      <w:bookmarkEnd w:id="103"/>
    </w:p>
    <w:p w14:paraId="2D1A6BD4" w14:textId="1A16B0F8" w:rsidR="00E52ED4" w:rsidRPr="00741501" w:rsidRDefault="00E52ED4" w:rsidP="006B204A">
      <w:pPr>
        <w:pStyle w:val="EstiloTItulosMemorias"/>
        <w:spacing w:line="360" w:lineRule="auto"/>
        <w:rPr>
          <w:rFonts w:cs="Times New Roman"/>
          <w:b/>
          <w:bCs/>
          <w:color w:val="767171"/>
          <w:szCs w:val="28"/>
        </w:rPr>
      </w:pPr>
      <w:bookmarkStart w:id="107" w:name="_Toc123046929"/>
      <w:bookmarkStart w:id="108" w:name="_Toc122435028"/>
      <w:bookmarkStart w:id="109" w:name="_Toc155354629"/>
      <w:r w:rsidRPr="00741501">
        <w:rPr>
          <w:rStyle w:val="normaltextrun"/>
          <w:rFonts w:cs="Times New Roman"/>
          <w:b/>
          <w:bCs/>
          <w:color w:val="767171"/>
          <w:szCs w:val="28"/>
        </w:rPr>
        <w:lastRenderedPageBreak/>
        <w:t>V</w:t>
      </w:r>
      <w:r w:rsidR="004873A6" w:rsidRPr="00741501">
        <w:rPr>
          <w:rStyle w:val="normaltextrun"/>
          <w:rFonts w:cs="Times New Roman"/>
          <w:b/>
          <w:bCs/>
          <w:color w:val="767171"/>
          <w:szCs w:val="28"/>
        </w:rPr>
        <w:t>I</w:t>
      </w:r>
      <w:r w:rsidRPr="00741501">
        <w:rPr>
          <w:rStyle w:val="normaltextrun"/>
          <w:rFonts w:cs="Times New Roman"/>
          <w:b/>
          <w:bCs/>
          <w:color w:val="767171"/>
          <w:szCs w:val="28"/>
        </w:rPr>
        <w:t>. PROYECCIONES AL PRÓXIMO AÑO</w:t>
      </w:r>
      <w:bookmarkEnd w:id="107"/>
      <w:bookmarkEnd w:id="109"/>
      <w:r w:rsidRPr="00741501">
        <w:rPr>
          <w:rStyle w:val="eop"/>
          <w:rFonts w:cs="Times New Roman"/>
          <w:b/>
          <w:bCs/>
          <w:color w:val="767171"/>
          <w:szCs w:val="28"/>
        </w:rPr>
        <w:t> </w:t>
      </w:r>
    </w:p>
    <w:p w14:paraId="69A77131" w14:textId="77777777" w:rsidR="00E52ED4" w:rsidRPr="004D00B2" w:rsidRDefault="00E52ED4" w:rsidP="006B204A">
      <w:pPr>
        <w:pStyle w:val="paragraph"/>
        <w:spacing w:before="0" w:beforeAutospacing="0" w:after="0" w:afterAutospacing="0" w:line="360" w:lineRule="auto"/>
        <w:jc w:val="center"/>
        <w:textAlignment w:val="baseline"/>
        <w:rPr>
          <w:color w:val="767171"/>
          <w:spacing w:val="20"/>
          <w:sz w:val="18"/>
          <w:szCs w:val="18"/>
        </w:rPr>
      </w:pPr>
      <w:r w:rsidRPr="004D00B2">
        <w:rPr>
          <w:rFonts w:eastAsia="Calibri"/>
          <w:noProof/>
          <w:color w:val="767171"/>
          <w:spacing w:val="20"/>
          <w:sz w:val="28"/>
          <w:szCs w:val="28"/>
          <w:lang w:eastAsia="en-US"/>
        </w:rPr>
        <w:drawing>
          <wp:inline distT="0" distB="0" distL="0" distR="0" wp14:anchorId="783B9815" wp14:editId="21464628">
            <wp:extent cx="504825" cy="47625"/>
            <wp:effectExtent l="0" t="0" r="9525" b="9525"/>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4825" cy="47625"/>
                    </a:xfrm>
                    <a:prstGeom prst="rect">
                      <a:avLst/>
                    </a:prstGeom>
                    <a:noFill/>
                    <a:ln>
                      <a:noFill/>
                    </a:ln>
                  </pic:spPr>
                </pic:pic>
              </a:graphicData>
            </a:graphic>
          </wp:inline>
        </w:drawing>
      </w:r>
    </w:p>
    <w:p w14:paraId="57AE4216" w14:textId="083D4A4A" w:rsidR="00E52ED4" w:rsidRDefault="00BC52C3" w:rsidP="00BC52C3">
      <w:pPr>
        <w:pStyle w:val="paragraph"/>
        <w:spacing w:after="0" w:line="360" w:lineRule="auto"/>
        <w:jc w:val="both"/>
        <w:textAlignment w:val="baseline"/>
        <w:rPr>
          <w:rStyle w:val="normaltextrun"/>
          <w:color w:val="767171"/>
          <w:spacing w:val="20"/>
          <w:lang w:val="es-ES"/>
        </w:rPr>
      </w:pPr>
      <w:r>
        <w:rPr>
          <w:rStyle w:val="normaltextrun"/>
          <w:color w:val="767171"/>
          <w:spacing w:val="20"/>
        </w:rPr>
        <w:t xml:space="preserve">La Superintendencia de Bancos </w:t>
      </w:r>
      <w:r w:rsidRPr="00BC52C3">
        <w:rPr>
          <w:rStyle w:val="normaltextrun"/>
          <w:color w:val="767171"/>
          <w:spacing w:val="20"/>
          <w:lang w:val="es-ES"/>
        </w:rPr>
        <w:t xml:space="preserve">continuará </w:t>
      </w:r>
      <w:r w:rsidR="0045771C" w:rsidRPr="00BC52C3">
        <w:rPr>
          <w:rStyle w:val="normaltextrun"/>
          <w:color w:val="767171"/>
          <w:spacing w:val="20"/>
          <w:lang w:val="es-ES"/>
        </w:rPr>
        <w:t>impulsan</w:t>
      </w:r>
      <w:r w:rsidR="0045771C">
        <w:rPr>
          <w:rStyle w:val="normaltextrun"/>
          <w:color w:val="767171"/>
          <w:spacing w:val="20"/>
          <w:lang w:val="es-ES"/>
        </w:rPr>
        <w:t>do</w:t>
      </w:r>
      <w:r w:rsidR="0045771C" w:rsidRPr="00BC52C3">
        <w:rPr>
          <w:rStyle w:val="normaltextrun"/>
          <w:color w:val="767171"/>
          <w:spacing w:val="20"/>
          <w:lang w:val="es-ES"/>
        </w:rPr>
        <w:t xml:space="preserve"> </w:t>
      </w:r>
      <w:r w:rsidR="0045771C">
        <w:rPr>
          <w:rStyle w:val="normaltextrun"/>
          <w:color w:val="767171"/>
          <w:spacing w:val="20"/>
          <w:lang w:val="es-ES"/>
        </w:rPr>
        <w:t>proyectos e</w:t>
      </w:r>
      <w:r w:rsidR="0045771C" w:rsidRPr="00BC52C3">
        <w:rPr>
          <w:rStyle w:val="normaltextrun"/>
          <w:color w:val="767171"/>
          <w:spacing w:val="20"/>
          <w:lang w:val="es-ES"/>
        </w:rPr>
        <w:t xml:space="preserve"> iniciativas que </w:t>
      </w:r>
      <w:r w:rsidR="0099196B">
        <w:rPr>
          <w:rStyle w:val="normaltextrun"/>
          <w:color w:val="767171"/>
          <w:spacing w:val="20"/>
          <w:lang w:val="es-ES"/>
        </w:rPr>
        <w:t>fom</w:t>
      </w:r>
      <w:r w:rsidR="003507F8">
        <w:rPr>
          <w:rStyle w:val="normaltextrun"/>
          <w:color w:val="767171"/>
          <w:spacing w:val="20"/>
          <w:lang w:val="es-ES"/>
        </w:rPr>
        <w:t>e</w:t>
      </w:r>
      <w:r w:rsidR="0099196B">
        <w:rPr>
          <w:rStyle w:val="normaltextrun"/>
          <w:color w:val="767171"/>
          <w:spacing w:val="20"/>
          <w:lang w:val="es-ES"/>
        </w:rPr>
        <w:t>nten la</w:t>
      </w:r>
      <w:r w:rsidR="0045771C" w:rsidRPr="00BC52C3">
        <w:rPr>
          <w:rStyle w:val="normaltextrun"/>
          <w:color w:val="767171"/>
          <w:spacing w:val="20"/>
          <w:lang w:val="es-ES"/>
        </w:rPr>
        <w:t xml:space="preserve"> estabilidad</w:t>
      </w:r>
      <w:r w:rsidR="0045771C">
        <w:rPr>
          <w:rStyle w:val="normaltextrun"/>
          <w:color w:val="767171"/>
          <w:spacing w:val="20"/>
          <w:lang w:val="es-ES"/>
        </w:rPr>
        <w:t xml:space="preserve"> </w:t>
      </w:r>
      <w:r w:rsidR="003507F8">
        <w:rPr>
          <w:rStyle w:val="normaltextrun"/>
          <w:color w:val="767171"/>
          <w:spacing w:val="20"/>
          <w:lang w:val="es-ES"/>
        </w:rPr>
        <w:t>d</w:t>
      </w:r>
      <w:r w:rsidR="00834CB5">
        <w:rPr>
          <w:rStyle w:val="normaltextrun"/>
          <w:color w:val="767171"/>
          <w:spacing w:val="20"/>
          <w:lang w:val="es-ES"/>
        </w:rPr>
        <w:t>el</w:t>
      </w:r>
      <w:r w:rsidR="0045771C">
        <w:rPr>
          <w:rStyle w:val="normaltextrun"/>
          <w:color w:val="767171"/>
          <w:spacing w:val="20"/>
          <w:lang w:val="es-ES"/>
        </w:rPr>
        <w:t xml:space="preserve"> sistema financiero</w:t>
      </w:r>
      <w:r w:rsidR="00061D58">
        <w:rPr>
          <w:rStyle w:val="normaltextrun"/>
          <w:color w:val="767171"/>
          <w:spacing w:val="20"/>
          <w:lang w:val="es-ES"/>
        </w:rPr>
        <w:t>,</w:t>
      </w:r>
      <w:r w:rsidR="004E118E">
        <w:rPr>
          <w:rStyle w:val="normaltextrun"/>
          <w:color w:val="767171"/>
          <w:spacing w:val="20"/>
          <w:lang w:val="es-ES"/>
        </w:rPr>
        <w:t xml:space="preserve"> </w:t>
      </w:r>
      <w:r w:rsidR="00724B7A">
        <w:rPr>
          <w:rStyle w:val="normaltextrun"/>
          <w:color w:val="767171"/>
          <w:spacing w:val="20"/>
          <w:lang w:val="es-ES"/>
        </w:rPr>
        <w:t xml:space="preserve">la </w:t>
      </w:r>
      <w:r w:rsidR="008D10C2">
        <w:rPr>
          <w:rStyle w:val="normaltextrun"/>
          <w:color w:val="767171"/>
          <w:spacing w:val="20"/>
          <w:lang w:val="es-ES"/>
        </w:rPr>
        <w:t xml:space="preserve">protección </w:t>
      </w:r>
      <w:r w:rsidR="004B67BA">
        <w:rPr>
          <w:rStyle w:val="normaltextrun"/>
          <w:color w:val="767171"/>
          <w:spacing w:val="20"/>
          <w:lang w:val="es-ES"/>
        </w:rPr>
        <w:t>y salud financiera de sus consumidores</w:t>
      </w:r>
      <w:r w:rsidR="00710155">
        <w:rPr>
          <w:rStyle w:val="normaltextrun"/>
          <w:color w:val="767171"/>
          <w:spacing w:val="20"/>
          <w:lang w:val="es-ES"/>
        </w:rPr>
        <w:t>,</w:t>
      </w:r>
      <w:r w:rsidR="004B67BA">
        <w:rPr>
          <w:rStyle w:val="normaltextrun"/>
          <w:color w:val="767171"/>
          <w:spacing w:val="20"/>
          <w:lang w:val="es-ES"/>
        </w:rPr>
        <w:t xml:space="preserve"> </w:t>
      </w:r>
      <w:r w:rsidR="00724B7A">
        <w:rPr>
          <w:rStyle w:val="normaltextrun"/>
          <w:color w:val="767171"/>
          <w:spacing w:val="20"/>
          <w:lang w:val="es-ES"/>
        </w:rPr>
        <w:t xml:space="preserve">y </w:t>
      </w:r>
      <w:r w:rsidR="00F61122">
        <w:rPr>
          <w:rStyle w:val="normaltextrun"/>
          <w:color w:val="767171"/>
          <w:spacing w:val="20"/>
          <w:lang w:val="es-ES"/>
        </w:rPr>
        <w:t xml:space="preserve">el acceso al sistema </w:t>
      </w:r>
      <w:r w:rsidR="00D70A33">
        <w:rPr>
          <w:rStyle w:val="normaltextrun"/>
          <w:color w:val="767171"/>
          <w:spacing w:val="20"/>
          <w:lang w:val="es-ES"/>
        </w:rPr>
        <w:t>de poblaciones excluidas</w:t>
      </w:r>
      <w:r w:rsidRPr="00BC52C3">
        <w:rPr>
          <w:rStyle w:val="normaltextrun"/>
          <w:color w:val="767171"/>
          <w:spacing w:val="20"/>
          <w:lang w:val="es-ES"/>
        </w:rPr>
        <w:t>. E</w:t>
      </w:r>
      <w:r w:rsidR="00AF1258">
        <w:rPr>
          <w:rStyle w:val="normaltextrun"/>
          <w:color w:val="767171"/>
          <w:spacing w:val="20"/>
          <w:lang w:val="es-ES"/>
        </w:rPr>
        <w:t>s</w:t>
      </w:r>
      <w:r w:rsidR="00BA29F6">
        <w:rPr>
          <w:rStyle w:val="normaltextrun"/>
          <w:color w:val="767171"/>
          <w:spacing w:val="20"/>
          <w:lang w:val="es-ES"/>
        </w:rPr>
        <w:t xml:space="preserve"> </w:t>
      </w:r>
      <w:r w:rsidR="00AF1258">
        <w:rPr>
          <w:rStyle w:val="normaltextrun"/>
          <w:color w:val="767171"/>
          <w:spacing w:val="20"/>
          <w:lang w:val="es-ES"/>
        </w:rPr>
        <w:t>por lo que</w:t>
      </w:r>
      <w:r w:rsidRPr="00BC52C3">
        <w:rPr>
          <w:rStyle w:val="normaltextrun"/>
          <w:color w:val="767171"/>
          <w:spacing w:val="20"/>
          <w:lang w:val="es-ES"/>
        </w:rPr>
        <w:t xml:space="preserve"> </w:t>
      </w:r>
      <w:r w:rsidR="008F1949">
        <w:rPr>
          <w:rStyle w:val="normaltextrun"/>
          <w:color w:val="767171"/>
          <w:spacing w:val="20"/>
          <w:lang w:val="es-ES"/>
        </w:rPr>
        <w:t>al cierre del 2024 se espera</w:t>
      </w:r>
      <w:r w:rsidR="00D70A33">
        <w:rPr>
          <w:rStyle w:val="normaltextrun"/>
          <w:color w:val="767171"/>
          <w:spacing w:val="20"/>
          <w:lang w:val="es-ES"/>
        </w:rPr>
        <w:t>:</w:t>
      </w:r>
    </w:p>
    <w:p w14:paraId="7D071CC7" w14:textId="6F289117" w:rsidR="00D051EA" w:rsidRDefault="00D051EA" w:rsidP="00D051EA">
      <w:pPr>
        <w:pStyle w:val="paragraph"/>
        <w:numPr>
          <w:ilvl w:val="0"/>
          <w:numId w:val="31"/>
        </w:numPr>
        <w:spacing w:after="0" w:line="360" w:lineRule="auto"/>
        <w:jc w:val="both"/>
        <w:textAlignment w:val="baseline"/>
        <w:rPr>
          <w:rStyle w:val="normaltextrun"/>
          <w:color w:val="767171"/>
          <w:spacing w:val="20"/>
          <w:lang w:val="es-ES"/>
        </w:rPr>
      </w:pPr>
      <w:r w:rsidRPr="00D051EA">
        <w:rPr>
          <w:rStyle w:val="normaltextrun"/>
          <w:color w:val="767171"/>
          <w:spacing w:val="20"/>
          <w:lang w:val="es-ES"/>
        </w:rPr>
        <w:t xml:space="preserve">Haber fortalecido el marco de supervisión basada en riesgos, aumentando el </w:t>
      </w:r>
      <w:r w:rsidR="000B66E0">
        <w:rPr>
          <w:rStyle w:val="normaltextrun"/>
          <w:color w:val="767171"/>
          <w:spacing w:val="20"/>
          <w:lang w:val="es-ES"/>
        </w:rPr>
        <w:t>porcentaje</w:t>
      </w:r>
      <w:r w:rsidRPr="00D051EA">
        <w:rPr>
          <w:rStyle w:val="normaltextrun"/>
          <w:color w:val="767171"/>
          <w:spacing w:val="20"/>
          <w:lang w:val="es-ES"/>
        </w:rPr>
        <w:t xml:space="preserve"> de guías de supervisión actualizadas con el acompañamiento del T</w:t>
      </w:r>
      <w:r>
        <w:rPr>
          <w:rStyle w:val="normaltextrun"/>
          <w:color w:val="767171"/>
          <w:spacing w:val="20"/>
          <w:lang w:val="es-ES"/>
        </w:rPr>
        <w:t xml:space="preserve">oronto </w:t>
      </w:r>
      <w:r w:rsidRPr="00D051EA">
        <w:rPr>
          <w:rStyle w:val="normaltextrun"/>
          <w:color w:val="767171"/>
          <w:spacing w:val="20"/>
          <w:lang w:val="es-ES"/>
        </w:rPr>
        <w:t>C</w:t>
      </w:r>
      <w:r>
        <w:rPr>
          <w:rStyle w:val="normaltextrun"/>
          <w:color w:val="767171"/>
          <w:spacing w:val="20"/>
          <w:lang w:val="es-ES"/>
        </w:rPr>
        <w:t>entre.</w:t>
      </w:r>
    </w:p>
    <w:p w14:paraId="57AB4EC2" w14:textId="03F87C17" w:rsidR="00B10BD8" w:rsidRPr="00B10BD8" w:rsidRDefault="00B10BD8" w:rsidP="00B10BD8">
      <w:pPr>
        <w:pStyle w:val="paragraph"/>
        <w:numPr>
          <w:ilvl w:val="0"/>
          <w:numId w:val="31"/>
        </w:numPr>
        <w:spacing w:after="0" w:line="360" w:lineRule="auto"/>
        <w:jc w:val="both"/>
        <w:textAlignment w:val="baseline"/>
        <w:rPr>
          <w:rStyle w:val="normaltextrun"/>
          <w:color w:val="767171"/>
          <w:spacing w:val="20"/>
          <w:lang w:val="es-ES"/>
        </w:rPr>
      </w:pPr>
      <w:r>
        <w:rPr>
          <w:rStyle w:val="normaltextrun"/>
          <w:color w:val="767171"/>
          <w:spacing w:val="20"/>
          <w:lang w:val="es-ES"/>
        </w:rPr>
        <w:t xml:space="preserve">Llevar a cabo una agenda de supervisión proporcional al perfil de riesgo de las entidades supervisadas; </w:t>
      </w:r>
      <w:r w:rsidRPr="00B10BD8">
        <w:rPr>
          <w:rStyle w:val="normaltextrun"/>
          <w:color w:val="767171"/>
          <w:spacing w:val="20"/>
          <w:lang w:val="es-ES"/>
        </w:rPr>
        <w:t>integrando además por primera vez la supervisión de fiduciarias.</w:t>
      </w:r>
    </w:p>
    <w:p w14:paraId="04E1F4AE" w14:textId="1961921B" w:rsidR="00D051EA" w:rsidRPr="00D051EA" w:rsidRDefault="00D051EA" w:rsidP="00D051EA">
      <w:pPr>
        <w:pStyle w:val="paragraph"/>
        <w:numPr>
          <w:ilvl w:val="0"/>
          <w:numId w:val="31"/>
        </w:numPr>
        <w:spacing w:after="0" w:line="360" w:lineRule="auto"/>
        <w:jc w:val="both"/>
        <w:textAlignment w:val="baseline"/>
        <w:rPr>
          <w:rStyle w:val="normaltextrun"/>
          <w:color w:val="767171"/>
          <w:spacing w:val="20"/>
          <w:lang w:val="es-ES"/>
        </w:rPr>
      </w:pPr>
      <w:r w:rsidRPr="00D051EA">
        <w:rPr>
          <w:rStyle w:val="normaltextrun"/>
          <w:color w:val="767171"/>
          <w:spacing w:val="20"/>
          <w:lang w:val="es-ES"/>
        </w:rPr>
        <w:t>Avanzar en la calificación de las entidades reguladas en función del modelo actualizado de supervisión basado en riesgo (nuevas herramientas de muestreo, medición de riesgos emergentes, etc..).</w:t>
      </w:r>
    </w:p>
    <w:p w14:paraId="3980050B" w14:textId="64F428FB" w:rsidR="00D051EA" w:rsidRPr="00B1494C" w:rsidRDefault="00D051EA" w:rsidP="00B1494C">
      <w:pPr>
        <w:pStyle w:val="paragraph"/>
        <w:numPr>
          <w:ilvl w:val="0"/>
          <w:numId w:val="31"/>
        </w:numPr>
        <w:spacing w:after="0" w:line="360" w:lineRule="auto"/>
        <w:jc w:val="both"/>
        <w:textAlignment w:val="baseline"/>
        <w:rPr>
          <w:rStyle w:val="normaltextrun"/>
          <w:color w:val="767171"/>
          <w:spacing w:val="20"/>
          <w:lang w:val="es-ES"/>
        </w:rPr>
      </w:pPr>
      <w:r>
        <w:rPr>
          <w:rStyle w:val="normaltextrun"/>
          <w:color w:val="767171"/>
          <w:spacing w:val="20"/>
          <w:lang w:val="es-ES"/>
        </w:rPr>
        <w:t>F</w:t>
      </w:r>
      <w:r w:rsidRPr="00D051EA">
        <w:rPr>
          <w:rStyle w:val="normaltextrun"/>
          <w:color w:val="767171"/>
          <w:spacing w:val="20"/>
          <w:lang w:val="es-ES"/>
        </w:rPr>
        <w:t xml:space="preserve">ortalecer </w:t>
      </w:r>
      <w:r w:rsidR="00542ABF">
        <w:rPr>
          <w:rStyle w:val="normaltextrun"/>
          <w:color w:val="767171"/>
          <w:spacing w:val="20"/>
          <w:lang w:val="es-ES"/>
        </w:rPr>
        <w:t>el proceso de</w:t>
      </w:r>
      <w:r w:rsidRPr="00D051EA">
        <w:rPr>
          <w:rStyle w:val="normaltextrun"/>
          <w:color w:val="767171"/>
          <w:spacing w:val="20"/>
          <w:lang w:val="es-ES"/>
        </w:rPr>
        <w:t xml:space="preserve"> supervisión </w:t>
      </w:r>
      <w:r w:rsidR="00542ABF">
        <w:rPr>
          <w:rStyle w:val="normaltextrun"/>
          <w:color w:val="767171"/>
          <w:spacing w:val="20"/>
          <w:lang w:val="es-ES"/>
        </w:rPr>
        <w:t xml:space="preserve">mediante </w:t>
      </w:r>
      <w:r w:rsidRPr="00B1494C">
        <w:rPr>
          <w:rStyle w:val="normaltextrun"/>
          <w:color w:val="767171"/>
          <w:spacing w:val="20"/>
          <w:lang w:val="es-ES"/>
        </w:rPr>
        <w:t>mejoras a</w:t>
      </w:r>
      <w:r w:rsidR="00930A19" w:rsidRPr="00B1494C">
        <w:rPr>
          <w:rStyle w:val="normaltextrun"/>
          <w:color w:val="767171"/>
          <w:spacing w:val="20"/>
          <w:lang w:val="es-ES"/>
        </w:rPr>
        <w:t xml:space="preserve"> herramientas digitales</w:t>
      </w:r>
      <w:r w:rsidRPr="00B1494C">
        <w:rPr>
          <w:rStyle w:val="normaltextrun"/>
          <w:color w:val="767171"/>
          <w:spacing w:val="20"/>
          <w:lang w:val="es-ES"/>
        </w:rPr>
        <w:t xml:space="preserve"> que faciliten el análisis de datos y la identificación temprana de anomalías</w:t>
      </w:r>
      <w:r w:rsidR="00542ABF">
        <w:rPr>
          <w:rStyle w:val="normaltextrun"/>
          <w:color w:val="767171"/>
          <w:spacing w:val="20"/>
          <w:lang w:val="es-ES"/>
        </w:rPr>
        <w:t xml:space="preserve"> </w:t>
      </w:r>
      <w:r w:rsidR="00987318">
        <w:rPr>
          <w:rStyle w:val="normaltextrun"/>
          <w:color w:val="767171"/>
          <w:spacing w:val="20"/>
          <w:lang w:val="es-ES"/>
        </w:rPr>
        <w:t>en los indicadores de las entidades y del sistema financiero</w:t>
      </w:r>
      <w:r w:rsidRPr="00B1494C">
        <w:rPr>
          <w:rStyle w:val="normaltextrun"/>
          <w:color w:val="767171"/>
          <w:spacing w:val="20"/>
          <w:lang w:val="es-ES"/>
        </w:rPr>
        <w:t>.</w:t>
      </w:r>
    </w:p>
    <w:p w14:paraId="5D5AAD39" w14:textId="0C15E5CF" w:rsidR="00D051EA" w:rsidRDefault="00D051EA" w:rsidP="00D051EA">
      <w:pPr>
        <w:pStyle w:val="paragraph"/>
        <w:numPr>
          <w:ilvl w:val="0"/>
          <w:numId w:val="31"/>
        </w:numPr>
        <w:spacing w:after="0" w:line="360" w:lineRule="auto"/>
        <w:jc w:val="both"/>
        <w:textAlignment w:val="baseline"/>
        <w:rPr>
          <w:rStyle w:val="normaltextrun"/>
          <w:color w:val="767171"/>
          <w:spacing w:val="20"/>
          <w:lang w:val="es-ES"/>
        </w:rPr>
      </w:pPr>
      <w:r w:rsidRPr="00D051EA">
        <w:rPr>
          <w:rStyle w:val="normaltextrun"/>
          <w:color w:val="767171"/>
          <w:spacing w:val="20"/>
          <w:lang w:val="es-ES"/>
        </w:rPr>
        <w:t xml:space="preserve">Modernizar el parque normativo, con proyectos como la continuación de las modificaciones al Manual de Contabilidad, la elaboración de instructivos, y avances en la elaboración de reglamentos </w:t>
      </w:r>
      <w:r w:rsidR="00930A19">
        <w:rPr>
          <w:rStyle w:val="normaltextrun"/>
          <w:color w:val="767171"/>
          <w:spacing w:val="20"/>
          <w:lang w:val="es-ES"/>
        </w:rPr>
        <w:t xml:space="preserve">de </w:t>
      </w:r>
      <w:r w:rsidRPr="00D051EA">
        <w:rPr>
          <w:rStyle w:val="normaltextrun"/>
          <w:color w:val="767171"/>
          <w:spacing w:val="20"/>
          <w:lang w:val="es-ES"/>
        </w:rPr>
        <w:t>riegos de mercado, liquidez y tasa de interés de libro bancario.</w:t>
      </w:r>
    </w:p>
    <w:p w14:paraId="087DF391" w14:textId="1A956FA4" w:rsidR="00C70A2E" w:rsidRPr="00C70A2E" w:rsidRDefault="00C70A2E" w:rsidP="00C70A2E">
      <w:pPr>
        <w:pStyle w:val="paragraph"/>
        <w:numPr>
          <w:ilvl w:val="0"/>
          <w:numId w:val="31"/>
        </w:numPr>
        <w:spacing w:after="0" w:line="360" w:lineRule="auto"/>
        <w:jc w:val="both"/>
        <w:textAlignment w:val="baseline"/>
        <w:rPr>
          <w:rStyle w:val="normaltextrun"/>
          <w:color w:val="767171"/>
          <w:spacing w:val="20"/>
          <w:lang w:val="es-ES"/>
        </w:rPr>
      </w:pPr>
      <w:r>
        <w:rPr>
          <w:rStyle w:val="normaltextrun"/>
          <w:color w:val="767171"/>
          <w:spacing w:val="20"/>
          <w:lang w:val="es-ES"/>
        </w:rPr>
        <w:t>Profundizar</w:t>
      </w:r>
      <w:r w:rsidRPr="00C70A2E">
        <w:rPr>
          <w:rStyle w:val="normaltextrun"/>
          <w:color w:val="767171"/>
          <w:spacing w:val="20"/>
          <w:lang w:val="es-ES"/>
        </w:rPr>
        <w:t xml:space="preserve"> la digitalización de la gestión de los procesos de las áreas clave mediante</w:t>
      </w:r>
      <w:r>
        <w:rPr>
          <w:rStyle w:val="normaltextrun"/>
          <w:color w:val="767171"/>
          <w:spacing w:val="20"/>
          <w:lang w:val="es-ES"/>
        </w:rPr>
        <w:t xml:space="preserve"> la implementación de herramientas </w:t>
      </w:r>
      <w:r>
        <w:rPr>
          <w:rStyle w:val="normaltextrun"/>
          <w:color w:val="767171"/>
          <w:spacing w:val="20"/>
          <w:lang w:val="es-ES"/>
        </w:rPr>
        <w:lastRenderedPageBreak/>
        <w:t>como</w:t>
      </w:r>
      <w:r w:rsidRPr="00C70A2E">
        <w:rPr>
          <w:rStyle w:val="normaltextrun"/>
          <w:color w:val="767171"/>
          <w:spacing w:val="20"/>
          <w:lang w:val="es-ES"/>
        </w:rPr>
        <w:t xml:space="preserve"> un motor de procesos</w:t>
      </w:r>
      <w:r>
        <w:rPr>
          <w:rStyle w:val="normaltextrun"/>
          <w:color w:val="767171"/>
          <w:spacing w:val="20"/>
          <w:lang w:val="es-ES"/>
        </w:rPr>
        <w:t>,</w:t>
      </w:r>
      <w:r w:rsidRPr="00C70A2E">
        <w:rPr>
          <w:rStyle w:val="normaltextrun"/>
          <w:color w:val="767171"/>
          <w:spacing w:val="20"/>
          <w:lang w:val="es-ES"/>
        </w:rPr>
        <w:t xml:space="preserve"> un sistema de gestión documental</w:t>
      </w:r>
      <w:r>
        <w:rPr>
          <w:rStyle w:val="normaltextrun"/>
          <w:color w:val="767171"/>
          <w:spacing w:val="20"/>
          <w:lang w:val="es-ES"/>
        </w:rPr>
        <w:t xml:space="preserve"> y la </w:t>
      </w:r>
      <w:r w:rsidRPr="00C70A2E">
        <w:rPr>
          <w:rStyle w:val="normaltextrun"/>
          <w:color w:val="767171"/>
          <w:spacing w:val="20"/>
          <w:lang w:val="es-ES"/>
        </w:rPr>
        <w:t xml:space="preserve">expansión del </w:t>
      </w:r>
      <w:r w:rsidR="00CD7B42">
        <w:rPr>
          <w:rStyle w:val="normaltextrun"/>
          <w:color w:val="767171"/>
          <w:spacing w:val="20"/>
          <w:lang w:val="es-ES"/>
        </w:rPr>
        <w:t>sistema de planificación de recursos</w:t>
      </w:r>
      <w:r w:rsidR="00C72AEA">
        <w:rPr>
          <w:rStyle w:val="normaltextrun"/>
          <w:color w:val="767171"/>
          <w:spacing w:val="20"/>
          <w:lang w:val="es-ES"/>
        </w:rPr>
        <w:t xml:space="preserve"> empresariales</w:t>
      </w:r>
      <w:r w:rsidR="00CD7B42">
        <w:rPr>
          <w:rStyle w:val="normaltextrun"/>
          <w:color w:val="767171"/>
          <w:spacing w:val="20"/>
          <w:lang w:val="es-ES"/>
        </w:rPr>
        <w:t xml:space="preserve"> (</w:t>
      </w:r>
      <w:r w:rsidRPr="00C70A2E">
        <w:rPr>
          <w:rStyle w:val="normaltextrun"/>
          <w:color w:val="767171"/>
          <w:spacing w:val="20"/>
          <w:lang w:val="es-ES"/>
        </w:rPr>
        <w:t>ERP</w:t>
      </w:r>
      <w:r w:rsidR="00CD7B42">
        <w:rPr>
          <w:rStyle w:val="normaltextrun"/>
          <w:color w:val="767171"/>
          <w:spacing w:val="20"/>
          <w:lang w:val="es-ES"/>
        </w:rPr>
        <w:t>)</w:t>
      </w:r>
      <w:r w:rsidRPr="00C70A2E">
        <w:rPr>
          <w:rStyle w:val="normaltextrun"/>
          <w:color w:val="767171"/>
          <w:spacing w:val="20"/>
          <w:lang w:val="es-ES"/>
        </w:rPr>
        <w:t>.</w:t>
      </w:r>
    </w:p>
    <w:p w14:paraId="05D79A7E" w14:textId="217D9C63" w:rsidR="00C70A2E" w:rsidRDefault="00C72AEA" w:rsidP="00C70A2E">
      <w:pPr>
        <w:pStyle w:val="paragraph"/>
        <w:numPr>
          <w:ilvl w:val="0"/>
          <w:numId w:val="31"/>
        </w:numPr>
        <w:spacing w:after="0" w:line="360" w:lineRule="auto"/>
        <w:jc w:val="both"/>
        <w:textAlignment w:val="baseline"/>
        <w:rPr>
          <w:rStyle w:val="normaltextrun"/>
          <w:color w:val="767171"/>
          <w:spacing w:val="20"/>
          <w:lang w:val="es-ES"/>
        </w:rPr>
      </w:pPr>
      <w:r>
        <w:rPr>
          <w:rStyle w:val="normaltextrun"/>
          <w:color w:val="767171"/>
          <w:spacing w:val="20"/>
          <w:lang w:val="es-ES"/>
        </w:rPr>
        <w:t>Simplificar</w:t>
      </w:r>
      <w:r w:rsidR="00C70A2E" w:rsidRPr="00C70A2E">
        <w:rPr>
          <w:rStyle w:val="normaltextrun"/>
          <w:color w:val="767171"/>
          <w:spacing w:val="20"/>
          <w:lang w:val="es-ES"/>
        </w:rPr>
        <w:t xml:space="preserve"> el proceso de trámite de información con la Dirección Nacional de Registro de Títulos. </w:t>
      </w:r>
    </w:p>
    <w:p w14:paraId="11F21CE5" w14:textId="6A410756" w:rsidR="00B92932" w:rsidRPr="00B92932" w:rsidRDefault="00B92932" w:rsidP="003507F8">
      <w:pPr>
        <w:pStyle w:val="paragraph"/>
        <w:numPr>
          <w:ilvl w:val="0"/>
          <w:numId w:val="31"/>
        </w:numPr>
        <w:spacing w:after="0" w:line="360" w:lineRule="auto"/>
        <w:jc w:val="both"/>
        <w:textAlignment w:val="baseline"/>
        <w:rPr>
          <w:rStyle w:val="normaltextrun"/>
          <w:color w:val="767171"/>
          <w:spacing w:val="20"/>
          <w:lang w:val="es-ES"/>
        </w:rPr>
      </w:pPr>
      <w:r w:rsidRPr="00B92932">
        <w:rPr>
          <w:rStyle w:val="normaltextrun"/>
          <w:color w:val="767171"/>
          <w:spacing w:val="20"/>
          <w:lang w:val="es-ES"/>
        </w:rPr>
        <w:t>Ampliar las competencias de los colaboradores gracias a la continuación de la implementación de un plan de carrera y ruta de desarrollo para las áreas misionales</w:t>
      </w:r>
      <w:r>
        <w:rPr>
          <w:rStyle w:val="normaltextrun"/>
          <w:color w:val="767171"/>
          <w:spacing w:val="20"/>
          <w:lang w:val="es-ES"/>
        </w:rPr>
        <w:t xml:space="preserve"> y</w:t>
      </w:r>
      <w:r w:rsidRPr="00B92932">
        <w:rPr>
          <w:rStyle w:val="normaltextrun"/>
          <w:color w:val="767171"/>
          <w:spacing w:val="20"/>
          <w:lang w:val="es-ES"/>
        </w:rPr>
        <w:t xml:space="preserve"> la creación de un</w:t>
      </w:r>
      <w:r>
        <w:rPr>
          <w:rStyle w:val="normaltextrun"/>
          <w:color w:val="767171"/>
          <w:spacing w:val="20"/>
          <w:lang w:val="es-ES"/>
        </w:rPr>
        <w:t>a</w:t>
      </w:r>
      <w:r w:rsidR="000B66E0">
        <w:rPr>
          <w:rStyle w:val="normaltextrun"/>
          <w:color w:val="767171"/>
          <w:spacing w:val="20"/>
          <w:lang w:val="es-ES"/>
        </w:rPr>
        <w:t xml:space="preserve"> estructura de</w:t>
      </w:r>
      <w:r w:rsidRPr="00B92932">
        <w:rPr>
          <w:rStyle w:val="normaltextrun"/>
          <w:color w:val="767171"/>
          <w:spacing w:val="20"/>
          <w:lang w:val="es-ES"/>
        </w:rPr>
        <w:t xml:space="preserve"> formación (Escuela SB)</w:t>
      </w:r>
      <w:r>
        <w:rPr>
          <w:rStyle w:val="normaltextrun"/>
          <w:color w:val="767171"/>
          <w:spacing w:val="20"/>
          <w:lang w:val="es-ES"/>
        </w:rPr>
        <w:t>.</w:t>
      </w:r>
    </w:p>
    <w:p w14:paraId="7A7FBD47" w14:textId="22F70F83" w:rsidR="00B92932" w:rsidRPr="00B92932" w:rsidRDefault="00B92932" w:rsidP="00B92932">
      <w:pPr>
        <w:pStyle w:val="paragraph"/>
        <w:numPr>
          <w:ilvl w:val="0"/>
          <w:numId w:val="31"/>
        </w:numPr>
        <w:spacing w:after="0" w:line="360" w:lineRule="auto"/>
        <w:jc w:val="both"/>
        <w:textAlignment w:val="baseline"/>
        <w:rPr>
          <w:rStyle w:val="normaltextrun"/>
          <w:color w:val="767171"/>
          <w:spacing w:val="20"/>
          <w:lang w:val="es-ES"/>
        </w:rPr>
      </w:pPr>
      <w:r w:rsidRPr="00B92932">
        <w:rPr>
          <w:rStyle w:val="normaltextrun"/>
          <w:color w:val="767171"/>
          <w:spacing w:val="20"/>
          <w:lang w:val="es-ES"/>
        </w:rPr>
        <w:t>Contar con infraestructura institucional mejorada y fortalecida. Con una sede central más segur</w:t>
      </w:r>
      <w:r w:rsidR="00AD0D5B">
        <w:rPr>
          <w:rStyle w:val="normaltextrun"/>
          <w:color w:val="767171"/>
          <w:spacing w:val="20"/>
          <w:lang w:val="es-ES"/>
        </w:rPr>
        <w:t>a y</w:t>
      </w:r>
      <w:r w:rsidRPr="00B92932">
        <w:rPr>
          <w:rStyle w:val="normaltextrun"/>
          <w:color w:val="767171"/>
          <w:spacing w:val="20"/>
          <w:lang w:val="es-ES"/>
        </w:rPr>
        <w:t xml:space="preserve"> amigable al medio ambiente, gracias al refuerzo estructural de la planta física</w:t>
      </w:r>
      <w:r w:rsidR="000B66E0">
        <w:rPr>
          <w:rStyle w:val="normaltextrun"/>
          <w:color w:val="767171"/>
          <w:spacing w:val="20"/>
          <w:lang w:val="es-ES"/>
        </w:rPr>
        <w:t xml:space="preserve"> y a</w:t>
      </w:r>
      <w:r w:rsidRPr="00B92932">
        <w:rPr>
          <w:rStyle w:val="normaltextrun"/>
          <w:color w:val="767171"/>
          <w:spacing w:val="20"/>
          <w:lang w:val="es-ES"/>
        </w:rPr>
        <w:t xml:space="preserve"> la implementación </w:t>
      </w:r>
      <w:r w:rsidR="00AD0D5B">
        <w:rPr>
          <w:rStyle w:val="normaltextrun"/>
          <w:color w:val="767171"/>
          <w:spacing w:val="20"/>
          <w:lang w:val="es-ES"/>
        </w:rPr>
        <w:t xml:space="preserve">de </w:t>
      </w:r>
      <w:r w:rsidRPr="00B92932">
        <w:rPr>
          <w:rStyle w:val="normaltextrun"/>
          <w:color w:val="767171"/>
          <w:spacing w:val="20"/>
          <w:lang w:val="es-ES"/>
        </w:rPr>
        <w:t>paneles solares</w:t>
      </w:r>
      <w:r w:rsidR="000B66E0">
        <w:rPr>
          <w:rStyle w:val="normaltextrun"/>
          <w:color w:val="767171"/>
          <w:spacing w:val="20"/>
          <w:lang w:val="es-ES"/>
        </w:rPr>
        <w:t>.</w:t>
      </w:r>
    </w:p>
    <w:p w14:paraId="1F4F61DE" w14:textId="289D18FD" w:rsidR="00B92932" w:rsidRPr="00AD0D5B" w:rsidRDefault="00B92932" w:rsidP="00AD0D5B">
      <w:pPr>
        <w:pStyle w:val="paragraph"/>
        <w:numPr>
          <w:ilvl w:val="0"/>
          <w:numId w:val="31"/>
        </w:numPr>
        <w:spacing w:after="0" w:line="360" w:lineRule="auto"/>
        <w:jc w:val="both"/>
        <w:textAlignment w:val="baseline"/>
        <w:rPr>
          <w:rStyle w:val="normaltextrun"/>
          <w:color w:val="767171"/>
          <w:spacing w:val="20"/>
          <w:lang w:val="es-ES"/>
        </w:rPr>
      </w:pPr>
      <w:r w:rsidRPr="00B92932">
        <w:rPr>
          <w:rStyle w:val="normaltextrun"/>
          <w:color w:val="767171"/>
          <w:spacing w:val="20"/>
          <w:lang w:val="es-ES"/>
        </w:rPr>
        <w:t xml:space="preserve">Continuar la implementación del Sistema de Gestión Integrado (SGI), mediante </w:t>
      </w:r>
      <w:r w:rsidR="00AD0D5B">
        <w:rPr>
          <w:rStyle w:val="normaltextrun"/>
          <w:color w:val="767171"/>
          <w:spacing w:val="20"/>
          <w:lang w:val="es-ES"/>
        </w:rPr>
        <w:t xml:space="preserve">actividades </w:t>
      </w:r>
      <w:r w:rsidR="00E71CA6">
        <w:rPr>
          <w:rStyle w:val="normaltextrun"/>
          <w:color w:val="767171"/>
          <w:spacing w:val="20"/>
          <w:lang w:val="es-ES"/>
        </w:rPr>
        <w:t xml:space="preserve">orientadas a </w:t>
      </w:r>
      <w:r w:rsidR="00CA2A6E">
        <w:rPr>
          <w:rStyle w:val="normaltextrun"/>
          <w:color w:val="767171"/>
          <w:spacing w:val="20"/>
          <w:lang w:val="es-ES"/>
        </w:rPr>
        <w:t>certifica</w:t>
      </w:r>
      <w:r w:rsidR="00E71CA6">
        <w:rPr>
          <w:rStyle w:val="normaltextrun"/>
          <w:color w:val="767171"/>
          <w:spacing w:val="20"/>
          <w:lang w:val="es-ES"/>
        </w:rPr>
        <w:t>r procesos institucionales</w:t>
      </w:r>
      <w:r w:rsidR="00CA2A6E">
        <w:rPr>
          <w:rStyle w:val="normaltextrun"/>
          <w:color w:val="767171"/>
          <w:spacing w:val="20"/>
          <w:lang w:val="es-ES"/>
        </w:rPr>
        <w:t xml:space="preserve"> </w:t>
      </w:r>
      <w:r w:rsidR="00E71CA6">
        <w:rPr>
          <w:rStyle w:val="normaltextrun"/>
          <w:color w:val="767171"/>
          <w:spacing w:val="20"/>
          <w:lang w:val="es-ES"/>
        </w:rPr>
        <w:t xml:space="preserve">en las normas </w:t>
      </w:r>
      <w:r w:rsidRPr="00AD0D5B">
        <w:rPr>
          <w:rStyle w:val="normaltextrun"/>
          <w:color w:val="767171"/>
          <w:spacing w:val="20"/>
          <w:lang w:val="es-ES"/>
        </w:rPr>
        <w:t>ISO 37301 de Cumplimiento; ISO 22301 Continuidad de Negocio e ISO 27001 de seguridad de la información.​</w:t>
      </w:r>
    </w:p>
    <w:p w14:paraId="6D0E3923" w14:textId="3E13B6B9" w:rsidR="00B92932" w:rsidRDefault="002F0026" w:rsidP="00B92932">
      <w:pPr>
        <w:pStyle w:val="paragraph"/>
        <w:numPr>
          <w:ilvl w:val="0"/>
          <w:numId w:val="31"/>
        </w:numPr>
        <w:spacing w:after="0" w:line="360" w:lineRule="auto"/>
        <w:jc w:val="both"/>
        <w:textAlignment w:val="baseline"/>
        <w:rPr>
          <w:rStyle w:val="normaltextrun"/>
          <w:color w:val="767171"/>
          <w:spacing w:val="20"/>
          <w:lang w:val="es-ES"/>
        </w:rPr>
      </w:pPr>
      <w:r>
        <w:rPr>
          <w:rStyle w:val="normaltextrun"/>
          <w:color w:val="767171"/>
          <w:spacing w:val="20"/>
          <w:lang w:val="es-ES"/>
        </w:rPr>
        <w:t>Fomentar</w:t>
      </w:r>
      <w:r w:rsidR="00B92932" w:rsidRPr="00B92932">
        <w:rPr>
          <w:rStyle w:val="normaltextrun"/>
          <w:color w:val="767171"/>
          <w:spacing w:val="20"/>
          <w:lang w:val="es-ES"/>
        </w:rPr>
        <w:t xml:space="preserve"> la credibilidad</w:t>
      </w:r>
      <w:r w:rsidR="000B66E0">
        <w:rPr>
          <w:rStyle w:val="normaltextrun"/>
          <w:color w:val="767171"/>
          <w:spacing w:val="20"/>
          <w:lang w:val="es-ES"/>
        </w:rPr>
        <w:t xml:space="preserve"> y</w:t>
      </w:r>
      <w:r w:rsidR="00B92932" w:rsidRPr="00B92932">
        <w:rPr>
          <w:rStyle w:val="normaltextrun"/>
          <w:color w:val="767171"/>
          <w:spacing w:val="20"/>
          <w:lang w:val="es-ES"/>
        </w:rPr>
        <w:t xml:space="preserve"> confianza institucional, a través de iniciativas como la creación de una base de conocimiento en materia de derecho bancario y del sector financiero.</w:t>
      </w:r>
    </w:p>
    <w:p w14:paraId="2688EFFA" w14:textId="6D5A24B5" w:rsidR="00D91270" w:rsidRDefault="00D91270" w:rsidP="00D91270">
      <w:pPr>
        <w:pStyle w:val="paragraph"/>
        <w:numPr>
          <w:ilvl w:val="0"/>
          <w:numId w:val="31"/>
        </w:numPr>
        <w:spacing w:after="0" w:line="360" w:lineRule="auto"/>
        <w:jc w:val="both"/>
        <w:textAlignment w:val="baseline"/>
        <w:rPr>
          <w:rStyle w:val="normaltextrun"/>
          <w:color w:val="767171"/>
          <w:spacing w:val="20"/>
          <w:lang w:val="es-ES"/>
        </w:rPr>
      </w:pPr>
      <w:r w:rsidRPr="00D91270">
        <w:rPr>
          <w:rStyle w:val="normaltextrun"/>
          <w:color w:val="767171"/>
          <w:spacing w:val="20"/>
          <w:lang w:val="es-ES"/>
        </w:rPr>
        <w:t xml:space="preserve">Aumentar la cantidad de usuarios que reciben educación financiera gracias a la habilitación de una plataforma </w:t>
      </w:r>
      <w:r w:rsidR="002F0026">
        <w:rPr>
          <w:rStyle w:val="normaltextrun"/>
          <w:color w:val="767171"/>
          <w:spacing w:val="20"/>
          <w:lang w:val="es-ES"/>
        </w:rPr>
        <w:t xml:space="preserve">de formación </w:t>
      </w:r>
      <w:r w:rsidRPr="00D91270">
        <w:rPr>
          <w:rStyle w:val="normaltextrun"/>
          <w:color w:val="767171"/>
          <w:spacing w:val="20"/>
          <w:lang w:val="es-ES"/>
        </w:rPr>
        <w:t>en línea</w:t>
      </w:r>
      <w:r w:rsidR="002F0026">
        <w:rPr>
          <w:rStyle w:val="normaltextrun"/>
          <w:color w:val="767171"/>
          <w:spacing w:val="20"/>
          <w:lang w:val="es-ES"/>
        </w:rPr>
        <w:t xml:space="preserve"> para el público</w:t>
      </w:r>
      <w:r w:rsidRPr="00D91270">
        <w:rPr>
          <w:rStyle w:val="normaltextrun"/>
          <w:color w:val="767171"/>
          <w:spacing w:val="20"/>
          <w:lang w:val="es-ES"/>
        </w:rPr>
        <w:t>.</w:t>
      </w:r>
    </w:p>
    <w:p w14:paraId="7A85B640" w14:textId="119020E4" w:rsidR="00A13782" w:rsidRPr="00B10BD8" w:rsidRDefault="007D1CDC" w:rsidP="006B204A">
      <w:pPr>
        <w:pStyle w:val="paragraph"/>
        <w:numPr>
          <w:ilvl w:val="0"/>
          <w:numId w:val="31"/>
        </w:numPr>
        <w:spacing w:after="0" w:line="360" w:lineRule="auto"/>
        <w:jc w:val="both"/>
        <w:textAlignment w:val="baseline"/>
        <w:rPr>
          <w:color w:val="767171"/>
          <w:spacing w:val="20"/>
          <w:lang w:val="es-ES"/>
        </w:rPr>
      </w:pPr>
      <w:r w:rsidRPr="007D1CDC">
        <w:rPr>
          <w:rStyle w:val="normaltextrun"/>
          <w:color w:val="767171"/>
          <w:spacing w:val="20"/>
          <w:lang w:val="es-ES"/>
        </w:rPr>
        <w:t>Aumentar el porcentaje de EIF que son enteradas del alcance e implicaciones de la aplicación del nuevo régimen sancionador.</w:t>
      </w:r>
      <w:r w:rsidR="00A13782" w:rsidRPr="00B10BD8">
        <w:rPr>
          <w:rFonts w:eastAsia="Calibri"/>
        </w:rPr>
        <w:br w:type="page"/>
      </w:r>
    </w:p>
    <w:bookmarkStart w:id="110" w:name="_Toc123046930"/>
    <w:bookmarkStart w:id="111" w:name="_Toc155354630"/>
    <w:p w14:paraId="2A22F063" w14:textId="25461D6F" w:rsidR="002C3B98" w:rsidRPr="00C865B6" w:rsidRDefault="002C3B98" w:rsidP="006B204A">
      <w:pPr>
        <w:pStyle w:val="Ttulo1"/>
        <w:spacing w:before="0" w:after="160"/>
        <w:rPr>
          <w:rFonts w:cs="Times New Roman"/>
          <w:b w:val="0"/>
          <w:color w:val="auto"/>
          <w:szCs w:val="28"/>
          <w:lang w:val="es-DO"/>
        </w:rPr>
      </w:pPr>
      <w:r w:rsidRPr="00C865B6">
        <w:rPr>
          <w:rFonts w:cs="Times New Roman"/>
          <w:noProof/>
          <w:lang w:eastAsia="es-ES"/>
        </w:rPr>
        <w:lastRenderedPageBreak/>
        <mc:AlternateContent>
          <mc:Choice Requires="wps">
            <w:drawing>
              <wp:anchor distT="0" distB="0" distL="114300" distR="114300" simplePos="0" relativeHeight="251658254" behindDoc="0" locked="0" layoutInCell="1" allowOverlap="1" wp14:anchorId="75C2F229" wp14:editId="5F72D0CB">
                <wp:simplePos x="0" y="0"/>
                <wp:positionH relativeFrom="margin">
                  <wp:align>center</wp:align>
                </wp:positionH>
                <wp:positionV relativeFrom="paragraph">
                  <wp:posOffset>391160</wp:posOffset>
                </wp:positionV>
                <wp:extent cx="463550" cy="0"/>
                <wp:effectExtent l="0" t="19050" r="31750" b="19050"/>
                <wp:wrapNone/>
                <wp:docPr id="70" name="Conector recto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line w14:anchorId="14A167E3" id="Conector recto 70" o:spid="_x0000_s1026" style="position:absolute;z-index:25165825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0.8pt" to="36.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" strokecolor="#ee2a24" strokeweight="2.25pt">
                <v:stroke joinstyle="miter"/>
                <w10:wrap anchorx="margin"/>
              </v:line>
            </w:pict>
          </mc:Fallback>
        </mc:AlternateContent>
      </w:r>
      <w:r w:rsidRPr="00C865B6">
        <w:rPr>
          <w:rFonts w:eastAsia="Calibri" w:cs="Times New Roman"/>
          <w:color w:val="767171"/>
          <w:szCs w:val="28"/>
          <w:lang w:val="es-DO"/>
        </w:rPr>
        <w:t>VII. ANEXOS</w:t>
      </w:r>
      <w:bookmarkEnd w:id="110"/>
      <w:bookmarkEnd w:id="111"/>
    </w:p>
    <w:p w14:paraId="225F63C2" w14:textId="781BD978" w:rsidR="008670C1" w:rsidRDefault="008670C1" w:rsidP="006B204A">
      <w:pPr>
        <w:tabs>
          <w:tab w:val="left" w:pos="6420"/>
        </w:tabs>
        <w:spacing w:line="360" w:lineRule="auto"/>
        <w:jc w:val="center"/>
        <w:rPr>
          <w:b/>
          <w:bCs/>
          <w:lang w:val="es-DO"/>
        </w:rPr>
      </w:pPr>
    </w:p>
    <w:p w14:paraId="4082D4DB" w14:textId="74038A0B" w:rsidR="008670C1" w:rsidRPr="00C865B6" w:rsidRDefault="008670C1" w:rsidP="006B204A">
      <w:pPr>
        <w:tabs>
          <w:tab w:val="left" w:pos="6420"/>
        </w:tabs>
        <w:spacing w:line="360" w:lineRule="auto"/>
        <w:jc w:val="center"/>
        <w:rPr>
          <w:b/>
          <w:bCs/>
        </w:rPr>
      </w:pPr>
      <w:r w:rsidRPr="00C865B6">
        <w:rPr>
          <w:b/>
          <w:bCs/>
          <w:lang w:val="es-DO"/>
        </w:rPr>
        <w:t xml:space="preserve">Anexo </w:t>
      </w:r>
      <w:r w:rsidR="007C66F2">
        <w:rPr>
          <w:b/>
          <w:bCs/>
          <w:lang w:val="es-DO"/>
        </w:rPr>
        <w:t>1</w:t>
      </w:r>
      <w:r w:rsidRPr="00C865B6">
        <w:rPr>
          <w:b/>
          <w:bCs/>
          <w:lang w:val="es-DO"/>
        </w:rPr>
        <w:t xml:space="preserve">. Ejecución Presupuestaria de la Superintendencia de Bancos según cuentas. </w:t>
      </w:r>
      <w:r w:rsidRPr="00C865B6">
        <w:rPr>
          <w:b/>
          <w:bCs/>
        </w:rPr>
        <w:t xml:space="preserve">Al corte </w:t>
      </w:r>
      <w:r w:rsidR="00FD4388">
        <w:rPr>
          <w:b/>
          <w:bCs/>
        </w:rPr>
        <w:t>de</w:t>
      </w:r>
      <w:r w:rsidRPr="00C865B6">
        <w:rPr>
          <w:b/>
          <w:bCs/>
        </w:rPr>
        <w:t xml:space="preserve"> </w:t>
      </w:r>
      <w:r w:rsidR="00CB7390">
        <w:rPr>
          <w:b/>
          <w:bCs/>
          <w:lang w:val="es-DO"/>
        </w:rPr>
        <w:t>noviembre</w:t>
      </w:r>
      <w:r w:rsidR="00FD4388">
        <w:rPr>
          <w:b/>
          <w:bCs/>
          <w:lang w:val="es-DO"/>
        </w:rPr>
        <w:t xml:space="preserve"> del</w:t>
      </w:r>
      <w:r w:rsidRPr="00C865B6">
        <w:rPr>
          <w:b/>
          <w:bCs/>
        </w:rPr>
        <w:t xml:space="preserve"> </w:t>
      </w:r>
      <w:r w:rsidR="00FD4388" w:rsidRPr="00202E46">
        <w:rPr>
          <w:b/>
          <w:bCs/>
          <w:lang w:val="es-DO"/>
        </w:rPr>
        <w:t>a</w:t>
      </w:r>
      <w:r w:rsidRPr="00202E46">
        <w:rPr>
          <w:b/>
          <w:bCs/>
          <w:lang w:val="es-DO"/>
        </w:rPr>
        <w:t>ño</w:t>
      </w:r>
      <w:r w:rsidRPr="00C865B6">
        <w:rPr>
          <w:b/>
          <w:bCs/>
        </w:rPr>
        <w:t xml:space="preserve"> 202</w:t>
      </w:r>
      <w:r>
        <w:rPr>
          <w:b/>
          <w:bCs/>
        </w:rPr>
        <w:t>3</w:t>
      </w:r>
    </w:p>
    <w:tbl>
      <w:tblPr>
        <w:tblW w:w="8552" w:type="dxa"/>
        <w:jc w:val="center"/>
        <w:tblCellMar>
          <w:top w:w="15" w:type="dxa"/>
          <w:bottom w:w="15" w:type="dxa"/>
        </w:tblCellMar>
        <w:tblLook w:val="04A0" w:firstRow="1" w:lastRow="0" w:firstColumn="1" w:lastColumn="0" w:noHBand="0" w:noVBand="1"/>
      </w:tblPr>
      <w:tblGrid>
        <w:gridCol w:w="3022"/>
        <w:gridCol w:w="21"/>
        <w:gridCol w:w="2017"/>
        <w:gridCol w:w="21"/>
        <w:gridCol w:w="1753"/>
        <w:gridCol w:w="82"/>
        <w:gridCol w:w="1636"/>
      </w:tblGrid>
      <w:tr w:rsidR="00452802" w:rsidRPr="00A40ED9" w14:paraId="326D720D" w14:textId="77777777" w:rsidTr="00BE0AFF">
        <w:trPr>
          <w:trHeight w:val="129"/>
          <w:jc w:val="center"/>
        </w:trPr>
        <w:tc>
          <w:tcPr>
            <w:tcW w:w="3022" w:type="dxa"/>
            <w:tcBorders>
              <w:top w:val="single" w:sz="8" w:space="0" w:color="auto"/>
              <w:left w:val="single" w:sz="8" w:space="0" w:color="auto"/>
              <w:bottom w:val="single" w:sz="8" w:space="0" w:color="auto"/>
              <w:right w:val="single" w:sz="8" w:space="0" w:color="auto"/>
            </w:tcBorders>
            <w:shd w:val="clear" w:color="000000" w:fill="003876"/>
            <w:noWrap/>
            <w:vAlign w:val="center"/>
            <w:hideMark/>
          </w:tcPr>
          <w:p w14:paraId="762CA50E" w14:textId="77777777" w:rsidR="008670C1" w:rsidRPr="005F7534" w:rsidRDefault="008670C1" w:rsidP="006B204A">
            <w:pPr>
              <w:spacing w:after="0" w:line="360" w:lineRule="auto"/>
              <w:rPr>
                <w:rFonts w:eastAsia="Times New Roman"/>
                <w:b/>
                <w:bCs/>
                <w:color w:val="FFFFFF"/>
                <w:lang w:val="es-DO"/>
              </w:rPr>
            </w:pPr>
            <w:r w:rsidRPr="005F7534">
              <w:rPr>
                <w:rFonts w:eastAsia="Times New Roman"/>
                <w:b/>
                <w:bCs/>
                <w:color w:val="FFFFFF"/>
                <w:lang w:val="es-DO"/>
              </w:rPr>
              <w:t>Remuneraciones y contribuciones</w:t>
            </w:r>
          </w:p>
        </w:tc>
        <w:tc>
          <w:tcPr>
            <w:tcW w:w="2038" w:type="dxa"/>
            <w:gridSpan w:val="2"/>
            <w:tcBorders>
              <w:top w:val="single" w:sz="8" w:space="0" w:color="auto"/>
              <w:left w:val="nil"/>
              <w:bottom w:val="single" w:sz="8" w:space="0" w:color="auto"/>
              <w:right w:val="single" w:sz="8" w:space="0" w:color="auto"/>
            </w:tcBorders>
            <w:shd w:val="clear" w:color="000000" w:fill="003876"/>
            <w:noWrap/>
            <w:vAlign w:val="center"/>
            <w:hideMark/>
          </w:tcPr>
          <w:p w14:paraId="29C4FF93" w14:textId="77777777" w:rsidR="008670C1" w:rsidRPr="005F7534" w:rsidRDefault="008670C1" w:rsidP="006B204A">
            <w:pPr>
              <w:spacing w:after="0" w:line="360" w:lineRule="auto"/>
              <w:jc w:val="center"/>
              <w:rPr>
                <w:rFonts w:eastAsia="Times New Roman"/>
                <w:b/>
                <w:bCs/>
                <w:color w:val="FFFFFF"/>
                <w:lang w:val="es-DO"/>
              </w:rPr>
            </w:pPr>
            <w:r w:rsidRPr="005F7534">
              <w:rPr>
                <w:rFonts w:eastAsia="Times New Roman"/>
                <w:b/>
                <w:bCs/>
                <w:color w:val="FFFFFF"/>
                <w:lang w:val="es-DO"/>
              </w:rPr>
              <w:t>Presupuesto</w:t>
            </w:r>
          </w:p>
        </w:tc>
        <w:tc>
          <w:tcPr>
            <w:tcW w:w="1856" w:type="dxa"/>
            <w:gridSpan w:val="3"/>
            <w:tcBorders>
              <w:top w:val="single" w:sz="8" w:space="0" w:color="auto"/>
              <w:left w:val="nil"/>
              <w:bottom w:val="single" w:sz="8" w:space="0" w:color="auto"/>
              <w:right w:val="single" w:sz="8" w:space="0" w:color="auto"/>
            </w:tcBorders>
            <w:shd w:val="clear" w:color="000000" w:fill="003876"/>
            <w:noWrap/>
            <w:vAlign w:val="center"/>
            <w:hideMark/>
          </w:tcPr>
          <w:p w14:paraId="058D7D0D" w14:textId="77777777" w:rsidR="008670C1" w:rsidRPr="005F7534" w:rsidRDefault="008670C1" w:rsidP="006B204A">
            <w:pPr>
              <w:spacing w:after="0" w:line="360" w:lineRule="auto"/>
              <w:jc w:val="center"/>
              <w:rPr>
                <w:rFonts w:eastAsia="Times New Roman"/>
                <w:b/>
                <w:bCs/>
                <w:color w:val="FFFFFF"/>
                <w:lang w:val="es-DO"/>
              </w:rPr>
            </w:pPr>
            <w:r w:rsidRPr="005F7534">
              <w:rPr>
                <w:rFonts w:eastAsia="Times New Roman"/>
                <w:b/>
                <w:bCs/>
                <w:color w:val="FFFFFF"/>
                <w:lang w:val="es-DO"/>
              </w:rPr>
              <w:t>Ejecutado</w:t>
            </w:r>
          </w:p>
        </w:tc>
        <w:tc>
          <w:tcPr>
            <w:tcW w:w="1636" w:type="dxa"/>
            <w:tcBorders>
              <w:top w:val="single" w:sz="8" w:space="0" w:color="auto"/>
              <w:left w:val="nil"/>
              <w:bottom w:val="single" w:sz="8" w:space="0" w:color="auto"/>
              <w:right w:val="single" w:sz="8" w:space="0" w:color="auto"/>
            </w:tcBorders>
            <w:shd w:val="clear" w:color="000000" w:fill="003876"/>
            <w:noWrap/>
            <w:vAlign w:val="center"/>
            <w:hideMark/>
          </w:tcPr>
          <w:p w14:paraId="20031C9D" w14:textId="77777777" w:rsidR="008670C1" w:rsidRPr="005F7534" w:rsidRDefault="008670C1" w:rsidP="006B204A">
            <w:pPr>
              <w:spacing w:after="0" w:line="360" w:lineRule="auto"/>
              <w:jc w:val="center"/>
              <w:rPr>
                <w:rFonts w:eastAsia="Times New Roman"/>
                <w:b/>
                <w:bCs/>
                <w:color w:val="FFFFFF"/>
                <w:lang w:val="es-DO"/>
              </w:rPr>
            </w:pPr>
            <w:r w:rsidRPr="005F7534">
              <w:rPr>
                <w:rFonts w:eastAsia="Times New Roman"/>
                <w:b/>
                <w:bCs/>
                <w:color w:val="FFFFFF"/>
                <w:lang w:val="es-DO"/>
              </w:rPr>
              <w:t>Balance</w:t>
            </w:r>
          </w:p>
        </w:tc>
      </w:tr>
      <w:tr w:rsidR="008670C1" w:rsidRPr="00A40ED9" w14:paraId="617A4FDF" w14:textId="77777777" w:rsidTr="00BE0AFF">
        <w:trPr>
          <w:trHeight w:val="129"/>
          <w:jc w:val="center"/>
        </w:trPr>
        <w:tc>
          <w:tcPr>
            <w:tcW w:w="3022" w:type="dxa"/>
            <w:tcBorders>
              <w:top w:val="nil"/>
              <w:left w:val="single" w:sz="8" w:space="0" w:color="auto"/>
              <w:bottom w:val="single" w:sz="8" w:space="0" w:color="auto"/>
              <w:right w:val="single" w:sz="8" w:space="0" w:color="auto"/>
            </w:tcBorders>
            <w:noWrap/>
            <w:vAlign w:val="center"/>
            <w:hideMark/>
          </w:tcPr>
          <w:p w14:paraId="2BBD2D59" w14:textId="77777777" w:rsidR="008670C1" w:rsidRPr="005F7534" w:rsidRDefault="008670C1" w:rsidP="006B204A">
            <w:pPr>
              <w:spacing w:after="0" w:line="360" w:lineRule="auto"/>
              <w:rPr>
                <w:rFonts w:eastAsia="Times New Roman"/>
                <w:b/>
                <w:bCs/>
                <w:lang w:val="es-DO"/>
              </w:rPr>
            </w:pPr>
            <w:r w:rsidRPr="005F7534">
              <w:rPr>
                <w:rFonts w:eastAsia="Times New Roman"/>
                <w:b/>
                <w:bCs/>
                <w:lang w:val="es-DO"/>
              </w:rPr>
              <w:t>Remuneraciones</w:t>
            </w:r>
          </w:p>
        </w:tc>
        <w:tc>
          <w:tcPr>
            <w:tcW w:w="2038" w:type="dxa"/>
            <w:gridSpan w:val="2"/>
            <w:tcBorders>
              <w:top w:val="nil"/>
              <w:left w:val="nil"/>
              <w:bottom w:val="single" w:sz="8" w:space="0" w:color="auto"/>
              <w:right w:val="single" w:sz="8" w:space="0" w:color="auto"/>
            </w:tcBorders>
            <w:noWrap/>
            <w:vAlign w:val="center"/>
            <w:hideMark/>
          </w:tcPr>
          <w:p w14:paraId="138173E5" w14:textId="77777777" w:rsidR="008670C1" w:rsidRPr="005F7534" w:rsidRDefault="008670C1" w:rsidP="006B204A">
            <w:pPr>
              <w:spacing w:after="0" w:line="360" w:lineRule="auto"/>
              <w:jc w:val="center"/>
              <w:rPr>
                <w:rFonts w:eastAsia="Times New Roman"/>
                <w:lang w:val="es-DO"/>
              </w:rPr>
            </w:pPr>
            <w:r w:rsidRPr="005F7534">
              <w:rPr>
                <w:lang w:val="es-DO"/>
              </w:rPr>
              <w:t xml:space="preserve"> 1,555,754,120 </w:t>
            </w:r>
          </w:p>
        </w:tc>
        <w:tc>
          <w:tcPr>
            <w:tcW w:w="1856" w:type="dxa"/>
            <w:gridSpan w:val="3"/>
            <w:tcBorders>
              <w:top w:val="nil"/>
              <w:left w:val="nil"/>
              <w:bottom w:val="single" w:sz="8" w:space="0" w:color="auto"/>
              <w:right w:val="single" w:sz="8" w:space="0" w:color="auto"/>
            </w:tcBorders>
            <w:noWrap/>
            <w:vAlign w:val="center"/>
            <w:hideMark/>
          </w:tcPr>
          <w:p w14:paraId="6847D362" w14:textId="611C8C7A" w:rsidR="008670C1" w:rsidRPr="005F7534" w:rsidRDefault="00CB7390" w:rsidP="006B204A">
            <w:pPr>
              <w:spacing w:after="0" w:line="360" w:lineRule="auto"/>
              <w:jc w:val="center"/>
              <w:rPr>
                <w:rFonts w:eastAsia="Times New Roman"/>
                <w:lang w:val="es-DO"/>
              </w:rPr>
            </w:pPr>
            <w:r w:rsidRPr="00CB7390">
              <w:rPr>
                <w:lang w:val="es-DO"/>
              </w:rPr>
              <w:t>1,288,849,294</w:t>
            </w:r>
          </w:p>
        </w:tc>
        <w:tc>
          <w:tcPr>
            <w:tcW w:w="1636" w:type="dxa"/>
            <w:tcBorders>
              <w:top w:val="nil"/>
              <w:left w:val="nil"/>
              <w:bottom w:val="single" w:sz="8" w:space="0" w:color="auto"/>
              <w:right w:val="single" w:sz="8" w:space="0" w:color="auto"/>
            </w:tcBorders>
            <w:noWrap/>
            <w:vAlign w:val="center"/>
            <w:hideMark/>
          </w:tcPr>
          <w:p w14:paraId="26854379" w14:textId="41805E35" w:rsidR="008670C1" w:rsidRPr="005F7534" w:rsidRDefault="00CB7390" w:rsidP="006B204A">
            <w:pPr>
              <w:spacing w:after="0" w:line="360" w:lineRule="auto"/>
              <w:jc w:val="center"/>
              <w:rPr>
                <w:rFonts w:eastAsia="Times New Roman"/>
                <w:lang w:val="es-DO"/>
              </w:rPr>
            </w:pPr>
            <w:r w:rsidRPr="00CB7390">
              <w:rPr>
                <w:lang w:val="es-DO"/>
              </w:rPr>
              <w:t>266,904,826</w:t>
            </w:r>
          </w:p>
        </w:tc>
      </w:tr>
      <w:tr w:rsidR="008670C1" w:rsidRPr="00A40ED9" w14:paraId="7B7C3A82" w14:textId="77777777" w:rsidTr="00BE0AFF">
        <w:trPr>
          <w:trHeight w:val="129"/>
          <w:jc w:val="center"/>
        </w:trPr>
        <w:tc>
          <w:tcPr>
            <w:tcW w:w="3022" w:type="dxa"/>
            <w:tcBorders>
              <w:top w:val="nil"/>
              <w:left w:val="single" w:sz="8" w:space="0" w:color="auto"/>
              <w:bottom w:val="single" w:sz="8" w:space="0" w:color="auto"/>
              <w:right w:val="single" w:sz="8" w:space="0" w:color="auto"/>
            </w:tcBorders>
            <w:noWrap/>
            <w:vAlign w:val="center"/>
            <w:hideMark/>
          </w:tcPr>
          <w:p w14:paraId="2C5712D4" w14:textId="77777777" w:rsidR="008670C1" w:rsidRPr="005F7534" w:rsidRDefault="008670C1" w:rsidP="006B204A">
            <w:pPr>
              <w:spacing w:after="0" w:line="360" w:lineRule="auto"/>
              <w:rPr>
                <w:rFonts w:eastAsia="Times New Roman"/>
                <w:b/>
                <w:bCs/>
                <w:lang w:val="es-DO"/>
              </w:rPr>
            </w:pPr>
            <w:r w:rsidRPr="005F7534">
              <w:rPr>
                <w:rFonts w:eastAsia="Times New Roman"/>
                <w:b/>
                <w:bCs/>
                <w:lang w:val="es-DO"/>
              </w:rPr>
              <w:t>Sobresueldos</w:t>
            </w:r>
          </w:p>
        </w:tc>
        <w:tc>
          <w:tcPr>
            <w:tcW w:w="2038" w:type="dxa"/>
            <w:gridSpan w:val="2"/>
            <w:tcBorders>
              <w:top w:val="nil"/>
              <w:left w:val="nil"/>
              <w:bottom w:val="single" w:sz="8" w:space="0" w:color="auto"/>
              <w:right w:val="single" w:sz="8" w:space="0" w:color="auto"/>
            </w:tcBorders>
            <w:noWrap/>
            <w:vAlign w:val="center"/>
            <w:hideMark/>
          </w:tcPr>
          <w:p w14:paraId="237A0950" w14:textId="77777777" w:rsidR="008670C1" w:rsidRPr="005F7534" w:rsidRDefault="008670C1" w:rsidP="006B204A">
            <w:pPr>
              <w:spacing w:after="0" w:line="360" w:lineRule="auto"/>
              <w:jc w:val="center"/>
              <w:rPr>
                <w:rFonts w:eastAsia="Times New Roman"/>
                <w:lang w:val="es-DO"/>
              </w:rPr>
            </w:pPr>
            <w:r w:rsidRPr="005F7534">
              <w:rPr>
                <w:lang w:val="es-DO"/>
              </w:rPr>
              <w:t xml:space="preserve"> 192,890,298 </w:t>
            </w:r>
          </w:p>
        </w:tc>
        <w:tc>
          <w:tcPr>
            <w:tcW w:w="1856" w:type="dxa"/>
            <w:gridSpan w:val="3"/>
            <w:tcBorders>
              <w:top w:val="nil"/>
              <w:left w:val="nil"/>
              <w:bottom w:val="single" w:sz="8" w:space="0" w:color="auto"/>
              <w:right w:val="single" w:sz="8" w:space="0" w:color="auto"/>
            </w:tcBorders>
            <w:noWrap/>
            <w:vAlign w:val="center"/>
            <w:hideMark/>
          </w:tcPr>
          <w:p w14:paraId="1BC401AE" w14:textId="186A678F" w:rsidR="008670C1" w:rsidRPr="005F7534" w:rsidRDefault="00CB7390" w:rsidP="006B204A">
            <w:pPr>
              <w:spacing w:after="0" w:line="360" w:lineRule="auto"/>
              <w:jc w:val="center"/>
              <w:rPr>
                <w:rFonts w:eastAsia="Times New Roman"/>
                <w:lang w:val="es-DO"/>
              </w:rPr>
            </w:pPr>
            <w:r w:rsidRPr="00CB7390">
              <w:rPr>
                <w:lang w:val="es-DO"/>
              </w:rPr>
              <w:t>162,379,303</w:t>
            </w:r>
          </w:p>
        </w:tc>
        <w:tc>
          <w:tcPr>
            <w:tcW w:w="1636" w:type="dxa"/>
            <w:tcBorders>
              <w:top w:val="nil"/>
              <w:left w:val="nil"/>
              <w:bottom w:val="single" w:sz="8" w:space="0" w:color="auto"/>
              <w:right w:val="single" w:sz="8" w:space="0" w:color="auto"/>
            </w:tcBorders>
            <w:noWrap/>
            <w:vAlign w:val="center"/>
            <w:hideMark/>
          </w:tcPr>
          <w:p w14:paraId="49812BDB" w14:textId="4EFCD8A1" w:rsidR="008670C1" w:rsidRPr="005F7534" w:rsidRDefault="00CB7390" w:rsidP="006B204A">
            <w:pPr>
              <w:spacing w:after="0" w:line="360" w:lineRule="auto"/>
              <w:jc w:val="center"/>
              <w:rPr>
                <w:rFonts w:eastAsia="Times New Roman"/>
                <w:lang w:val="es-DO"/>
              </w:rPr>
            </w:pPr>
            <w:r w:rsidRPr="00CB7390">
              <w:rPr>
                <w:lang w:val="es-DO"/>
              </w:rPr>
              <w:t>30,510,995</w:t>
            </w:r>
          </w:p>
        </w:tc>
      </w:tr>
      <w:tr w:rsidR="008670C1" w:rsidRPr="00A40ED9" w14:paraId="7F4CF5AC" w14:textId="77777777" w:rsidTr="00BE0AFF">
        <w:trPr>
          <w:trHeight w:val="129"/>
          <w:jc w:val="center"/>
        </w:trPr>
        <w:tc>
          <w:tcPr>
            <w:tcW w:w="3022" w:type="dxa"/>
            <w:tcBorders>
              <w:top w:val="nil"/>
              <w:left w:val="single" w:sz="8" w:space="0" w:color="auto"/>
              <w:bottom w:val="single" w:sz="8" w:space="0" w:color="auto"/>
              <w:right w:val="single" w:sz="8" w:space="0" w:color="auto"/>
            </w:tcBorders>
            <w:noWrap/>
            <w:vAlign w:val="center"/>
            <w:hideMark/>
          </w:tcPr>
          <w:p w14:paraId="67DD9824" w14:textId="77777777" w:rsidR="008670C1" w:rsidRPr="005F7534" w:rsidRDefault="008670C1" w:rsidP="006B204A">
            <w:pPr>
              <w:spacing w:after="0" w:line="360" w:lineRule="auto"/>
              <w:rPr>
                <w:rFonts w:eastAsia="Times New Roman"/>
                <w:b/>
                <w:bCs/>
                <w:lang w:val="es-DO"/>
              </w:rPr>
            </w:pPr>
            <w:r w:rsidRPr="005F7534">
              <w:rPr>
                <w:rFonts w:eastAsia="Times New Roman"/>
                <w:b/>
                <w:bCs/>
                <w:lang w:val="es-DO"/>
              </w:rPr>
              <w:t>Dietas y gastos de representación</w:t>
            </w:r>
          </w:p>
        </w:tc>
        <w:tc>
          <w:tcPr>
            <w:tcW w:w="2038" w:type="dxa"/>
            <w:gridSpan w:val="2"/>
            <w:tcBorders>
              <w:top w:val="nil"/>
              <w:left w:val="nil"/>
              <w:bottom w:val="single" w:sz="8" w:space="0" w:color="auto"/>
              <w:right w:val="single" w:sz="8" w:space="0" w:color="auto"/>
            </w:tcBorders>
            <w:noWrap/>
            <w:vAlign w:val="center"/>
            <w:hideMark/>
          </w:tcPr>
          <w:p w14:paraId="3B22944A" w14:textId="77777777" w:rsidR="008670C1" w:rsidRPr="005F7534" w:rsidRDefault="008670C1" w:rsidP="006B204A">
            <w:pPr>
              <w:spacing w:after="0" w:line="360" w:lineRule="auto"/>
              <w:jc w:val="center"/>
              <w:rPr>
                <w:rFonts w:eastAsia="Times New Roman"/>
                <w:lang w:val="es-DO"/>
              </w:rPr>
            </w:pPr>
            <w:r w:rsidRPr="005F7534">
              <w:rPr>
                <w:lang w:val="es-DO"/>
              </w:rPr>
              <w:t xml:space="preserve"> 20,417,047 </w:t>
            </w:r>
          </w:p>
        </w:tc>
        <w:tc>
          <w:tcPr>
            <w:tcW w:w="1856" w:type="dxa"/>
            <w:gridSpan w:val="3"/>
            <w:tcBorders>
              <w:top w:val="nil"/>
              <w:left w:val="nil"/>
              <w:bottom w:val="single" w:sz="8" w:space="0" w:color="auto"/>
              <w:right w:val="single" w:sz="8" w:space="0" w:color="auto"/>
            </w:tcBorders>
            <w:noWrap/>
            <w:vAlign w:val="center"/>
            <w:hideMark/>
          </w:tcPr>
          <w:p w14:paraId="389FB459" w14:textId="561F63B2" w:rsidR="008670C1" w:rsidRPr="005F7534" w:rsidRDefault="00CB7390" w:rsidP="006B204A">
            <w:pPr>
              <w:spacing w:after="0" w:line="360" w:lineRule="auto"/>
              <w:jc w:val="center"/>
              <w:rPr>
                <w:rFonts w:eastAsia="Times New Roman"/>
                <w:lang w:val="es-DO"/>
              </w:rPr>
            </w:pPr>
            <w:r w:rsidRPr="00CB7390">
              <w:rPr>
                <w:lang w:val="es-DO"/>
              </w:rPr>
              <w:t>18,213,357</w:t>
            </w:r>
          </w:p>
        </w:tc>
        <w:tc>
          <w:tcPr>
            <w:tcW w:w="1636" w:type="dxa"/>
            <w:tcBorders>
              <w:top w:val="nil"/>
              <w:left w:val="nil"/>
              <w:bottom w:val="single" w:sz="8" w:space="0" w:color="auto"/>
              <w:right w:val="single" w:sz="8" w:space="0" w:color="auto"/>
            </w:tcBorders>
            <w:noWrap/>
            <w:vAlign w:val="center"/>
            <w:hideMark/>
          </w:tcPr>
          <w:p w14:paraId="61D68F86" w14:textId="2E38587D" w:rsidR="008670C1" w:rsidRPr="005F7534" w:rsidRDefault="00CB7390" w:rsidP="006B204A">
            <w:pPr>
              <w:spacing w:after="0" w:line="360" w:lineRule="auto"/>
              <w:jc w:val="center"/>
              <w:rPr>
                <w:rFonts w:eastAsia="Times New Roman"/>
                <w:lang w:val="es-DO"/>
              </w:rPr>
            </w:pPr>
            <w:r w:rsidRPr="00CB7390">
              <w:rPr>
                <w:lang w:val="es-DO"/>
              </w:rPr>
              <w:t>2,203,691</w:t>
            </w:r>
          </w:p>
        </w:tc>
      </w:tr>
      <w:tr w:rsidR="008670C1" w:rsidRPr="00A40ED9" w14:paraId="514D073E" w14:textId="77777777" w:rsidTr="00BE0AFF">
        <w:trPr>
          <w:trHeight w:val="129"/>
          <w:jc w:val="center"/>
        </w:trPr>
        <w:tc>
          <w:tcPr>
            <w:tcW w:w="3022" w:type="dxa"/>
            <w:tcBorders>
              <w:top w:val="nil"/>
              <w:left w:val="single" w:sz="8" w:space="0" w:color="auto"/>
              <w:bottom w:val="single" w:sz="8" w:space="0" w:color="auto"/>
              <w:right w:val="single" w:sz="8" w:space="0" w:color="auto"/>
            </w:tcBorders>
            <w:noWrap/>
            <w:vAlign w:val="center"/>
            <w:hideMark/>
          </w:tcPr>
          <w:p w14:paraId="4679BA33" w14:textId="77777777" w:rsidR="008670C1" w:rsidRPr="005F7534" w:rsidRDefault="008670C1" w:rsidP="006B204A">
            <w:pPr>
              <w:spacing w:after="0" w:line="360" w:lineRule="auto"/>
              <w:rPr>
                <w:rFonts w:eastAsia="Times New Roman"/>
                <w:b/>
                <w:bCs/>
                <w:lang w:val="es-DO"/>
              </w:rPr>
            </w:pPr>
            <w:r w:rsidRPr="005F7534">
              <w:rPr>
                <w:rFonts w:eastAsia="Times New Roman"/>
                <w:b/>
                <w:bCs/>
                <w:lang w:val="es-DO"/>
              </w:rPr>
              <w:t>Gratificaciones y bonificaciones</w:t>
            </w:r>
          </w:p>
        </w:tc>
        <w:tc>
          <w:tcPr>
            <w:tcW w:w="2038" w:type="dxa"/>
            <w:gridSpan w:val="2"/>
            <w:tcBorders>
              <w:top w:val="nil"/>
              <w:left w:val="nil"/>
              <w:bottom w:val="single" w:sz="8" w:space="0" w:color="auto"/>
              <w:right w:val="single" w:sz="8" w:space="0" w:color="auto"/>
            </w:tcBorders>
            <w:noWrap/>
            <w:vAlign w:val="center"/>
            <w:hideMark/>
          </w:tcPr>
          <w:p w14:paraId="46E913F6" w14:textId="77777777" w:rsidR="008670C1" w:rsidRPr="005F7534" w:rsidRDefault="008670C1" w:rsidP="006B204A">
            <w:pPr>
              <w:spacing w:after="0" w:line="360" w:lineRule="auto"/>
              <w:jc w:val="center"/>
              <w:rPr>
                <w:rFonts w:eastAsia="Times New Roman"/>
                <w:lang w:val="es-DO"/>
              </w:rPr>
            </w:pPr>
            <w:r w:rsidRPr="005F7534">
              <w:rPr>
                <w:lang w:val="es-DO"/>
              </w:rPr>
              <w:t xml:space="preserve"> 324,641,038 </w:t>
            </w:r>
          </w:p>
        </w:tc>
        <w:tc>
          <w:tcPr>
            <w:tcW w:w="1856" w:type="dxa"/>
            <w:gridSpan w:val="3"/>
            <w:tcBorders>
              <w:top w:val="nil"/>
              <w:left w:val="nil"/>
              <w:bottom w:val="single" w:sz="8" w:space="0" w:color="auto"/>
              <w:right w:val="single" w:sz="8" w:space="0" w:color="auto"/>
            </w:tcBorders>
            <w:noWrap/>
            <w:vAlign w:val="center"/>
            <w:hideMark/>
          </w:tcPr>
          <w:p w14:paraId="76AFB19C" w14:textId="2E9C56AD" w:rsidR="008670C1" w:rsidRPr="005F7534" w:rsidRDefault="00CB7390" w:rsidP="006B204A">
            <w:pPr>
              <w:spacing w:after="0" w:line="360" w:lineRule="auto"/>
              <w:jc w:val="center"/>
              <w:rPr>
                <w:rFonts w:eastAsia="Times New Roman"/>
                <w:lang w:val="es-DO"/>
              </w:rPr>
            </w:pPr>
            <w:r w:rsidRPr="00CB7390">
              <w:rPr>
                <w:lang w:val="es-DO"/>
              </w:rPr>
              <w:t>121,147,069</w:t>
            </w:r>
          </w:p>
        </w:tc>
        <w:tc>
          <w:tcPr>
            <w:tcW w:w="1636" w:type="dxa"/>
            <w:tcBorders>
              <w:top w:val="nil"/>
              <w:left w:val="nil"/>
              <w:bottom w:val="single" w:sz="8" w:space="0" w:color="auto"/>
              <w:right w:val="single" w:sz="8" w:space="0" w:color="auto"/>
            </w:tcBorders>
            <w:noWrap/>
            <w:vAlign w:val="center"/>
            <w:hideMark/>
          </w:tcPr>
          <w:p w14:paraId="4D3DA76E" w14:textId="6F9F0792" w:rsidR="008670C1" w:rsidRPr="005F7534" w:rsidRDefault="00CB7390" w:rsidP="006B204A">
            <w:pPr>
              <w:spacing w:after="0" w:line="360" w:lineRule="auto"/>
              <w:jc w:val="center"/>
              <w:rPr>
                <w:rFonts w:eastAsia="Times New Roman"/>
                <w:lang w:val="es-DO"/>
              </w:rPr>
            </w:pPr>
            <w:r w:rsidRPr="00CB7390">
              <w:rPr>
                <w:lang w:val="es-DO"/>
              </w:rPr>
              <w:t>203,493,968</w:t>
            </w:r>
          </w:p>
        </w:tc>
      </w:tr>
      <w:tr w:rsidR="008670C1" w:rsidRPr="00A40ED9" w14:paraId="18ECB8D2" w14:textId="77777777" w:rsidTr="00BE0AFF">
        <w:trPr>
          <w:trHeight w:val="129"/>
          <w:jc w:val="center"/>
        </w:trPr>
        <w:tc>
          <w:tcPr>
            <w:tcW w:w="3022" w:type="dxa"/>
            <w:tcBorders>
              <w:top w:val="nil"/>
              <w:left w:val="single" w:sz="8" w:space="0" w:color="auto"/>
              <w:bottom w:val="single" w:sz="8" w:space="0" w:color="auto"/>
              <w:right w:val="single" w:sz="8" w:space="0" w:color="auto"/>
            </w:tcBorders>
            <w:noWrap/>
            <w:vAlign w:val="center"/>
            <w:hideMark/>
          </w:tcPr>
          <w:p w14:paraId="131BBF07" w14:textId="77777777" w:rsidR="008670C1" w:rsidRPr="005F7534" w:rsidRDefault="008670C1" w:rsidP="006B204A">
            <w:pPr>
              <w:spacing w:after="0" w:line="360" w:lineRule="auto"/>
              <w:rPr>
                <w:rFonts w:eastAsia="Times New Roman"/>
                <w:b/>
                <w:bCs/>
                <w:lang w:val="es-DO"/>
              </w:rPr>
            </w:pPr>
            <w:r w:rsidRPr="005F7534">
              <w:rPr>
                <w:rFonts w:eastAsia="Times New Roman"/>
                <w:b/>
                <w:bCs/>
                <w:lang w:val="es-DO"/>
              </w:rPr>
              <w:t>Contribuciones a la seguridad social</w:t>
            </w:r>
          </w:p>
        </w:tc>
        <w:tc>
          <w:tcPr>
            <w:tcW w:w="2038" w:type="dxa"/>
            <w:gridSpan w:val="2"/>
            <w:tcBorders>
              <w:top w:val="nil"/>
              <w:left w:val="nil"/>
              <w:bottom w:val="single" w:sz="8" w:space="0" w:color="auto"/>
              <w:right w:val="single" w:sz="8" w:space="0" w:color="auto"/>
            </w:tcBorders>
            <w:noWrap/>
            <w:vAlign w:val="center"/>
            <w:hideMark/>
          </w:tcPr>
          <w:p w14:paraId="2A7C196E" w14:textId="77777777" w:rsidR="008670C1" w:rsidRPr="005F7534" w:rsidRDefault="008670C1" w:rsidP="006B204A">
            <w:pPr>
              <w:spacing w:after="0" w:line="360" w:lineRule="auto"/>
              <w:jc w:val="center"/>
              <w:rPr>
                <w:rFonts w:eastAsia="Times New Roman"/>
                <w:lang w:val="es-DO"/>
              </w:rPr>
            </w:pPr>
            <w:r w:rsidRPr="005F7534">
              <w:rPr>
                <w:lang w:val="es-DO"/>
              </w:rPr>
              <w:t xml:space="preserve"> 150,854,849 </w:t>
            </w:r>
          </w:p>
        </w:tc>
        <w:tc>
          <w:tcPr>
            <w:tcW w:w="1856" w:type="dxa"/>
            <w:gridSpan w:val="3"/>
            <w:tcBorders>
              <w:top w:val="nil"/>
              <w:left w:val="nil"/>
              <w:bottom w:val="single" w:sz="8" w:space="0" w:color="auto"/>
              <w:right w:val="single" w:sz="8" w:space="0" w:color="auto"/>
            </w:tcBorders>
            <w:noWrap/>
            <w:vAlign w:val="center"/>
            <w:hideMark/>
          </w:tcPr>
          <w:p w14:paraId="75E8590A" w14:textId="15A5F866" w:rsidR="008670C1" w:rsidRPr="005F7534" w:rsidRDefault="00CB7390" w:rsidP="006B204A">
            <w:pPr>
              <w:spacing w:after="0" w:line="360" w:lineRule="auto"/>
              <w:jc w:val="center"/>
              <w:rPr>
                <w:rFonts w:eastAsia="Times New Roman"/>
                <w:lang w:val="es-DO"/>
              </w:rPr>
            </w:pPr>
            <w:r w:rsidRPr="00CB7390">
              <w:rPr>
                <w:lang w:val="es-DO"/>
              </w:rPr>
              <w:t>139,517,072</w:t>
            </w:r>
          </w:p>
        </w:tc>
        <w:tc>
          <w:tcPr>
            <w:tcW w:w="1636" w:type="dxa"/>
            <w:tcBorders>
              <w:top w:val="nil"/>
              <w:left w:val="nil"/>
              <w:bottom w:val="single" w:sz="8" w:space="0" w:color="auto"/>
              <w:right w:val="single" w:sz="8" w:space="0" w:color="auto"/>
            </w:tcBorders>
            <w:noWrap/>
            <w:vAlign w:val="center"/>
            <w:hideMark/>
          </w:tcPr>
          <w:p w14:paraId="6DACCACB" w14:textId="6DDCF264" w:rsidR="008670C1" w:rsidRPr="005F7534" w:rsidRDefault="00CB7390" w:rsidP="006B204A">
            <w:pPr>
              <w:spacing w:after="0" w:line="360" w:lineRule="auto"/>
              <w:jc w:val="center"/>
              <w:rPr>
                <w:rFonts w:eastAsia="Times New Roman"/>
                <w:lang w:val="es-DO"/>
              </w:rPr>
            </w:pPr>
            <w:r w:rsidRPr="00CB7390">
              <w:rPr>
                <w:lang w:val="es-DO"/>
              </w:rPr>
              <w:t>11,337,778</w:t>
            </w:r>
          </w:p>
        </w:tc>
      </w:tr>
      <w:tr w:rsidR="00452802" w:rsidRPr="00A40ED9" w14:paraId="4BFA36B9" w14:textId="77777777" w:rsidTr="00BE0AFF">
        <w:trPr>
          <w:trHeight w:val="129"/>
          <w:jc w:val="center"/>
        </w:trPr>
        <w:tc>
          <w:tcPr>
            <w:tcW w:w="3022" w:type="dxa"/>
            <w:tcBorders>
              <w:top w:val="nil"/>
              <w:left w:val="single" w:sz="8" w:space="0" w:color="auto"/>
              <w:bottom w:val="single" w:sz="8" w:space="0" w:color="auto"/>
              <w:right w:val="single" w:sz="8" w:space="0" w:color="auto"/>
            </w:tcBorders>
            <w:shd w:val="clear" w:color="000000" w:fill="003876"/>
            <w:noWrap/>
            <w:vAlign w:val="center"/>
            <w:hideMark/>
          </w:tcPr>
          <w:p w14:paraId="4C7B197E" w14:textId="77777777" w:rsidR="008670C1" w:rsidRPr="005F7534" w:rsidRDefault="008670C1" w:rsidP="006B204A">
            <w:pPr>
              <w:spacing w:after="0" w:line="360" w:lineRule="auto"/>
              <w:rPr>
                <w:rFonts w:eastAsia="Times New Roman"/>
                <w:b/>
                <w:bCs/>
                <w:color w:val="FFFFFF"/>
                <w:lang w:val="es-DO"/>
              </w:rPr>
            </w:pPr>
            <w:proofErr w:type="gramStart"/>
            <w:r w:rsidRPr="005F7534">
              <w:rPr>
                <w:rFonts w:eastAsia="Times New Roman"/>
                <w:b/>
                <w:bCs/>
                <w:color w:val="FFFFFF"/>
                <w:lang w:val="es-DO"/>
              </w:rPr>
              <w:t>Total</w:t>
            </w:r>
            <w:proofErr w:type="gramEnd"/>
            <w:r w:rsidRPr="005F7534">
              <w:rPr>
                <w:rFonts w:eastAsia="Times New Roman"/>
                <w:b/>
                <w:bCs/>
                <w:color w:val="FFFFFF"/>
                <w:lang w:val="es-DO"/>
              </w:rPr>
              <w:t xml:space="preserve"> remuneraciones y contribuciones</w:t>
            </w:r>
          </w:p>
        </w:tc>
        <w:tc>
          <w:tcPr>
            <w:tcW w:w="2038" w:type="dxa"/>
            <w:gridSpan w:val="2"/>
            <w:tcBorders>
              <w:top w:val="nil"/>
              <w:left w:val="nil"/>
              <w:bottom w:val="single" w:sz="8" w:space="0" w:color="auto"/>
              <w:right w:val="single" w:sz="8" w:space="0" w:color="auto"/>
            </w:tcBorders>
            <w:shd w:val="clear" w:color="000000" w:fill="003876"/>
            <w:vAlign w:val="center"/>
            <w:hideMark/>
          </w:tcPr>
          <w:p w14:paraId="298DE25F" w14:textId="77777777" w:rsidR="008670C1" w:rsidRPr="005F7534" w:rsidRDefault="008670C1" w:rsidP="006B204A">
            <w:pPr>
              <w:spacing w:after="0" w:line="360" w:lineRule="auto"/>
              <w:jc w:val="center"/>
              <w:rPr>
                <w:rFonts w:eastAsia="Times New Roman"/>
                <w:b/>
                <w:bCs/>
                <w:color w:val="FFFFFF"/>
                <w:lang w:val="es-DO"/>
              </w:rPr>
            </w:pPr>
            <w:r w:rsidRPr="005F7534">
              <w:rPr>
                <w:rFonts w:eastAsia="Times New Roman"/>
                <w:b/>
                <w:bCs/>
                <w:color w:val="FFFFFF"/>
                <w:lang w:val="es-DO"/>
              </w:rPr>
              <w:t>2,244,557,352</w:t>
            </w:r>
          </w:p>
        </w:tc>
        <w:tc>
          <w:tcPr>
            <w:tcW w:w="1856" w:type="dxa"/>
            <w:gridSpan w:val="3"/>
            <w:tcBorders>
              <w:top w:val="nil"/>
              <w:left w:val="nil"/>
              <w:bottom w:val="single" w:sz="8" w:space="0" w:color="auto"/>
              <w:right w:val="single" w:sz="8" w:space="0" w:color="auto"/>
            </w:tcBorders>
            <w:shd w:val="clear" w:color="000000" w:fill="003876"/>
            <w:vAlign w:val="center"/>
            <w:hideMark/>
          </w:tcPr>
          <w:p w14:paraId="43322A0F" w14:textId="1DAA0D4C" w:rsidR="008670C1" w:rsidRPr="005F7534" w:rsidRDefault="00CB7390" w:rsidP="006B204A">
            <w:pPr>
              <w:spacing w:after="0" w:line="360" w:lineRule="auto"/>
              <w:jc w:val="center"/>
              <w:rPr>
                <w:rFonts w:eastAsia="Times New Roman"/>
                <w:b/>
                <w:bCs/>
                <w:color w:val="FFFFFF"/>
                <w:lang w:val="es-DO"/>
              </w:rPr>
            </w:pPr>
            <w:r w:rsidRPr="00CB7390">
              <w:rPr>
                <w:rFonts w:eastAsia="Times New Roman"/>
                <w:b/>
                <w:bCs/>
                <w:color w:val="FFFFFF"/>
                <w:lang w:val="es-DO"/>
              </w:rPr>
              <w:t>1,730,106,095</w:t>
            </w:r>
          </w:p>
        </w:tc>
        <w:tc>
          <w:tcPr>
            <w:tcW w:w="1636" w:type="dxa"/>
            <w:tcBorders>
              <w:top w:val="nil"/>
              <w:left w:val="nil"/>
              <w:bottom w:val="single" w:sz="8" w:space="0" w:color="auto"/>
              <w:right w:val="single" w:sz="8" w:space="0" w:color="auto"/>
            </w:tcBorders>
            <w:shd w:val="clear" w:color="000000" w:fill="003876"/>
            <w:noWrap/>
            <w:vAlign w:val="center"/>
            <w:hideMark/>
          </w:tcPr>
          <w:p w14:paraId="7684493A" w14:textId="7B9962BD" w:rsidR="008670C1" w:rsidRPr="005F7534" w:rsidRDefault="00CB7390" w:rsidP="006B204A">
            <w:pPr>
              <w:spacing w:after="0" w:line="360" w:lineRule="auto"/>
              <w:jc w:val="center"/>
              <w:rPr>
                <w:rFonts w:eastAsia="Times New Roman"/>
                <w:b/>
                <w:bCs/>
                <w:color w:val="FFFFFF"/>
                <w:lang w:val="es-DO"/>
              </w:rPr>
            </w:pPr>
            <w:r w:rsidRPr="00CB7390">
              <w:rPr>
                <w:rFonts w:eastAsia="Times New Roman"/>
                <w:b/>
                <w:bCs/>
                <w:color w:val="FFFFFF"/>
                <w:lang w:val="es-DO"/>
              </w:rPr>
              <w:t>514,451,258</w:t>
            </w:r>
          </w:p>
        </w:tc>
      </w:tr>
      <w:tr w:rsidR="008670C1" w:rsidRPr="00A40ED9" w14:paraId="5676049E" w14:textId="77777777" w:rsidTr="00BE0AFF">
        <w:trPr>
          <w:trHeight w:val="129"/>
          <w:jc w:val="center"/>
        </w:trPr>
        <w:tc>
          <w:tcPr>
            <w:tcW w:w="3022" w:type="dxa"/>
            <w:tcBorders>
              <w:top w:val="nil"/>
              <w:left w:val="nil"/>
              <w:bottom w:val="nil"/>
              <w:right w:val="nil"/>
            </w:tcBorders>
            <w:noWrap/>
            <w:vAlign w:val="bottom"/>
            <w:hideMark/>
          </w:tcPr>
          <w:p w14:paraId="59122C66" w14:textId="77777777" w:rsidR="008670C1" w:rsidRPr="00A40ED9" w:rsidRDefault="008670C1" w:rsidP="006B204A">
            <w:pPr>
              <w:spacing w:after="0" w:line="240" w:lineRule="auto"/>
              <w:jc w:val="center"/>
              <w:rPr>
                <w:rFonts w:eastAsia="Times New Roman"/>
                <w:b/>
                <w:bCs/>
                <w:color w:val="FFFFFF"/>
                <w:lang w:val="es-DO"/>
              </w:rPr>
            </w:pPr>
          </w:p>
        </w:tc>
        <w:tc>
          <w:tcPr>
            <w:tcW w:w="2038" w:type="dxa"/>
            <w:gridSpan w:val="2"/>
            <w:tcBorders>
              <w:top w:val="nil"/>
              <w:left w:val="nil"/>
              <w:bottom w:val="nil"/>
              <w:right w:val="nil"/>
            </w:tcBorders>
            <w:noWrap/>
            <w:vAlign w:val="bottom"/>
            <w:hideMark/>
          </w:tcPr>
          <w:p w14:paraId="293E330D" w14:textId="77777777" w:rsidR="008670C1" w:rsidRPr="00A40ED9" w:rsidRDefault="008670C1" w:rsidP="006B204A">
            <w:pPr>
              <w:spacing w:after="0" w:line="240" w:lineRule="auto"/>
              <w:rPr>
                <w:rFonts w:eastAsia="Times New Roman"/>
                <w:lang w:val="es-DO"/>
              </w:rPr>
            </w:pPr>
          </w:p>
        </w:tc>
        <w:tc>
          <w:tcPr>
            <w:tcW w:w="1856" w:type="dxa"/>
            <w:gridSpan w:val="3"/>
            <w:tcBorders>
              <w:top w:val="nil"/>
              <w:left w:val="nil"/>
              <w:bottom w:val="nil"/>
              <w:right w:val="nil"/>
            </w:tcBorders>
            <w:noWrap/>
            <w:vAlign w:val="bottom"/>
            <w:hideMark/>
          </w:tcPr>
          <w:p w14:paraId="52394613" w14:textId="77777777" w:rsidR="008670C1" w:rsidRPr="00A40ED9" w:rsidRDefault="008670C1" w:rsidP="006B204A">
            <w:pPr>
              <w:spacing w:after="0" w:line="240" w:lineRule="auto"/>
              <w:rPr>
                <w:rFonts w:eastAsia="Times New Roman"/>
                <w:lang w:val="es-DO"/>
              </w:rPr>
            </w:pPr>
          </w:p>
        </w:tc>
        <w:tc>
          <w:tcPr>
            <w:tcW w:w="1636" w:type="dxa"/>
            <w:tcBorders>
              <w:top w:val="nil"/>
              <w:left w:val="nil"/>
              <w:bottom w:val="nil"/>
              <w:right w:val="nil"/>
            </w:tcBorders>
            <w:noWrap/>
            <w:vAlign w:val="bottom"/>
            <w:hideMark/>
          </w:tcPr>
          <w:p w14:paraId="401C3F32" w14:textId="77777777" w:rsidR="008670C1" w:rsidRDefault="008670C1" w:rsidP="006B204A">
            <w:pPr>
              <w:spacing w:after="0" w:line="240" w:lineRule="auto"/>
              <w:rPr>
                <w:rFonts w:eastAsia="Times New Roman"/>
                <w:lang w:val="es-DO"/>
              </w:rPr>
            </w:pPr>
          </w:p>
          <w:p w14:paraId="7A422442" w14:textId="77777777" w:rsidR="00BE0AFF" w:rsidRPr="00A40ED9" w:rsidRDefault="00BE0AFF" w:rsidP="006B204A">
            <w:pPr>
              <w:spacing w:after="0" w:line="240" w:lineRule="auto"/>
              <w:rPr>
                <w:rFonts w:eastAsia="Times New Roman"/>
                <w:lang w:val="es-DO"/>
              </w:rPr>
            </w:pPr>
          </w:p>
        </w:tc>
      </w:tr>
      <w:tr w:rsidR="00452802" w:rsidRPr="00A40ED9" w14:paraId="6108B994" w14:textId="77777777" w:rsidTr="00BE0AFF">
        <w:trPr>
          <w:trHeight w:val="129"/>
          <w:jc w:val="center"/>
        </w:trPr>
        <w:tc>
          <w:tcPr>
            <w:tcW w:w="3022" w:type="dxa"/>
            <w:tcBorders>
              <w:top w:val="single" w:sz="8" w:space="0" w:color="auto"/>
              <w:left w:val="single" w:sz="8" w:space="0" w:color="auto"/>
              <w:bottom w:val="single" w:sz="8" w:space="0" w:color="auto"/>
              <w:right w:val="single" w:sz="8" w:space="0" w:color="auto"/>
            </w:tcBorders>
            <w:shd w:val="clear" w:color="000000" w:fill="003876"/>
            <w:noWrap/>
            <w:vAlign w:val="center"/>
            <w:hideMark/>
          </w:tcPr>
          <w:p w14:paraId="089BF8FE" w14:textId="77777777" w:rsidR="008670C1" w:rsidRPr="00A40ED9" w:rsidRDefault="008670C1" w:rsidP="006B204A">
            <w:pPr>
              <w:spacing w:after="0" w:line="360" w:lineRule="auto"/>
              <w:rPr>
                <w:rFonts w:eastAsia="Times New Roman"/>
                <w:b/>
                <w:bCs/>
                <w:color w:val="FFFFFF"/>
                <w:lang w:val="es-DO"/>
              </w:rPr>
            </w:pPr>
            <w:r w:rsidRPr="00A40ED9">
              <w:rPr>
                <w:rFonts w:eastAsia="Times New Roman"/>
                <w:b/>
                <w:bCs/>
                <w:color w:val="FFFFFF"/>
                <w:lang w:val="es-DO"/>
              </w:rPr>
              <w:t>Contratación de servicios</w:t>
            </w:r>
          </w:p>
        </w:tc>
        <w:tc>
          <w:tcPr>
            <w:tcW w:w="2038" w:type="dxa"/>
            <w:gridSpan w:val="2"/>
            <w:tcBorders>
              <w:top w:val="single" w:sz="8" w:space="0" w:color="auto"/>
              <w:left w:val="nil"/>
              <w:bottom w:val="single" w:sz="8" w:space="0" w:color="auto"/>
              <w:right w:val="single" w:sz="8" w:space="0" w:color="auto"/>
            </w:tcBorders>
            <w:shd w:val="clear" w:color="000000" w:fill="003876"/>
            <w:noWrap/>
            <w:vAlign w:val="center"/>
            <w:hideMark/>
          </w:tcPr>
          <w:p w14:paraId="62ABE8B6" w14:textId="77777777" w:rsidR="008670C1" w:rsidRPr="00A40ED9" w:rsidRDefault="008670C1" w:rsidP="006B204A">
            <w:pPr>
              <w:spacing w:after="0" w:line="360" w:lineRule="auto"/>
              <w:jc w:val="center"/>
              <w:rPr>
                <w:rFonts w:eastAsia="Times New Roman"/>
                <w:b/>
                <w:bCs/>
                <w:color w:val="FFFFFF"/>
                <w:lang w:val="es-DO"/>
              </w:rPr>
            </w:pPr>
            <w:r w:rsidRPr="00A40ED9">
              <w:rPr>
                <w:rFonts w:eastAsia="Times New Roman"/>
                <w:b/>
                <w:bCs/>
                <w:color w:val="FFFFFF"/>
                <w:lang w:val="es-DO"/>
              </w:rPr>
              <w:t>Presupuesto</w:t>
            </w:r>
          </w:p>
        </w:tc>
        <w:tc>
          <w:tcPr>
            <w:tcW w:w="1856" w:type="dxa"/>
            <w:gridSpan w:val="3"/>
            <w:tcBorders>
              <w:top w:val="single" w:sz="8" w:space="0" w:color="auto"/>
              <w:left w:val="nil"/>
              <w:bottom w:val="single" w:sz="8" w:space="0" w:color="auto"/>
              <w:right w:val="single" w:sz="8" w:space="0" w:color="auto"/>
            </w:tcBorders>
            <w:shd w:val="clear" w:color="000000" w:fill="003876"/>
            <w:noWrap/>
            <w:vAlign w:val="center"/>
            <w:hideMark/>
          </w:tcPr>
          <w:p w14:paraId="780B700C" w14:textId="77777777" w:rsidR="008670C1" w:rsidRPr="00A40ED9" w:rsidRDefault="008670C1" w:rsidP="006B204A">
            <w:pPr>
              <w:spacing w:after="0" w:line="360" w:lineRule="auto"/>
              <w:jc w:val="center"/>
              <w:rPr>
                <w:rFonts w:eastAsia="Times New Roman"/>
                <w:b/>
                <w:bCs/>
                <w:color w:val="FFFFFF"/>
                <w:lang w:val="es-DO"/>
              </w:rPr>
            </w:pPr>
            <w:r w:rsidRPr="00A40ED9">
              <w:rPr>
                <w:rFonts w:eastAsia="Times New Roman"/>
                <w:b/>
                <w:bCs/>
                <w:color w:val="FFFFFF"/>
                <w:lang w:val="es-DO"/>
              </w:rPr>
              <w:t>Ejecutado</w:t>
            </w:r>
          </w:p>
        </w:tc>
        <w:tc>
          <w:tcPr>
            <w:tcW w:w="1636" w:type="dxa"/>
            <w:tcBorders>
              <w:top w:val="single" w:sz="8" w:space="0" w:color="auto"/>
              <w:left w:val="nil"/>
              <w:bottom w:val="single" w:sz="8" w:space="0" w:color="auto"/>
              <w:right w:val="single" w:sz="8" w:space="0" w:color="auto"/>
            </w:tcBorders>
            <w:shd w:val="clear" w:color="000000" w:fill="003876"/>
            <w:noWrap/>
            <w:vAlign w:val="center"/>
            <w:hideMark/>
          </w:tcPr>
          <w:p w14:paraId="69D665B5" w14:textId="77777777" w:rsidR="008670C1" w:rsidRPr="00A40ED9" w:rsidRDefault="008670C1" w:rsidP="006B204A">
            <w:pPr>
              <w:spacing w:after="0" w:line="360" w:lineRule="auto"/>
              <w:jc w:val="center"/>
              <w:rPr>
                <w:rFonts w:eastAsia="Times New Roman"/>
                <w:b/>
                <w:bCs/>
                <w:color w:val="FFFFFF"/>
                <w:lang w:val="es-DO"/>
              </w:rPr>
            </w:pPr>
            <w:r w:rsidRPr="00A40ED9">
              <w:rPr>
                <w:rFonts w:eastAsia="Times New Roman"/>
                <w:b/>
                <w:bCs/>
                <w:color w:val="FFFFFF"/>
                <w:lang w:val="es-DO"/>
              </w:rPr>
              <w:t>Balance</w:t>
            </w:r>
          </w:p>
        </w:tc>
      </w:tr>
      <w:tr w:rsidR="008670C1" w:rsidRPr="00A40ED9" w14:paraId="2ADDC903" w14:textId="77777777" w:rsidTr="00BE0AFF">
        <w:trPr>
          <w:trHeight w:val="129"/>
          <w:jc w:val="center"/>
        </w:trPr>
        <w:tc>
          <w:tcPr>
            <w:tcW w:w="3022" w:type="dxa"/>
            <w:tcBorders>
              <w:top w:val="nil"/>
              <w:left w:val="single" w:sz="8" w:space="0" w:color="auto"/>
              <w:bottom w:val="single" w:sz="8" w:space="0" w:color="auto"/>
              <w:right w:val="single" w:sz="8" w:space="0" w:color="auto"/>
            </w:tcBorders>
            <w:noWrap/>
            <w:vAlign w:val="center"/>
            <w:hideMark/>
          </w:tcPr>
          <w:p w14:paraId="26C44107" w14:textId="77777777" w:rsidR="008670C1" w:rsidRPr="00420DEE" w:rsidRDefault="008670C1" w:rsidP="006B204A">
            <w:pPr>
              <w:spacing w:after="0" w:line="360" w:lineRule="auto"/>
              <w:rPr>
                <w:rFonts w:eastAsia="Times New Roman"/>
                <w:b/>
                <w:bCs/>
                <w:lang w:val="es-DO"/>
              </w:rPr>
            </w:pPr>
            <w:r w:rsidRPr="00420DEE">
              <w:rPr>
                <w:rFonts w:eastAsia="Times New Roman"/>
                <w:b/>
                <w:bCs/>
                <w:lang w:val="es-DO"/>
              </w:rPr>
              <w:t>Servicios básicos</w:t>
            </w:r>
          </w:p>
        </w:tc>
        <w:tc>
          <w:tcPr>
            <w:tcW w:w="2038" w:type="dxa"/>
            <w:gridSpan w:val="2"/>
            <w:tcBorders>
              <w:top w:val="nil"/>
              <w:left w:val="nil"/>
              <w:bottom w:val="single" w:sz="8" w:space="0" w:color="auto"/>
              <w:right w:val="single" w:sz="8" w:space="0" w:color="auto"/>
            </w:tcBorders>
            <w:noWrap/>
            <w:vAlign w:val="center"/>
            <w:hideMark/>
          </w:tcPr>
          <w:p w14:paraId="51FF7059" w14:textId="77777777" w:rsidR="008670C1" w:rsidRPr="00A40ED9" w:rsidRDefault="008670C1" w:rsidP="006B204A">
            <w:pPr>
              <w:spacing w:after="0" w:line="360" w:lineRule="auto"/>
              <w:jc w:val="center"/>
              <w:rPr>
                <w:rFonts w:eastAsia="Times New Roman"/>
                <w:lang w:val="es-DO"/>
              </w:rPr>
            </w:pPr>
            <w:r w:rsidRPr="00A40ED9">
              <w:rPr>
                <w:lang w:val="es-DO"/>
              </w:rPr>
              <w:t xml:space="preserve"> 46,454,904 </w:t>
            </w:r>
          </w:p>
        </w:tc>
        <w:tc>
          <w:tcPr>
            <w:tcW w:w="1856" w:type="dxa"/>
            <w:gridSpan w:val="3"/>
            <w:tcBorders>
              <w:top w:val="nil"/>
              <w:left w:val="nil"/>
              <w:bottom w:val="single" w:sz="8" w:space="0" w:color="auto"/>
              <w:right w:val="single" w:sz="8" w:space="0" w:color="auto"/>
            </w:tcBorders>
            <w:noWrap/>
            <w:vAlign w:val="center"/>
            <w:hideMark/>
          </w:tcPr>
          <w:p w14:paraId="4F85F91F" w14:textId="44FBF84D" w:rsidR="008670C1" w:rsidRPr="00A40ED9" w:rsidRDefault="00CB7390" w:rsidP="006B204A">
            <w:pPr>
              <w:spacing w:after="0" w:line="360" w:lineRule="auto"/>
              <w:jc w:val="center"/>
              <w:rPr>
                <w:rFonts w:eastAsia="Times New Roman"/>
                <w:lang w:val="es-DO"/>
              </w:rPr>
            </w:pPr>
            <w:r w:rsidRPr="00CB7390">
              <w:rPr>
                <w:lang w:val="es-DO"/>
              </w:rPr>
              <w:t>37,165,886</w:t>
            </w:r>
          </w:p>
        </w:tc>
        <w:tc>
          <w:tcPr>
            <w:tcW w:w="1636" w:type="dxa"/>
            <w:tcBorders>
              <w:top w:val="nil"/>
              <w:left w:val="nil"/>
              <w:bottom w:val="single" w:sz="8" w:space="0" w:color="auto"/>
              <w:right w:val="single" w:sz="8" w:space="0" w:color="auto"/>
            </w:tcBorders>
            <w:noWrap/>
            <w:vAlign w:val="center"/>
            <w:hideMark/>
          </w:tcPr>
          <w:p w14:paraId="61B2FE97" w14:textId="586CD01B" w:rsidR="008670C1" w:rsidRPr="00A40ED9" w:rsidRDefault="00CB7390" w:rsidP="006B204A">
            <w:pPr>
              <w:spacing w:after="0" w:line="360" w:lineRule="auto"/>
              <w:jc w:val="center"/>
              <w:rPr>
                <w:rFonts w:eastAsia="Times New Roman"/>
                <w:lang w:val="es-DO"/>
              </w:rPr>
            </w:pPr>
            <w:r w:rsidRPr="00CB7390">
              <w:rPr>
                <w:lang w:val="es-DO"/>
              </w:rPr>
              <w:t>9,289,018</w:t>
            </w:r>
          </w:p>
        </w:tc>
      </w:tr>
      <w:tr w:rsidR="008670C1" w:rsidRPr="00A40ED9" w14:paraId="757D1468" w14:textId="77777777" w:rsidTr="00BE0AFF">
        <w:trPr>
          <w:trHeight w:val="129"/>
          <w:jc w:val="center"/>
        </w:trPr>
        <w:tc>
          <w:tcPr>
            <w:tcW w:w="3022" w:type="dxa"/>
            <w:tcBorders>
              <w:top w:val="nil"/>
              <w:left w:val="single" w:sz="8" w:space="0" w:color="auto"/>
              <w:bottom w:val="single" w:sz="8" w:space="0" w:color="auto"/>
              <w:right w:val="single" w:sz="8" w:space="0" w:color="auto"/>
            </w:tcBorders>
            <w:noWrap/>
            <w:vAlign w:val="center"/>
            <w:hideMark/>
          </w:tcPr>
          <w:p w14:paraId="19754FFC" w14:textId="77777777" w:rsidR="008670C1" w:rsidRPr="00420DEE" w:rsidRDefault="008670C1" w:rsidP="006B204A">
            <w:pPr>
              <w:spacing w:after="0" w:line="360" w:lineRule="auto"/>
              <w:rPr>
                <w:rFonts w:eastAsia="Times New Roman"/>
                <w:b/>
                <w:bCs/>
                <w:lang w:val="es-DO"/>
              </w:rPr>
            </w:pPr>
            <w:r w:rsidRPr="00420DEE">
              <w:rPr>
                <w:rFonts w:eastAsia="Times New Roman"/>
                <w:b/>
                <w:bCs/>
                <w:lang w:val="es-DO"/>
              </w:rPr>
              <w:t>Publicidad, impresión y encuadernación</w:t>
            </w:r>
          </w:p>
        </w:tc>
        <w:tc>
          <w:tcPr>
            <w:tcW w:w="2038" w:type="dxa"/>
            <w:gridSpan w:val="2"/>
            <w:tcBorders>
              <w:top w:val="nil"/>
              <w:left w:val="nil"/>
              <w:bottom w:val="single" w:sz="8" w:space="0" w:color="auto"/>
              <w:right w:val="single" w:sz="8" w:space="0" w:color="auto"/>
            </w:tcBorders>
            <w:noWrap/>
            <w:vAlign w:val="center"/>
            <w:hideMark/>
          </w:tcPr>
          <w:p w14:paraId="448A2C7F" w14:textId="77777777" w:rsidR="008670C1" w:rsidRPr="00A40ED9" w:rsidRDefault="008670C1" w:rsidP="006B204A">
            <w:pPr>
              <w:spacing w:after="0" w:line="360" w:lineRule="auto"/>
              <w:jc w:val="center"/>
              <w:rPr>
                <w:rFonts w:eastAsia="Times New Roman"/>
                <w:lang w:val="es-DO"/>
              </w:rPr>
            </w:pPr>
            <w:r w:rsidRPr="00A40ED9">
              <w:rPr>
                <w:lang w:val="es-DO"/>
              </w:rPr>
              <w:t xml:space="preserve"> 72,766,017 </w:t>
            </w:r>
          </w:p>
        </w:tc>
        <w:tc>
          <w:tcPr>
            <w:tcW w:w="1856" w:type="dxa"/>
            <w:gridSpan w:val="3"/>
            <w:tcBorders>
              <w:top w:val="nil"/>
              <w:left w:val="nil"/>
              <w:bottom w:val="single" w:sz="8" w:space="0" w:color="auto"/>
              <w:right w:val="single" w:sz="8" w:space="0" w:color="auto"/>
            </w:tcBorders>
            <w:noWrap/>
            <w:vAlign w:val="center"/>
            <w:hideMark/>
          </w:tcPr>
          <w:p w14:paraId="03D9D596" w14:textId="34D88F8B" w:rsidR="008670C1" w:rsidRPr="00A40ED9" w:rsidRDefault="00CB7390" w:rsidP="006B204A">
            <w:pPr>
              <w:spacing w:after="0" w:line="360" w:lineRule="auto"/>
              <w:jc w:val="center"/>
              <w:rPr>
                <w:rFonts w:eastAsia="Times New Roman"/>
                <w:lang w:val="es-DO"/>
              </w:rPr>
            </w:pPr>
            <w:r w:rsidRPr="00CB7390">
              <w:rPr>
                <w:lang w:val="es-DO"/>
              </w:rPr>
              <w:t>63,284,689</w:t>
            </w:r>
          </w:p>
        </w:tc>
        <w:tc>
          <w:tcPr>
            <w:tcW w:w="1636" w:type="dxa"/>
            <w:tcBorders>
              <w:top w:val="nil"/>
              <w:left w:val="nil"/>
              <w:bottom w:val="single" w:sz="8" w:space="0" w:color="auto"/>
              <w:right w:val="single" w:sz="8" w:space="0" w:color="auto"/>
            </w:tcBorders>
            <w:noWrap/>
            <w:vAlign w:val="center"/>
            <w:hideMark/>
          </w:tcPr>
          <w:p w14:paraId="56E39FFA" w14:textId="45703CDF" w:rsidR="008670C1" w:rsidRPr="00A40ED9" w:rsidRDefault="00CB7390" w:rsidP="006B204A">
            <w:pPr>
              <w:spacing w:after="0" w:line="360" w:lineRule="auto"/>
              <w:jc w:val="center"/>
              <w:rPr>
                <w:rFonts w:eastAsia="Times New Roman"/>
                <w:lang w:val="es-DO"/>
              </w:rPr>
            </w:pPr>
            <w:r w:rsidRPr="00CB7390">
              <w:rPr>
                <w:lang w:val="es-DO"/>
              </w:rPr>
              <w:t>9,481,328</w:t>
            </w:r>
          </w:p>
        </w:tc>
      </w:tr>
      <w:tr w:rsidR="008670C1" w:rsidRPr="00A40ED9" w14:paraId="1673E187" w14:textId="77777777" w:rsidTr="00BE0AFF">
        <w:trPr>
          <w:trHeight w:val="129"/>
          <w:jc w:val="center"/>
        </w:trPr>
        <w:tc>
          <w:tcPr>
            <w:tcW w:w="3022" w:type="dxa"/>
            <w:tcBorders>
              <w:top w:val="nil"/>
              <w:left w:val="single" w:sz="8" w:space="0" w:color="auto"/>
              <w:bottom w:val="single" w:sz="8" w:space="0" w:color="auto"/>
              <w:right w:val="single" w:sz="8" w:space="0" w:color="auto"/>
            </w:tcBorders>
            <w:noWrap/>
            <w:vAlign w:val="center"/>
            <w:hideMark/>
          </w:tcPr>
          <w:p w14:paraId="5A84CAC6" w14:textId="77777777" w:rsidR="008670C1" w:rsidRPr="00420DEE" w:rsidRDefault="008670C1" w:rsidP="006B204A">
            <w:pPr>
              <w:spacing w:after="0" w:line="360" w:lineRule="auto"/>
              <w:rPr>
                <w:rFonts w:eastAsia="Times New Roman"/>
                <w:b/>
                <w:bCs/>
                <w:lang w:val="es-DO"/>
              </w:rPr>
            </w:pPr>
            <w:r w:rsidRPr="00420DEE">
              <w:rPr>
                <w:rFonts w:eastAsia="Times New Roman"/>
                <w:b/>
                <w:bCs/>
                <w:lang w:val="es-DO"/>
              </w:rPr>
              <w:t>Viáticos</w:t>
            </w:r>
          </w:p>
        </w:tc>
        <w:tc>
          <w:tcPr>
            <w:tcW w:w="2038" w:type="dxa"/>
            <w:gridSpan w:val="2"/>
            <w:tcBorders>
              <w:top w:val="nil"/>
              <w:left w:val="nil"/>
              <w:bottom w:val="single" w:sz="8" w:space="0" w:color="auto"/>
              <w:right w:val="single" w:sz="8" w:space="0" w:color="auto"/>
            </w:tcBorders>
            <w:noWrap/>
            <w:vAlign w:val="center"/>
            <w:hideMark/>
          </w:tcPr>
          <w:p w14:paraId="3363E479" w14:textId="77777777" w:rsidR="008670C1" w:rsidRPr="00A40ED9" w:rsidRDefault="008670C1" w:rsidP="006B204A">
            <w:pPr>
              <w:spacing w:after="0" w:line="360" w:lineRule="auto"/>
              <w:jc w:val="center"/>
              <w:rPr>
                <w:rFonts w:eastAsia="Times New Roman"/>
                <w:lang w:val="es-DO"/>
              </w:rPr>
            </w:pPr>
            <w:r w:rsidRPr="00A40ED9">
              <w:rPr>
                <w:lang w:val="es-DO"/>
              </w:rPr>
              <w:t xml:space="preserve"> 38,445,996 </w:t>
            </w:r>
          </w:p>
        </w:tc>
        <w:tc>
          <w:tcPr>
            <w:tcW w:w="1856" w:type="dxa"/>
            <w:gridSpan w:val="3"/>
            <w:tcBorders>
              <w:top w:val="nil"/>
              <w:left w:val="nil"/>
              <w:bottom w:val="single" w:sz="8" w:space="0" w:color="auto"/>
              <w:right w:val="single" w:sz="8" w:space="0" w:color="auto"/>
            </w:tcBorders>
            <w:noWrap/>
            <w:vAlign w:val="center"/>
            <w:hideMark/>
          </w:tcPr>
          <w:p w14:paraId="1A40C7EE" w14:textId="2515C8B7" w:rsidR="008670C1" w:rsidRPr="00A40ED9" w:rsidRDefault="00CB7390" w:rsidP="006B204A">
            <w:pPr>
              <w:spacing w:after="0" w:line="360" w:lineRule="auto"/>
              <w:jc w:val="center"/>
              <w:rPr>
                <w:rFonts w:eastAsia="Times New Roman"/>
                <w:lang w:val="es-DO"/>
              </w:rPr>
            </w:pPr>
            <w:r w:rsidRPr="00CB7390">
              <w:rPr>
                <w:lang w:val="es-DO"/>
              </w:rPr>
              <w:t>30,045,845</w:t>
            </w:r>
          </w:p>
        </w:tc>
        <w:tc>
          <w:tcPr>
            <w:tcW w:w="1636" w:type="dxa"/>
            <w:tcBorders>
              <w:top w:val="nil"/>
              <w:left w:val="nil"/>
              <w:bottom w:val="single" w:sz="8" w:space="0" w:color="auto"/>
              <w:right w:val="single" w:sz="8" w:space="0" w:color="auto"/>
            </w:tcBorders>
            <w:noWrap/>
            <w:vAlign w:val="center"/>
            <w:hideMark/>
          </w:tcPr>
          <w:p w14:paraId="4242C45C" w14:textId="077B3648" w:rsidR="008670C1" w:rsidRPr="00A40ED9" w:rsidRDefault="00CB7390" w:rsidP="006B204A">
            <w:pPr>
              <w:spacing w:after="0" w:line="360" w:lineRule="auto"/>
              <w:jc w:val="center"/>
              <w:rPr>
                <w:rFonts w:eastAsia="Times New Roman"/>
                <w:lang w:val="es-DO"/>
              </w:rPr>
            </w:pPr>
            <w:r w:rsidRPr="00CB7390">
              <w:rPr>
                <w:lang w:val="es-DO"/>
              </w:rPr>
              <w:t>8,400,151</w:t>
            </w:r>
          </w:p>
        </w:tc>
      </w:tr>
      <w:tr w:rsidR="008670C1" w:rsidRPr="00A40ED9" w14:paraId="268013FF" w14:textId="77777777" w:rsidTr="00BE0AFF">
        <w:trPr>
          <w:trHeight w:val="129"/>
          <w:jc w:val="center"/>
        </w:trPr>
        <w:tc>
          <w:tcPr>
            <w:tcW w:w="3022" w:type="dxa"/>
            <w:tcBorders>
              <w:top w:val="nil"/>
              <w:left w:val="single" w:sz="8" w:space="0" w:color="auto"/>
              <w:bottom w:val="single" w:sz="8" w:space="0" w:color="auto"/>
              <w:right w:val="single" w:sz="8" w:space="0" w:color="auto"/>
            </w:tcBorders>
            <w:noWrap/>
            <w:vAlign w:val="center"/>
            <w:hideMark/>
          </w:tcPr>
          <w:p w14:paraId="769FC54B" w14:textId="77777777" w:rsidR="008670C1" w:rsidRPr="00420DEE" w:rsidRDefault="008670C1" w:rsidP="006B204A">
            <w:pPr>
              <w:spacing w:after="0" w:line="360" w:lineRule="auto"/>
              <w:rPr>
                <w:rFonts w:eastAsia="Times New Roman"/>
                <w:b/>
                <w:bCs/>
                <w:lang w:val="es-DO"/>
              </w:rPr>
            </w:pPr>
            <w:r w:rsidRPr="00420DEE">
              <w:rPr>
                <w:rFonts w:eastAsia="Times New Roman"/>
                <w:b/>
                <w:bCs/>
                <w:lang w:val="es-DO"/>
              </w:rPr>
              <w:t>Transporte y almacenaje</w:t>
            </w:r>
          </w:p>
        </w:tc>
        <w:tc>
          <w:tcPr>
            <w:tcW w:w="2038" w:type="dxa"/>
            <w:gridSpan w:val="2"/>
            <w:tcBorders>
              <w:top w:val="nil"/>
              <w:left w:val="nil"/>
              <w:bottom w:val="single" w:sz="8" w:space="0" w:color="auto"/>
              <w:right w:val="single" w:sz="8" w:space="0" w:color="auto"/>
            </w:tcBorders>
            <w:noWrap/>
            <w:vAlign w:val="center"/>
            <w:hideMark/>
          </w:tcPr>
          <w:p w14:paraId="6A60B27F" w14:textId="77777777" w:rsidR="008670C1" w:rsidRPr="00A40ED9" w:rsidRDefault="008670C1" w:rsidP="006B204A">
            <w:pPr>
              <w:spacing w:after="0" w:line="360" w:lineRule="auto"/>
              <w:jc w:val="center"/>
              <w:rPr>
                <w:rFonts w:eastAsia="Times New Roman"/>
                <w:lang w:val="es-DO"/>
              </w:rPr>
            </w:pPr>
            <w:r w:rsidRPr="00A40ED9">
              <w:rPr>
                <w:lang w:val="es-DO"/>
              </w:rPr>
              <w:t xml:space="preserve"> 6,255,312 </w:t>
            </w:r>
          </w:p>
        </w:tc>
        <w:tc>
          <w:tcPr>
            <w:tcW w:w="1856" w:type="dxa"/>
            <w:gridSpan w:val="3"/>
            <w:tcBorders>
              <w:top w:val="nil"/>
              <w:left w:val="nil"/>
              <w:bottom w:val="single" w:sz="8" w:space="0" w:color="auto"/>
              <w:right w:val="single" w:sz="8" w:space="0" w:color="auto"/>
            </w:tcBorders>
            <w:noWrap/>
            <w:vAlign w:val="center"/>
            <w:hideMark/>
          </w:tcPr>
          <w:p w14:paraId="1AACB3D7" w14:textId="453D360F" w:rsidR="008670C1" w:rsidRPr="00A40ED9" w:rsidRDefault="00CB7390" w:rsidP="006B204A">
            <w:pPr>
              <w:spacing w:after="0" w:line="360" w:lineRule="auto"/>
              <w:jc w:val="center"/>
              <w:rPr>
                <w:rFonts w:eastAsia="Times New Roman"/>
                <w:lang w:val="es-DO"/>
              </w:rPr>
            </w:pPr>
            <w:r w:rsidRPr="00CB7390">
              <w:rPr>
                <w:lang w:val="es-DO"/>
              </w:rPr>
              <w:t>3,227,156</w:t>
            </w:r>
          </w:p>
        </w:tc>
        <w:tc>
          <w:tcPr>
            <w:tcW w:w="1636" w:type="dxa"/>
            <w:tcBorders>
              <w:top w:val="nil"/>
              <w:left w:val="nil"/>
              <w:bottom w:val="single" w:sz="8" w:space="0" w:color="auto"/>
              <w:right w:val="single" w:sz="8" w:space="0" w:color="auto"/>
            </w:tcBorders>
            <w:noWrap/>
            <w:vAlign w:val="center"/>
            <w:hideMark/>
          </w:tcPr>
          <w:p w14:paraId="6E7C02B0" w14:textId="1BEEB10A" w:rsidR="008670C1" w:rsidRPr="00A40ED9" w:rsidRDefault="00CB7390" w:rsidP="006B204A">
            <w:pPr>
              <w:spacing w:after="0" w:line="360" w:lineRule="auto"/>
              <w:jc w:val="center"/>
              <w:rPr>
                <w:rFonts w:eastAsia="Times New Roman"/>
                <w:lang w:val="es-DO"/>
              </w:rPr>
            </w:pPr>
            <w:r w:rsidRPr="00CB7390">
              <w:rPr>
                <w:lang w:val="es-DO"/>
              </w:rPr>
              <w:t>3,028,155</w:t>
            </w:r>
          </w:p>
        </w:tc>
      </w:tr>
      <w:tr w:rsidR="008670C1" w:rsidRPr="00A40ED9" w14:paraId="537E015F" w14:textId="77777777" w:rsidTr="00BE0AFF">
        <w:trPr>
          <w:trHeight w:val="129"/>
          <w:jc w:val="center"/>
        </w:trPr>
        <w:tc>
          <w:tcPr>
            <w:tcW w:w="3022" w:type="dxa"/>
            <w:tcBorders>
              <w:top w:val="nil"/>
              <w:left w:val="single" w:sz="8" w:space="0" w:color="auto"/>
              <w:bottom w:val="single" w:sz="8" w:space="0" w:color="auto"/>
              <w:right w:val="single" w:sz="8" w:space="0" w:color="auto"/>
            </w:tcBorders>
            <w:noWrap/>
            <w:vAlign w:val="center"/>
            <w:hideMark/>
          </w:tcPr>
          <w:p w14:paraId="1A8BF36F" w14:textId="77777777" w:rsidR="008670C1" w:rsidRPr="00420DEE" w:rsidRDefault="008670C1" w:rsidP="006B204A">
            <w:pPr>
              <w:spacing w:after="0" w:line="360" w:lineRule="auto"/>
              <w:rPr>
                <w:rFonts w:eastAsia="Times New Roman"/>
                <w:b/>
                <w:bCs/>
                <w:lang w:val="es-DO"/>
              </w:rPr>
            </w:pPr>
            <w:r w:rsidRPr="00420DEE">
              <w:rPr>
                <w:rFonts w:eastAsia="Times New Roman"/>
                <w:b/>
                <w:bCs/>
                <w:lang w:val="es-DO"/>
              </w:rPr>
              <w:t>Alquileres y rentas</w:t>
            </w:r>
          </w:p>
        </w:tc>
        <w:tc>
          <w:tcPr>
            <w:tcW w:w="2038" w:type="dxa"/>
            <w:gridSpan w:val="2"/>
            <w:tcBorders>
              <w:top w:val="nil"/>
              <w:left w:val="nil"/>
              <w:bottom w:val="single" w:sz="8" w:space="0" w:color="auto"/>
              <w:right w:val="single" w:sz="8" w:space="0" w:color="auto"/>
            </w:tcBorders>
            <w:noWrap/>
            <w:vAlign w:val="center"/>
            <w:hideMark/>
          </w:tcPr>
          <w:p w14:paraId="06069BFB" w14:textId="77777777" w:rsidR="008670C1" w:rsidRPr="00A40ED9" w:rsidRDefault="008670C1" w:rsidP="006B204A">
            <w:pPr>
              <w:spacing w:after="0" w:line="360" w:lineRule="auto"/>
              <w:jc w:val="center"/>
              <w:rPr>
                <w:rFonts w:eastAsia="Times New Roman"/>
                <w:lang w:val="es-DO"/>
              </w:rPr>
            </w:pPr>
            <w:r w:rsidRPr="00A40ED9">
              <w:rPr>
                <w:lang w:val="es-DO"/>
              </w:rPr>
              <w:t xml:space="preserve"> 42,011,456 </w:t>
            </w:r>
          </w:p>
        </w:tc>
        <w:tc>
          <w:tcPr>
            <w:tcW w:w="1856" w:type="dxa"/>
            <w:gridSpan w:val="3"/>
            <w:tcBorders>
              <w:top w:val="nil"/>
              <w:left w:val="nil"/>
              <w:bottom w:val="single" w:sz="8" w:space="0" w:color="auto"/>
              <w:right w:val="single" w:sz="8" w:space="0" w:color="auto"/>
            </w:tcBorders>
            <w:noWrap/>
            <w:vAlign w:val="center"/>
            <w:hideMark/>
          </w:tcPr>
          <w:p w14:paraId="469A9791" w14:textId="48189B78" w:rsidR="008670C1" w:rsidRPr="00A40ED9" w:rsidRDefault="00CB7390" w:rsidP="006B204A">
            <w:pPr>
              <w:spacing w:after="0" w:line="360" w:lineRule="auto"/>
              <w:jc w:val="center"/>
              <w:rPr>
                <w:rFonts w:eastAsia="Times New Roman"/>
                <w:lang w:val="es-DO"/>
              </w:rPr>
            </w:pPr>
            <w:r w:rsidRPr="00CB7390">
              <w:rPr>
                <w:lang w:val="es-DO"/>
              </w:rPr>
              <w:t>30,627,046</w:t>
            </w:r>
          </w:p>
        </w:tc>
        <w:tc>
          <w:tcPr>
            <w:tcW w:w="1636" w:type="dxa"/>
            <w:tcBorders>
              <w:top w:val="nil"/>
              <w:left w:val="nil"/>
              <w:bottom w:val="single" w:sz="8" w:space="0" w:color="auto"/>
              <w:right w:val="single" w:sz="8" w:space="0" w:color="auto"/>
            </w:tcBorders>
            <w:noWrap/>
            <w:vAlign w:val="center"/>
            <w:hideMark/>
          </w:tcPr>
          <w:p w14:paraId="33B57609" w14:textId="5A24ACA4" w:rsidR="008670C1" w:rsidRPr="00A40ED9" w:rsidRDefault="00CB7390" w:rsidP="006B204A">
            <w:pPr>
              <w:spacing w:after="0" w:line="360" w:lineRule="auto"/>
              <w:jc w:val="center"/>
              <w:rPr>
                <w:rFonts w:eastAsia="Times New Roman"/>
                <w:lang w:val="es-DO"/>
              </w:rPr>
            </w:pPr>
            <w:r w:rsidRPr="00CB7390">
              <w:rPr>
                <w:lang w:val="es-DO"/>
              </w:rPr>
              <w:t>11,384,409</w:t>
            </w:r>
          </w:p>
        </w:tc>
      </w:tr>
      <w:tr w:rsidR="000C6843" w:rsidRPr="00A40ED9" w14:paraId="63966F7B" w14:textId="77777777" w:rsidTr="003A11A2">
        <w:trPr>
          <w:trHeight w:val="129"/>
          <w:jc w:val="center"/>
        </w:trPr>
        <w:tc>
          <w:tcPr>
            <w:tcW w:w="3022" w:type="dxa"/>
            <w:tcBorders>
              <w:top w:val="single" w:sz="8" w:space="0" w:color="auto"/>
              <w:left w:val="single" w:sz="8" w:space="0" w:color="auto"/>
              <w:bottom w:val="single" w:sz="8" w:space="0" w:color="auto"/>
              <w:right w:val="single" w:sz="8" w:space="0" w:color="auto"/>
            </w:tcBorders>
            <w:shd w:val="clear" w:color="000000" w:fill="003876"/>
            <w:noWrap/>
            <w:vAlign w:val="center"/>
            <w:hideMark/>
          </w:tcPr>
          <w:p w14:paraId="2D895D86" w14:textId="77777777" w:rsidR="000C6843" w:rsidRPr="00A40ED9" w:rsidRDefault="000C6843" w:rsidP="003A11A2">
            <w:pPr>
              <w:spacing w:after="0" w:line="360" w:lineRule="auto"/>
              <w:rPr>
                <w:rFonts w:eastAsia="Times New Roman"/>
                <w:b/>
                <w:bCs/>
                <w:color w:val="FFFFFF"/>
                <w:lang w:val="es-DO"/>
              </w:rPr>
            </w:pPr>
            <w:r w:rsidRPr="00A40ED9">
              <w:rPr>
                <w:rFonts w:eastAsia="Times New Roman"/>
                <w:b/>
                <w:bCs/>
                <w:color w:val="FFFFFF"/>
                <w:lang w:val="es-DO"/>
              </w:rPr>
              <w:lastRenderedPageBreak/>
              <w:t>Contratación de servicios</w:t>
            </w:r>
          </w:p>
        </w:tc>
        <w:tc>
          <w:tcPr>
            <w:tcW w:w="2038" w:type="dxa"/>
            <w:gridSpan w:val="2"/>
            <w:tcBorders>
              <w:top w:val="single" w:sz="8" w:space="0" w:color="auto"/>
              <w:left w:val="nil"/>
              <w:bottom w:val="single" w:sz="8" w:space="0" w:color="auto"/>
              <w:right w:val="single" w:sz="8" w:space="0" w:color="auto"/>
            </w:tcBorders>
            <w:shd w:val="clear" w:color="000000" w:fill="003876"/>
            <w:noWrap/>
            <w:vAlign w:val="center"/>
            <w:hideMark/>
          </w:tcPr>
          <w:p w14:paraId="09D5B9D8" w14:textId="77777777" w:rsidR="000C6843" w:rsidRPr="00A40ED9" w:rsidRDefault="000C6843" w:rsidP="003A11A2">
            <w:pPr>
              <w:spacing w:after="0" w:line="360" w:lineRule="auto"/>
              <w:jc w:val="center"/>
              <w:rPr>
                <w:rFonts w:eastAsia="Times New Roman"/>
                <w:b/>
                <w:bCs/>
                <w:color w:val="FFFFFF"/>
                <w:lang w:val="es-DO"/>
              </w:rPr>
            </w:pPr>
            <w:r w:rsidRPr="00A40ED9">
              <w:rPr>
                <w:rFonts w:eastAsia="Times New Roman"/>
                <w:b/>
                <w:bCs/>
                <w:color w:val="FFFFFF"/>
                <w:lang w:val="es-DO"/>
              </w:rPr>
              <w:t>Presupuesto</w:t>
            </w:r>
          </w:p>
        </w:tc>
        <w:tc>
          <w:tcPr>
            <w:tcW w:w="1856" w:type="dxa"/>
            <w:gridSpan w:val="3"/>
            <w:tcBorders>
              <w:top w:val="single" w:sz="8" w:space="0" w:color="auto"/>
              <w:left w:val="nil"/>
              <w:bottom w:val="single" w:sz="8" w:space="0" w:color="auto"/>
              <w:right w:val="single" w:sz="8" w:space="0" w:color="auto"/>
            </w:tcBorders>
            <w:shd w:val="clear" w:color="000000" w:fill="003876"/>
            <w:noWrap/>
            <w:vAlign w:val="center"/>
            <w:hideMark/>
          </w:tcPr>
          <w:p w14:paraId="674756FA" w14:textId="77777777" w:rsidR="000C6843" w:rsidRPr="00A40ED9" w:rsidRDefault="000C6843" w:rsidP="003A11A2">
            <w:pPr>
              <w:spacing w:after="0" w:line="360" w:lineRule="auto"/>
              <w:jc w:val="center"/>
              <w:rPr>
                <w:rFonts w:eastAsia="Times New Roman"/>
                <w:b/>
                <w:bCs/>
                <w:color w:val="FFFFFF"/>
                <w:lang w:val="es-DO"/>
              </w:rPr>
            </w:pPr>
            <w:r w:rsidRPr="00A40ED9">
              <w:rPr>
                <w:rFonts w:eastAsia="Times New Roman"/>
                <w:b/>
                <w:bCs/>
                <w:color w:val="FFFFFF"/>
                <w:lang w:val="es-DO"/>
              </w:rPr>
              <w:t>Ejecutado</w:t>
            </w:r>
          </w:p>
        </w:tc>
        <w:tc>
          <w:tcPr>
            <w:tcW w:w="1636" w:type="dxa"/>
            <w:tcBorders>
              <w:top w:val="single" w:sz="8" w:space="0" w:color="auto"/>
              <w:left w:val="nil"/>
              <w:bottom w:val="single" w:sz="8" w:space="0" w:color="auto"/>
              <w:right w:val="single" w:sz="8" w:space="0" w:color="auto"/>
            </w:tcBorders>
            <w:shd w:val="clear" w:color="000000" w:fill="003876"/>
            <w:noWrap/>
            <w:vAlign w:val="center"/>
            <w:hideMark/>
          </w:tcPr>
          <w:p w14:paraId="36E0A7E9" w14:textId="77777777" w:rsidR="000C6843" w:rsidRPr="00A40ED9" w:rsidRDefault="000C6843" w:rsidP="003A11A2">
            <w:pPr>
              <w:spacing w:after="0" w:line="360" w:lineRule="auto"/>
              <w:jc w:val="center"/>
              <w:rPr>
                <w:rFonts w:eastAsia="Times New Roman"/>
                <w:b/>
                <w:bCs/>
                <w:color w:val="FFFFFF"/>
                <w:lang w:val="es-DO"/>
              </w:rPr>
            </w:pPr>
            <w:r w:rsidRPr="00A40ED9">
              <w:rPr>
                <w:rFonts w:eastAsia="Times New Roman"/>
                <w:b/>
                <w:bCs/>
                <w:color w:val="FFFFFF"/>
                <w:lang w:val="es-DO"/>
              </w:rPr>
              <w:t>Balance</w:t>
            </w:r>
          </w:p>
        </w:tc>
      </w:tr>
      <w:tr w:rsidR="008670C1" w:rsidRPr="00A40ED9" w14:paraId="16C77994" w14:textId="77777777" w:rsidTr="00BE0AFF">
        <w:trPr>
          <w:trHeight w:val="129"/>
          <w:jc w:val="center"/>
        </w:trPr>
        <w:tc>
          <w:tcPr>
            <w:tcW w:w="3022" w:type="dxa"/>
            <w:tcBorders>
              <w:top w:val="nil"/>
              <w:left w:val="single" w:sz="8" w:space="0" w:color="auto"/>
              <w:bottom w:val="single" w:sz="8" w:space="0" w:color="auto"/>
              <w:right w:val="single" w:sz="8" w:space="0" w:color="auto"/>
            </w:tcBorders>
            <w:noWrap/>
            <w:vAlign w:val="center"/>
            <w:hideMark/>
          </w:tcPr>
          <w:p w14:paraId="24078C01" w14:textId="77777777" w:rsidR="008670C1" w:rsidRPr="00420DEE" w:rsidRDefault="008670C1" w:rsidP="006B204A">
            <w:pPr>
              <w:spacing w:after="0" w:line="360" w:lineRule="auto"/>
              <w:rPr>
                <w:rFonts w:eastAsia="Times New Roman"/>
                <w:b/>
                <w:bCs/>
                <w:lang w:val="es-DO"/>
              </w:rPr>
            </w:pPr>
            <w:r w:rsidRPr="00420DEE">
              <w:rPr>
                <w:rFonts w:eastAsia="Times New Roman"/>
                <w:b/>
                <w:bCs/>
                <w:lang w:val="es-DO"/>
              </w:rPr>
              <w:t>Seguros</w:t>
            </w:r>
          </w:p>
        </w:tc>
        <w:tc>
          <w:tcPr>
            <w:tcW w:w="2038" w:type="dxa"/>
            <w:gridSpan w:val="2"/>
            <w:tcBorders>
              <w:top w:val="nil"/>
              <w:left w:val="nil"/>
              <w:bottom w:val="single" w:sz="8" w:space="0" w:color="auto"/>
              <w:right w:val="single" w:sz="8" w:space="0" w:color="auto"/>
            </w:tcBorders>
            <w:noWrap/>
            <w:vAlign w:val="center"/>
            <w:hideMark/>
          </w:tcPr>
          <w:p w14:paraId="5092CAD1" w14:textId="77777777" w:rsidR="008670C1" w:rsidRPr="00A40ED9" w:rsidRDefault="008670C1" w:rsidP="006B204A">
            <w:pPr>
              <w:spacing w:after="0" w:line="360" w:lineRule="auto"/>
              <w:jc w:val="center"/>
              <w:rPr>
                <w:rFonts w:eastAsia="Times New Roman"/>
                <w:lang w:val="es-DO"/>
              </w:rPr>
            </w:pPr>
            <w:r w:rsidRPr="00A40ED9">
              <w:rPr>
                <w:lang w:val="es-DO"/>
              </w:rPr>
              <w:t xml:space="preserve"> 109,490,275 </w:t>
            </w:r>
          </w:p>
        </w:tc>
        <w:tc>
          <w:tcPr>
            <w:tcW w:w="1856" w:type="dxa"/>
            <w:gridSpan w:val="3"/>
            <w:tcBorders>
              <w:top w:val="nil"/>
              <w:left w:val="nil"/>
              <w:bottom w:val="single" w:sz="8" w:space="0" w:color="auto"/>
              <w:right w:val="single" w:sz="8" w:space="0" w:color="auto"/>
            </w:tcBorders>
            <w:noWrap/>
            <w:vAlign w:val="center"/>
            <w:hideMark/>
          </w:tcPr>
          <w:p w14:paraId="2A7BA691" w14:textId="6D54BAA3" w:rsidR="008670C1" w:rsidRPr="00A40ED9" w:rsidRDefault="00CB7390" w:rsidP="006B204A">
            <w:pPr>
              <w:spacing w:after="0" w:line="360" w:lineRule="auto"/>
              <w:jc w:val="center"/>
              <w:rPr>
                <w:rFonts w:eastAsia="Times New Roman"/>
                <w:lang w:val="es-DO"/>
              </w:rPr>
            </w:pPr>
            <w:r w:rsidRPr="00CB7390">
              <w:rPr>
                <w:lang w:val="es-DO"/>
              </w:rPr>
              <w:t>90,563,343</w:t>
            </w:r>
          </w:p>
        </w:tc>
        <w:tc>
          <w:tcPr>
            <w:tcW w:w="1636" w:type="dxa"/>
            <w:tcBorders>
              <w:top w:val="nil"/>
              <w:left w:val="nil"/>
              <w:bottom w:val="single" w:sz="8" w:space="0" w:color="auto"/>
              <w:right w:val="single" w:sz="8" w:space="0" w:color="auto"/>
            </w:tcBorders>
            <w:noWrap/>
            <w:vAlign w:val="center"/>
            <w:hideMark/>
          </w:tcPr>
          <w:p w14:paraId="64B1DF11" w14:textId="546AC7C7" w:rsidR="008670C1" w:rsidRPr="00A40ED9" w:rsidRDefault="00CB7390" w:rsidP="006B204A">
            <w:pPr>
              <w:spacing w:after="0" w:line="360" w:lineRule="auto"/>
              <w:jc w:val="center"/>
              <w:rPr>
                <w:rFonts w:eastAsia="Times New Roman"/>
                <w:lang w:val="es-DO"/>
              </w:rPr>
            </w:pPr>
            <w:r w:rsidRPr="00CB7390">
              <w:rPr>
                <w:lang w:val="es-DO"/>
              </w:rPr>
              <w:t>18,926,932</w:t>
            </w:r>
          </w:p>
        </w:tc>
      </w:tr>
      <w:tr w:rsidR="008670C1" w:rsidRPr="00A40ED9" w14:paraId="26A3B3D0" w14:textId="77777777" w:rsidTr="00BE0AFF">
        <w:trPr>
          <w:trHeight w:val="129"/>
          <w:jc w:val="center"/>
        </w:trPr>
        <w:tc>
          <w:tcPr>
            <w:tcW w:w="3022" w:type="dxa"/>
            <w:tcBorders>
              <w:top w:val="nil"/>
              <w:left w:val="single" w:sz="8" w:space="0" w:color="auto"/>
              <w:bottom w:val="single" w:sz="8" w:space="0" w:color="auto"/>
              <w:right w:val="single" w:sz="8" w:space="0" w:color="auto"/>
            </w:tcBorders>
            <w:noWrap/>
            <w:vAlign w:val="center"/>
            <w:hideMark/>
          </w:tcPr>
          <w:p w14:paraId="7D8FD38A" w14:textId="77777777" w:rsidR="008670C1" w:rsidRPr="00420DEE" w:rsidRDefault="008670C1" w:rsidP="006B204A">
            <w:pPr>
              <w:spacing w:after="0" w:line="360" w:lineRule="auto"/>
              <w:rPr>
                <w:rFonts w:eastAsia="Times New Roman"/>
                <w:b/>
                <w:bCs/>
                <w:lang w:val="es-DO"/>
              </w:rPr>
            </w:pPr>
            <w:r w:rsidRPr="00420DEE">
              <w:rPr>
                <w:rFonts w:eastAsia="Times New Roman"/>
                <w:b/>
                <w:bCs/>
                <w:lang w:val="es-DO"/>
              </w:rPr>
              <w:t>Servicios de conservación, reparaciones menores e instalaciones temporales</w:t>
            </w:r>
          </w:p>
        </w:tc>
        <w:tc>
          <w:tcPr>
            <w:tcW w:w="2038" w:type="dxa"/>
            <w:gridSpan w:val="2"/>
            <w:tcBorders>
              <w:top w:val="nil"/>
              <w:left w:val="nil"/>
              <w:bottom w:val="single" w:sz="8" w:space="0" w:color="auto"/>
              <w:right w:val="single" w:sz="8" w:space="0" w:color="auto"/>
            </w:tcBorders>
            <w:noWrap/>
            <w:vAlign w:val="center"/>
            <w:hideMark/>
          </w:tcPr>
          <w:p w14:paraId="11B35EDB" w14:textId="77777777" w:rsidR="008670C1" w:rsidRPr="00A40ED9" w:rsidRDefault="008670C1" w:rsidP="006B204A">
            <w:pPr>
              <w:spacing w:after="0" w:line="360" w:lineRule="auto"/>
              <w:jc w:val="center"/>
              <w:rPr>
                <w:rFonts w:eastAsia="Times New Roman"/>
                <w:lang w:val="es-DO"/>
              </w:rPr>
            </w:pPr>
            <w:r w:rsidRPr="00A40ED9">
              <w:rPr>
                <w:lang w:val="es-DO"/>
              </w:rPr>
              <w:t xml:space="preserve"> 50,172,308 </w:t>
            </w:r>
          </w:p>
        </w:tc>
        <w:tc>
          <w:tcPr>
            <w:tcW w:w="1856" w:type="dxa"/>
            <w:gridSpan w:val="3"/>
            <w:tcBorders>
              <w:top w:val="nil"/>
              <w:left w:val="nil"/>
              <w:bottom w:val="single" w:sz="8" w:space="0" w:color="auto"/>
              <w:right w:val="single" w:sz="8" w:space="0" w:color="auto"/>
            </w:tcBorders>
            <w:noWrap/>
            <w:vAlign w:val="center"/>
            <w:hideMark/>
          </w:tcPr>
          <w:p w14:paraId="294AA5A4" w14:textId="01BBD450" w:rsidR="008670C1" w:rsidRPr="00A40ED9" w:rsidRDefault="00CB7390" w:rsidP="006B204A">
            <w:pPr>
              <w:spacing w:after="0" w:line="360" w:lineRule="auto"/>
              <w:jc w:val="center"/>
              <w:rPr>
                <w:rFonts w:eastAsia="Times New Roman"/>
                <w:lang w:val="es-DO"/>
              </w:rPr>
            </w:pPr>
            <w:r w:rsidRPr="00CB7390">
              <w:rPr>
                <w:lang w:val="es-DO"/>
              </w:rPr>
              <w:t>31,106,256</w:t>
            </w:r>
          </w:p>
        </w:tc>
        <w:tc>
          <w:tcPr>
            <w:tcW w:w="1636" w:type="dxa"/>
            <w:tcBorders>
              <w:top w:val="nil"/>
              <w:left w:val="nil"/>
              <w:bottom w:val="single" w:sz="8" w:space="0" w:color="auto"/>
              <w:right w:val="single" w:sz="8" w:space="0" w:color="auto"/>
            </w:tcBorders>
            <w:noWrap/>
            <w:vAlign w:val="center"/>
            <w:hideMark/>
          </w:tcPr>
          <w:p w14:paraId="2FC15341" w14:textId="16D4CD65" w:rsidR="008670C1" w:rsidRPr="00A40ED9" w:rsidRDefault="00CB7390" w:rsidP="006B204A">
            <w:pPr>
              <w:spacing w:after="0" w:line="360" w:lineRule="auto"/>
              <w:jc w:val="center"/>
              <w:rPr>
                <w:rFonts w:eastAsia="Times New Roman"/>
                <w:lang w:val="es-DO"/>
              </w:rPr>
            </w:pPr>
            <w:r w:rsidRPr="00CB7390">
              <w:rPr>
                <w:lang w:val="es-DO"/>
              </w:rPr>
              <w:t>19,066,052</w:t>
            </w:r>
          </w:p>
        </w:tc>
      </w:tr>
      <w:tr w:rsidR="008670C1" w:rsidRPr="00A40ED9" w14:paraId="0F35C393" w14:textId="77777777" w:rsidTr="00BE0AFF">
        <w:trPr>
          <w:trHeight w:val="129"/>
          <w:jc w:val="center"/>
        </w:trPr>
        <w:tc>
          <w:tcPr>
            <w:tcW w:w="3022" w:type="dxa"/>
            <w:tcBorders>
              <w:top w:val="nil"/>
              <w:left w:val="single" w:sz="8" w:space="0" w:color="auto"/>
              <w:bottom w:val="single" w:sz="8" w:space="0" w:color="auto"/>
              <w:right w:val="single" w:sz="8" w:space="0" w:color="auto"/>
            </w:tcBorders>
            <w:noWrap/>
            <w:vAlign w:val="center"/>
            <w:hideMark/>
          </w:tcPr>
          <w:p w14:paraId="71360C2D" w14:textId="77777777" w:rsidR="008670C1" w:rsidRPr="00420DEE" w:rsidRDefault="008670C1" w:rsidP="006B204A">
            <w:pPr>
              <w:spacing w:after="0" w:line="360" w:lineRule="auto"/>
              <w:rPr>
                <w:rFonts w:eastAsia="Times New Roman"/>
                <w:b/>
                <w:bCs/>
                <w:lang w:val="es-DO"/>
              </w:rPr>
            </w:pPr>
            <w:r w:rsidRPr="00420DEE">
              <w:rPr>
                <w:rFonts w:eastAsia="Times New Roman"/>
                <w:b/>
                <w:bCs/>
                <w:lang w:val="es-DO"/>
              </w:rPr>
              <w:t>Otros servicios no incluidos en conceptos anteriores</w:t>
            </w:r>
          </w:p>
        </w:tc>
        <w:tc>
          <w:tcPr>
            <w:tcW w:w="2038" w:type="dxa"/>
            <w:gridSpan w:val="2"/>
            <w:tcBorders>
              <w:top w:val="nil"/>
              <w:left w:val="nil"/>
              <w:bottom w:val="single" w:sz="8" w:space="0" w:color="auto"/>
              <w:right w:val="single" w:sz="8" w:space="0" w:color="auto"/>
            </w:tcBorders>
            <w:noWrap/>
            <w:vAlign w:val="center"/>
            <w:hideMark/>
          </w:tcPr>
          <w:p w14:paraId="417DFD7A" w14:textId="77777777" w:rsidR="008670C1" w:rsidRPr="00A40ED9" w:rsidRDefault="008670C1" w:rsidP="006B204A">
            <w:pPr>
              <w:spacing w:after="0" w:line="360" w:lineRule="auto"/>
              <w:jc w:val="center"/>
              <w:rPr>
                <w:rFonts w:eastAsia="Times New Roman"/>
                <w:lang w:val="es-DO"/>
              </w:rPr>
            </w:pPr>
            <w:r w:rsidRPr="00A40ED9">
              <w:rPr>
                <w:lang w:val="es-DO"/>
              </w:rPr>
              <w:t xml:space="preserve"> 365,035,250 </w:t>
            </w:r>
          </w:p>
        </w:tc>
        <w:tc>
          <w:tcPr>
            <w:tcW w:w="1856" w:type="dxa"/>
            <w:gridSpan w:val="3"/>
            <w:tcBorders>
              <w:top w:val="nil"/>
              <w:left w:val="nil"/>
              <w:bottom w:val="single" w:sz="8" w:space="0" w:color="auto"/>
              <w:right w:val="single" w:sz="8" w:space="0" w:color="auto"/>
            </w:tcBorders>
            <w:noWrap/>
            <w:vAlign w:val="center"/>
            <w:hideMark/>
          </w:tcPr>
          <w:p w14:paraId="19721727" w14:textId="4D1D97E0" w:rsidR="008670C1" w:rsidRPr="00A40ED9" w:rsidRDefault="00CB7390" w:rsidP="006B204A">
            <w:pPr>
              <w:spacing w:after="0" w:line="360" w:lineRule="auto"/>
              <w:jc w:val="center"/>
              <w:rPr>
                <w:rFonts w:eastAsia="Times New Roman"/>
                <w:lang w:val="es-DO"/>
              </w:rPr>
            </w:pPr>
            <w:r w:rsidRPr="00CB7390">
              <w:rPr>
                <w:lang w:val="es-DO"/>
              </w:rPr>
              <w:t>252,554,450</w:t>
            </w:r>
          </w:p>
        </w:tc>
        <w:tc>
          <w:tcPr>
            <w:tcW w:w="1636" w:type="dxa"/>
            <w:tcBorders>
              <w:top w:val="nil"/>
              <w:left w:val="nil"/>
              <w:bottom w:val="single" w:sz="8" w:space="0" w:color="auto"/>
              <w:right w:val="single" w:sz="8" w:space="0" w:color="auto"/>
            </w:tcBorders>
            <w:noWrap/>
            <w:vAlign w:val="center"/>
            <w:hideMark/>
          </w:tcPr>
          <w:p w14:paraId="48EEE0E0" w14:textId="410E125A" w:rsidR="008670C1" w:rsidRPr="00A40ED9" w:rsidRDefault="00CB7390" w:rsidP="006B204A">
            <w:pPr>
              <w:spacing w:after="0" w:line="360" w:lineRule="auto"/>
              <w:jc w:val="center"/>
              <w:rPr>
                <w:rFonts w:eastAsia="Times New Roman"/>
                <w:lang w:val="es-DO"/>
              </w:rPr>
            </w:pPr>
            <w:r w:rsidRPr="00CB7390">
              <w:rPr>
                <w:lang w:val="es-DO"/>
              </w:rPr>
              <w:t>112,480,800</w:t>
            </w:r>
          </w:p>
        </w:tc>
      </w:tr>
      <w:tr w:rsidR="008670C1" w:rsidRPr="00A40ED9" w14:paraId="3108D28B" w14:textId="77777777" w:rsidTr="00BE0AFF">
        <w:trPr>
          <w:trHeight w:val="129"/>
          <w:jc w:val="center"/>
        </w:trPr>
        <w:tc>
          <w:tcPr>
            <w:tcW w:w="3022" w:type="dxa"/>
            <w:tcBorders>
              <w:top w:val="nil"/>
              <w:left w:val="single" w:sz="8" w:space="0" w:color="auto"/>
              <w:bottom w:val="single" w:sz="8" w:space="0" w:color="auto"/>
              <w:right w:val="single" w:sz="8" w:space="0" w:color="auto"/>
            </w:tcBorders>
            <w:noWrap/>
            <w:vAlign w:val="center"/>
          </w:tcPr>
          <w:p w14:paraId="1C9C9BD9" w14:textId="77777777" w:rsidR="008670C1" w:rsidRPr="00420DEE" w:rsidRDefault="008670C1" w:rsidP="006B204A">
            <w:pPr>
              <w:spacing w:after="0" w:line="360" w:lineRule="auto"/>
              <w:rPr>
                <w:rFonts w:eastAsia="Times New Roman"/>
                <w:b/>
                <w:bCs/>
                <w:lang w:val="es-DO"/>
              </w:rPr>
            </w:pPr>
            <w:r w:rsidRPr="00420DEE">
              <w:rPr>
                <w:rFonts w:eastAsia="Times New Roman"/>
                <w:b/>
                <w:bCs/>
                <w:lang w:val="es-DO"/>
              </w:rPr>
              <w:t>Otras contrataciones de servicios</w:t>
            </w:r>
          </w:p>
        </w:tc>
        <w:tc>
          <w:tcPr>
            <w:tcW w:w="2038" w:type="dxa"/>
            <w:gridSpan w:val="2"/>
            <w:tcBorders>
              <w:top w:val="nil"/>
              <w:left w:val="nil"/>
              <w:bottom w:val="single" w:sz="8" w:space="0" w:color="auto"/>
              <w:right w:val="single" w:sz="8" w:space="0" w:color="auto"/>
            </w:tcBorders>
            <w:noWrap/>
            <w:vAlign w:val="center"/>
          </w:tcPr>
          <w:p w14:paraId="3F138536" w14:textId="77777777" w:rsidR="008670C1" w:rsidRPr="00A40ED9" w:rsidRDefault="008670C1" w:rsidP="006B204A">
            <w:pPr>
              <w:spacing w:after="0" w:line="360" w:lineRule="auto"/>
              <w:jc w:val="center"/>
              <w:rPr>
                <w:lang w:val="es-DO"/>
              </w:rPr>
            </w:pPr>
            <w:r w:rsidRPr="00A40ED9">
              <w:rPr>
                <w:lang w:val="es-DO"/>
              </w:rPr>
              <w:t>14,333,315</w:t>
            </w:r>
          </w:p>
        </w:tc>
        <w:tc>
          <w:tcPr>
            <w:tcW w:w="1856" w:type="dxa"/>
            <w:gridSpan w:val="3"/>
            <w:tcBorders>
              <w:top w:val="nil"/>
              <w:left w:val="nil"/>
              <w:bottom w:val="single" w:sz="8" w:space="0" w:color="auto"/>
              <w:right w:val="single" w:sz="8" w:space="0" w:color="auto"/>
            </w:tcBorders>
            <w:noWrap/>
            <w:vAlign w:val="center"/>
          </w:tcPr>
          <w:p w14:paraId="6AEA36FD" w14:textId="4C044B66" w:rsidR="008670C1" w:rsidRPr="00A40ED9" w:rsidRDefault="00CB7390" w:rsidP="006B204A">
            <w:pPr>
              <w:spacing w:after="0" w:line="360" w:lineRule="auto"/>
              <w:jc w:val="center"/>
              <w:rPr>
                <w:rFonts w:eastAsia="Times New Roman"/>
                <w:lang w:val="es-DO"/>
              </w:rPr>
            </w:pPr>
            <w:r w:rsidRPr="00CB7390">
              <w:rPr>
                <w:lang w:val="es-DO"/>
              </w:rPr>
              <w:t>3,522,640</w:t>
            </w:r>
          </w:p>
        </w:tc>
        <w:tc>
          <w:tcPr>
            <w:tcW w:w="1636" w:type="dxa"/>
            <w:tcBorders>
              <w:top w:val="nil"/>
              <w:left w:val="nil"/>
              <w:bottom w:val="single" w:sz="8" w:space="0" w:color="auto"/>
              <w:right w:val="single" w:sz="8" w:space="0" w:color="auto"/>
            </w:tcBorders>
            <w:noWrap/>
            <w:vAlign w:val="center"/>
          </w:tcPr>
          <w:p w14:paraId="364C87F7" w14:textId="2C5E0A48" w:rsidR="008670C1" w:rsidRPr="00A40ED9" w:rsidRDefault="00CB7390" w:rsidP="006B204A">
            <w:pPr>
              <w:spacing w:after="0" w:line="360" w:lineRule="auto"/>
              <w:jc w:val="center"/>
              <w:rPr>
                <w:rFonts w:eastAsia="Times New Roman"/>
                <w:lang w:val="es-DO"/>
              </w:rPr>
            </w:pPr>
            <w:r w:rsidRPr="00CB7390">
              <w:rPr>
                <w:lang w:val="es-DO"/>
              </w:rPr>
              <w:t>10,810,675</w:t>
            </w:r>
          </w:p>
        </w:tc>
      </w:tr>
      <w:tr w:rsidR="00452802" w:rsidRPr="00A40ED9" w14:paraId="4D31A5C0" w14:textId="77777777" w:rsidTr="00BE0AFF">
        <w:trPr>
          <w:trHeight w:val="129"/>
          <w:jc w:val="center"/>
        </w:trPr>
        <w:tc>
          <w:tcPr>
            <w:tcW w:w="3022" w:type="dxa"/>
            <w:tcBorders>
              <w:top w:val="nil"/>
              <w:left w:val="single" w:sz="8" w:space="0" w:color="auto"/>
              <w:bottom w:val="single" w:sz="8" w:space="0" w:color="auto"/>
              <w:right w:val="single" w:sz="8" w:space="0" w:color="auto"/>
            </w:tcBorders>
            <w:shd w:val="clear" w:color="000000" w:fill="003876"/>
            <w:noWrap/>
            <w:vAlign w:val="center"/>
            <w:hideMark/>
          </w:tcPr>
          <w:p w14:paraId="3A81E0BC" w14:textId="77777777" w:rsidR="008670C1" w:rsidRPr="00A40ED9" w:rsidRDefault="008670C1" w:rsidP="006B204A">
            <w:pPr>
              <w:spacing w:after="0" w:line="360" w:lineRule="auto"/>
              <w:rPr>
                <w:rFonts w:eastAsia="Times New Roman"/>
                <w:b/>
                <w:bCs/>
                <w:color w:val="FFFFFF"/>
                <w:lang w:val="es-DO"/>
              </w:rPr>
            </w:pPr>
            <w:proofErr w:type="gramStart"/>
            <w:r w:rsidRPr="00A40ED9">
              <w:rPr>
                <w:rFonts w:eastAsia="Times New Roman"/>
                <w:b/>
                <w:bCs/>
                <w:color w:val="FFFFFF"/>
                <w:lang w:val="es-DO"/>
              </w:rPr>
              <w:t>Total</w:t>
            </w:r>
            <w:proofErr w:type="gramEnd"/>
            <w:r w:rsidRPr="00A40ED9">
              <w:rPr>
                <w:rFonts w:eastAsia="Times New Roman"/>
                <w:b/>
                <w:bCs/>
                <w:color w:val="FFFFFF"/>
                <w:lang w:val="es-DO"/>
              </w:rPr>
              <w:t xml:space="preserve"> contratación de servicios</w:t>
            </w:r>
          </w:p>
        </w:tc>
        <w:tc>
          <w:tcPr>
            <w:tcW w:w="2038" w:type="dxa"/>
            <w:gridSpan w:val="2"/>
            <w:tcBorders>
              <w:top w:val="nil"/>
              <w:left w:val="nil"/>
              <w:bottom w:val="single" w:sz="8" w:space="0" w:color="auto"/>
              <w:right w:val="single" w:sz="8" w:space="0" w:color="auto"/>
            </w:tcBorders>
            <w:shd w:val="clear" w:color="000000" w:fill="003876"/>
            <w:vAlign w:val="center"/>
            <w:hideMark/>
          </w:tcPr>
          <w:p w14:paraId="239755A7" w14:textId="77777777" w:rsidR="008670C1" w:rsidRPr="00A40ED9" w:rsidRDefault="008670C1" w:rsidP="006B204A">
            <w:pPr>
              <w:spacing w:after="0" w:line="360" w:lineRule="auto"/>
              <w:jc w:val="center"/>
              <w:rPr>
                <w:rFonts w:eastAsia="Times New Roman"/>
                <w:b/>
                <w:bCs/>
                <w:color w:val="FFFFFF"/>
                <w:lang w:val="es-DO"/>
              </w:rPr>
            </w:pPr>
            <w:r w:rsidRPr="00A40ED9">
              <w:rPr>
                <w:rFonts w:eastAsia="Times New Roman"/>
                <w:b/>
                <w:bCs/>
                <w:color w:val="FFFFFF"/>
                <w:lang w:val="es-DO"/>
              </w:rPr>
              <w:t>744,964,831</w:t>
            </w:r>
          </w:p>
        </w:tc>
        <w:tc>
          <w:tcPr>
            <w:tcW w:w="1856" w:type="dxa"/>
            <w:gridSpan w:val="3"/>
            <w:tcBorders>
              <w:top w:val="nil"/>
              <w:left w:val="nil"/>
              <w:bottom w:val="single" w:sz="8" w:space="0" w:color="auto"/>
              <w:right w:val="single" w:sz="8" w:space="0" w:color="auto"/>
            </w:tcBorders>
            <w:shd w:val="clear" w:color="000000" w:fill="003876"/>
            <w:vAlign w:val="center"/>
            <w:hideMark/>
          </w:tcPr>
          <w:p w14:paraId="7FBDBAD6" w14:textId="65B81EAC" w:rsidR="008670C1" w:rsidRPr="00A40ED9" w:rsidRDefault="00CB7390" w:rsidP="006B204A">
            <w:pPr>
              <w:spacing w:after="0" w:line="360" w:lineRule="auto"/>
              <w:jc w:val="center"/>
              <w:rPr>
                <w:rFonts w:eastAsia="Times New Roman"/>
                <w:b/>
                <w:bCs/>
                <w:color w:val="FFFFFF"/>
                <w:lang w:val="es-DO"/>
              </w:rPr>
            </w:pPr>
            <w:r w:rsidRPr="00CB7390">
              <w:rPr>
                <w:rFonts w:eastAsia="Times New Roman"/>
                <w:b/>
                <w:bCs/>
                <w:color w:val="FFFFFF"/>
                <w:lang w:val="es-DO"/>
              </w:rPr>
              <w:t>542,097,310</w:t>
            </w:r>
          </w:p>
        </w:tc>
        <w:tc>
          <w:tcPr>
            <w:tcW w:w="1636" w:type="dxa"/>
            <w:tcBorders>
              <w:top w:val="nil"/>
              <w:left w:val="nil"/>
              <w:bottom w:val="single" w:sz="8" w:space="0" w:color="auto"/>
              <w:right w:val="single" w:sz="8" w:space="0" w:color="auto"/>
            </w:tcBorders>
            <w:shd w:val="clear" w:color="000000" w:fill="003876"/>
            <w:noWrap/>
            <w:vAlign w:val="center"/>
            <w:hideMark/>
          </w:tcPr>
          <w:p w14:paraId="2CB59569" w14:textId="7B55C622" w:rsidR="008670C1" w:rsidRPr="00A40ED9" w:rsidRDefault="00CB7390" w:rsidP="006B204A">
            <w:pPr>
              <w:spacing w:after="0" w:line="360" w:lineRule="auto"/>
              <w:jc w:val="center"/>
              <w:rPr>
                <w:rFonts w:eastAsia="Times New Roman"/>
                <w:b/>
                <w:bCs/>
                <w:color w:val="FFFFFF"/>
                <w:lang w:val="es-DO"/>
              </w:rPr>
            </w:pPr>
            <w:r w:rsidRPr="00CB7390">
              <w:rPr>
                <w:rFonts w:eastAsia="Times New Roman"/>
                <w:b/>
                <w:bCs/>
                <w:color w:val="FFFFFF"/>
                <w:lang w:val="es-DO"/>
              </w:rPr>
              <w:t>202,867,521</w:t>
            </w:r>
          </w:p>
        </w:tc>
      </w:tr>
      <w:tr w:rsidR="008670C1" w:rsidRPr="00A40ED9" w14:paraId="66A20354" w14:textId="77777777" w:rsidTr="00BE0AFF">
        <w:trPr>
          <w:trHeight w:val="241"/>
          <w:jc w:val="center"/>
        </w:trPr>
        <w:tc>
          <w:tcPr>
            <w:tcW w:w="3043" w:type="dxa"/>
            <w:gridSpan w:val="2"/>
            <w:tcBorders>
              <w:top w:val="nil"/>
              <w:left w:val="nil"/>
              <w:bottom w:val="nil"/>
              <w:right w:val="nil"/>
            </w:tcBorders>
            <w:noWrap/>
            <w:vAlign w:val="bottom"/>
            <w:hideMark/>
          </w:tcPr>
          <w:p w14:paraId="04B621E2" w14:textId="6AD82A01" w:rsidR="008670C1" w:rsidRPr="00A40ED9" w:rsidRDefault="008670C1" w:rsidP="006B204A">
            <w:pPr>
              <w:spacing w:after="0" w:line="240" w:lineRule="auto"/>
              <w:jc w:val="center"/>
              <w:rPr>
                <w:rFonts w:eastAsia="Times New Roman"/>
                <w:b/>
                <w:bCs/>
                <w:color w:val="FFFFFF"/>
                <w:lang w:val="es-DO"/>
              </w:rPr>
            </w:pPr>
            <w:r w:rsidRPr="00A40ED9">
              <w:rPr>
                <w:lang w:val="es-DO"/>
              </w:rPr>
              <w:br w:type="page"/>
            </w:r>
          </w:p>
        </w:tc>
        <w:tc>
          <w:tcPr>
            <w:tcW w:w="2038" w:type="dxa"/>
            <w:gridSpan w:val="2"/>
            <w:tcBorders>
              <w:top w:val="nil"/>
              <w:left w:val="nil"/>
              <w:bottom w:val="nil"/>
              <w:right w:val="nil"/>
            </w:tcBorders>
            <w:noWrap/>
            <w:vAlign w:val="bottom"/>
            <w:hideMark/>
          </w:tcPr>
          <w:p w14:paraId="5A3E9FE2" w14:textId="77777777" w:rsidR="008670C1" w:rsidRPr="00A40ED9" w:rsidRDefault="008670C1" w:rsidP="006B204A">
            <w:pPr>
              <w:spacing w:after="0" w:line="240" w:lineRule="auto"/>
              <w:rPr>
                <w:rFonts w:eastAsia="Times New Roman"/>
                <w:lang w:val="es-DO"/>
              </w:rPr>
            </w:pPr>
          </w:p>
        </w:tc>
        <w:tc>
          <w:tcPr>
            <w:tcW w:w="1753" w:type="dxa"/>
            <w:tcBorders>
              <w:top w:val="nil"/>
              <w:left w:val="nil"/>
              <w:bottom w:val="nil"/>
              <w:right w:val="nil"/>
            </w:tcBorders>
            <w:noWrap/>
            <w:vAlign w:val="bottom"/>
            <w:hideMark/>
          </w:tcPr>
          <w:p w14:paraId="2F889791" w14:textId="77777777" w:rsidR="008670C1" w:rsidRPr="00A40ED9" w:rsidRDefault="008670C1" w:rsidP="006B204A">
            <w:pPr>
              <w:spacing w:after="0" w:line="240" w:lineRule="auto"/>
              <w:rPr>
                <w:rFonts w:eastAsia="Times New Roman"/>
                <w:lang w:val="es-DO"/>
              </w:rPr>
            </w:pPr>
          </w:p>
        </w:tc>
        <w:tc>
          <w:tcPr>
            <w:tcW w:w="1718" w:type="dxa"/>
            <w:gridSpan w:val="2"/>
            <w:tcBorders>
              <w:top w:val="nil"/>
              <w:left w:val="nil"/>
              <w:bottom w:val="nil"/>
              <w:right w:val="nil"/>
            </w:tcBorders>
            <w:noWrap/>
            <w:vAlign w:val="bottom"/>
            <w:hideMark/>
          </w:tcPr>
          <w:p w14:paraId="2D084C1B" w14:textId="77777777" w:rsidR="008670C1" w:rsidRDefault="008670C1" w:rsidP="006B204A">
            <w:pPr>
              <w:spacing w:after="0" w:line="240" w:lineRule="auto"/>
              <w:rPr>
                <w:rFonts w:eastAsia="Times New Roman"/>
                <w:lang w:val="es-DO"/>
              </w:rPr>
            </w:pPr>
          </w:p>
          <w:p w14:paraId="262B4FD2" w14:textId="77777777" w:rsidR="000C6843" w:rsidRPr="00A40ED9" w:rsidRDefault="000C6843" w:rsidP="006B204A">
            <w:pPr>
              <w:spacing w:after="0" w:line="240" w:lineRule="auto"/>
              <w:rPr>
                <w:rFonts w:eastAsia="Times New Roman"/>
                <w:lang w:val="es-DO"/>
              </w:rPr>
            </w:pPr>
          </w:p>
        </w:tc>
      </w:tr>
      <w:tr w:rsidR="006D1150" w:rsidRPr="00A40ED9" w14:paraId="3CFF15BF" w14:textId="77777777" w:rsidTr="00BE0AFF">
        <w:trPr>
          <w:trHeight w:val="241"/>
          <w:jc w:val="center"/>
        </w:trPr>
        <w:tc>
          <w:tcPr>
            <w:tcW w:w="3043" w:type="dxa"/>
            <w:gridSpan w:val="2"/>
            <w:tcBorders>
              <w:top w:val="nil"/>
              <w:left w:val="nil"/>
              <w:bottom w:val="nil"/>
              <w:right w:val="nil"/>
            </w:tcBorders>
            <w:noWrap/>
            <w:vAlign w:val="bottom"/>
          </w:tcPr>
          <w:p w14:paraId="6879B94D" w14:textId="77777777" w:rsidR="006D1150" w:rsidRPr="00A40ED9" w:rsidRDefault="006D1150" w:rsidP="006B204A">
            <w:pPr>
              <w:spacing w:after="0" w:line="240" w:lineRule="auto"/>
              <w:jc w:val="center"/>
              <w:rPr>
                <w:lang w:val="es-DO"/>
              </w:rPr>
            </w:pPr>
          </w:p>
        </w:tc>
        <w:tc>
          <w:tcPr>
            <w:tcW w:w="2038" w:type="dxa"/>
            <w:gridSpan w:val="2"/>
            <w:tcBorders>
              <w:top w:val="nil"/>
              <w:left w:val="nil"/>
              <w:bottom w:val="nil"/>
              <w:right w:val="nil"/>
            </w:tcBorders>
            <w:noWrap/>
            <w:vAlign w:val="bottom"/>
          </w:tcPr>
          <w:p w14:paraId="20C6A3E7" w14:textId="77777777" w:rsidR="006D1150" w:rsidRPr="00A40ED9" w:rsidRDefault="006D1150" w:rsidP="006B204A">
            <w:pPr>
              <w:spacing w:after="0" w:line="240" w:lineRule="auto"/>
              <w:rPr>
                <w:rFonts w:eastAsia="Times New Roman"/>
                <w:lang w:val="es-DO"/>
              </w:rPr>
            </w:pPr>
          </w:p>
        </w:tc>
        <w:tc>
          <w:tcPr>
            <w:tcW w:w="1753" w:type="dxa"/>
            <w:tcBorders>
              <w:top w:val="nil"/>
              <w:left w:val="nil"/>
              <w:bottom w:val="nil"/>
              <w:right w:val="nil"/>
            </w:tcBorders>
            <w:noWrap/>
            <w:vAlign w:val="bottom"/>
          </w:tcPr>
          <w:p w14:paraId="7F8AA217" w14:textId="77777777" w:rsidR="006D1150" w:rsidRPr="00A40ED9" w:rsidRDefault="006D1150" w:rsidP="006B204A">
            <w:pPr>
              <w:spacing w:after="0" w:line="240" w:lineRule="auto"/>
              <w:rPr>
                <w:rFonts w:eastAsia="Times New Roman"/>
                <w:lang w:val="es-DO"/>
              </w:rPr>
            </w:pPr>
          </w:p>
        </w:tc>
        <w:tc>
          <w:tcPr>
            <w:tcW w:w="1718" w:type="dxa"/>
            <w:gridSpan w:val="2"/>
            <w:tcBorders>
              <w:top w:val="nil"/>
              <w:left w:val="nil"/>
              <w:bottom w:val="nil"/>
              <w:right w:val="nil"/>
            </w:tcBorders>
            <w:noWrap/>
            <w:vAlign w:val="bottom"/>
          </w:tcPr>
          <w:p w14:paraId="04795002" w14:textId="77777777" w:rsidR="006D1150" w:rsidRDefault="006D1150" w:rsidP="006B204A">
            <w:pPr>
              <w:spacing w:after="0" w:line="240" w:lineRule="auto"/>
              <w:rPr>
                <w:rFonts w:eastAsia="Times New Roman"/>
                <w:lang w:val="es-DO"/>
              </w:rPr>
            </w:pPr>
          </w:p>
        </w:tc>
      </w:tr>
      <w:tr w:rsidR="00452802" w:rsidRPr="00A40ED9" w14:paraId="5F3D14B1" w14:textId="77777777" w:rsidTr="00BE0AFF">
        <w:trPr>
          <w:trHeight w:val="241"/>
          <w:jc w:val="center"/>
        </w:trPr>
        <w:tc>
          <w:tcPr>
            <w:tcW w:w="3043" w:type="dxa"/>
            <w:gridSpan w:val="2"/>
            <w:tcBorders>
              <w:top w:val="single" w:sz="8" w:space="0" w:color="auto"/>
              <w:left w:val="single" w:sz="8" w:space="0" w:color="auto"/>
              <w:bottom w:val="single" w:sz="8" w:space="0" w:color="auto"/>
              <w:right w:val="single" w:sz="8" w:space="0" w:color="auto"/>
            </w:tcBorders>
            <w:shd w:val="clear" w:color="000000" w:fill="003876"/>
            <w:noWrap/>
            <w:vAlign w:val="center"/>
            <w:hideMark/>
          </w:tcPr>
          <w:p w14:paraId="706697C3" w14:textId="77777777" w:rsidR="008670C1" w:rsidRPr="00A40ED9" w:rsidRDefault="008670C1" w:rsidP="006B204A">
            <w:pPr>
              <w:spacing w:after="0" w:line="360" w:lineRule="auto"/>
              <w:rPr>
                <w:rFonts w:eastAsia="Times New Roman"/>
                <w:b/>
                <w:bCs/>
                <w:color w:val="FFFFFF"/>
                <w:lang w:val="es-DO"/>
              </w:rPr>
            </w:pPr>
            <w:r w:rsidRPr="00A40ED9">
              <w:rPr>
                <w:rFonts w:eastAsia="Times New Roman"/>
                <w:b/>
                <w:bCs/>
                <w:color w:val="FFFFFF"/>
                <w:lang w:val="es-DO"/>
              </w:rPr>
              <w:t>Materiales y suministros</w:t>
            </w:r>
          </w:p>
        </w:tc>
        <w:tc>
          <w:tcPr>
            <w:tcW w:w="2038" w:type="dxa"/>
            <w:gridSpan w:val="2"/>
            <w:tcBorders>
              <w:top w:val="single" w:sz="8" w:space="0" w:color="auto"/>
              <w:left w:val="nil"/>
              <w:bottom w:val="single" w:sz="8" w:space="0" w:color="auto"/>
              <w:right w:val="single" w:sz="8" w:space="0" w:color="auto"/>
            </w:tcBorders>
            <w:shd w:val="clear" w:color="000000" w:fill="003876"/>
            <w:noWrap/>
            <w:vAlign w:val="center"/>
            <w:hideMark/>
          </w:tcPr>
          <w:p w14:paraId="2AD90369" w14:textId="77777777" w:rsidR="008670C1" w:rsidRPr="00A40ED9" w:rsidRDefault="008670C1" w:rsidP="006B204A">
            <w:pPr>
              <w:spacing w:after="0" w:line="360" w:lineRule="auto"/>
              <w:jc w:val="center"/>
              <w:rPr>
                <w:rFonts w:eastAsia="Times New Roman"/>
                <w:b/>
                <w:bCs/>
                <w:color w:val="FFFFFF"/>
                <w:lang w:val="es-DO"/>
              </w:rPr>
            </w:pPr>
            <w:r w:rsidRPr="00A40ED9">
              <w:rPr>
                <w:rFonts w:eastAsia="Times New Roman"/>
                <w:b/>
                <w:bCs/>
                <w:color w:val="FFFFFF"/>
                <w:lang w:val="es-DO"/>
              </w:rPr>
              <w:t>Presupuesto</w:t>
            </w:r>
          </w:p>
        </w:tc>
        <w:tc>
          <w:tcPr>
            <w:tcW w:w="1753" w:type="dxa"/>
            <w:tcBorders>
              <w:top w:val="single" w:sz="8" w:space="0" w:color="auto"/>
              <w:left w:val="nil"/>
              <w:bottom w:val="single" w:sz="8" w:space="0" w:color="auto"/>
              <w:right w:val="single" w:sz="8" w:space="0" w:color="auto"/>
            </w:tcBorders>
            <w:shd w:val="clear" w:color="000000" w:fill="003876"/>
            <w:noWrap/>
            <w:vAlign w:val="center"/>
            <w:hideMark/>
          </w:tcPr>
          <w:p w14:paraId="62649874" w14:textId="77777777" w:rsidR="008670C1" w:rsidRPr="00A40ED9" w:rsidRDefault="008670C1" w:rsidP="006B204A">
            <w:pPr>
              <w:spacing w:after="0" w:line="360" w:lineRule="auto"/>
              <w:jc w:val="center"/>
              <w:rPr>
                <w:rFonts w:eastAsia="Times New Roman"/>
                <w:b/>
                <w:bCs/>
                <w:color w:val="FFFFFF"/>
                <w:lang w:val="es-DO"/>
              </w:rPr>
            </w:pPr>
            <w:r w:rsidRPr="00A40ED9">
              <w:rPr>
                <w:rFonts w:eastAsia="Times New Roman"/>
                <w:b/>
                <w:bCs/>
                <w:color w:val="FFFFFF"/>
                <w:lang w:val="es-DO"/>
              </w:rPr>
              <w:t>Ejecutado</w:t>
            </w:r>
          </w:p>
        </w:tc>
        <w:tc>
          <w:tcPr>
            <w:tcW w:w="1718" w:type="dxa"/>
            <w:gridSpan w:val="2"/>
            <w:tcBorders>
              <w:top w:val="single" w:sz="8" w:space="0" w:color="auto"/>
              <w:left w:val="nil"/>
              <w:bottom w:val="single" w:sz="8" w:space="0" w:color="auto"/>
              <w:right w:val="single" w:sz="8" w:space="0" w:color="auto"/>
            </w:tcBorders>
            <w:shd w:val="clear" w:color="000000" w:fill="003876"/>
            <w:noWrap/>
            <w:vAlign w:val="center"/>
            <w:hideMark/>
          </w:tcPr>
          <w:p w14:paraId="483974A7" w14:textId="77777777" w:rsidR="008670C1" w:rsidRPr="00A40ED9" w:rsidRDefault="008670C1" w:rsidP="006B204A">
            <w:pPr>
              <w:spacing w:after="0" w:line="360" w:lineRule="auto"/>
              <w:jc w:val="center"/>
              <w:rPr>
                <w:rFonts w:eastAsia="Times New Roman"/>
                <w:b/>
                <w:bCs/>
                <w:color w:val="FFFFFF"/>
                <w:lang w:val="es-DO"/>
              </w:rPr>
            </w:pPr>
            <w:r w:rsidRPr="00A40ED9">
              <w:rPr>
                <w:rFonts w:eastAsia="Times New Roman"/>
                <w:b/>
                <w:bCs/>
                <w:color w:val="FFFFFF"/>
                <w:lang w:val="es-DO"/>
              </w:rPr>
              <w:t>Balance</w:t>
            </w:r>
          </w:p>
        </w:tc>
      </w:tr>
      <w:tr w:rsidR="008670C1" w:rsidRPr="00A40ED9" w14:paraId="00CD0D3A" w14:textId="77777777" w:rsidTr="00BE0AFF">
        <w:trPr>
          <w:trHeight w:val="241"/>
          <w:jc w:val="center"/>
        </w:trPr>
        <w:tc>
          <w:tcPr>
            <w:tcW w:w="3043" w:type="dxa"/>
            <w:gridSpan w:val="2"/>
            <w:tcBorders>
              <w:top w:val="nil"/>
              <w:left w:val="single" w:sz="8" w:space="0" w:color="auto"/>
              <w:bottom w:val="single" w:sz="8" w:space="0" w:color="auto"/>
              <w:right w:val="single" w:sz="8" w:space="0" w:color="auto"/>
            </w:tcBorders>
            <w:noWrap/>
            <w:vAlign w:val="center"/>
            <w:hideMark/>
          </w:tcPr>
          <w:p w14:paraId="454FA4F7" w14:textId="77777777" w:rsidR="008670C1" w:rsidRPr="004F5553" w:rsidRDefault="008670C1" w:rsidP="006B204A">
            <w:pPr>
              <w:spacing w:after="0" w:line="360" w:lineRule="auto"/>
              <w:rPr>
                <w:rFonts w:eastAsia="Times New Roman"/>
                <w:b/>
                <w:bCs/>
                <w:lang w:val="es-DO"/>
              </w:rPr>
            </w:pPr>
            <w:r w:rsidRPr="004F5553">
              <w:rPr>
                <w:rFonts w:eastAsia="Times New Roman"/>
                <w:b/>
                <w:bCs/>
                <w:lang w:val="es-DO"/>
              </w:rPr>
              <w:t>Alimentos y productos agroforestales</w:t>
            </w:r>
          </w:p>
        </w:tc>
        <w:tc>
          <w:tcPr>
            <w:tcW w:w="2038" w:type="dxa"/>
            <w:gridSpan w:val="2"/>
            <w:tcBorders>
              <w:top w:val="nil"/>
              <w:left w:val="nil"/>
              <w:bottom w:val="single" w:sz="8" w:space="0" w:color="auto"/>
              <w:right w:val="single" w:sz="8" w:space="0" w:color="auto"/>
            </w:tcBorders>
            <w:noWrap/>
            <w:vAlign w:val="center"/>
            <w:hideMark/>
          </w:tcPr>
          <w:p w14:paraId="1B786954" w14:textId="77777777" w:rsidR="008670C1" w:rsidRPr="00A40ED9" w:rsidRDefault="008670C1" w:rsidP="006B204A">
            <w:pPr>
              <w:spacing w:after="0" w:line="360" w:lineRule="auto"/>
              <w:jc w:val="center"/>
              <w:rPr>
                <w:rFonts w:eastAsia="Times New Roman"/>
                <w:lang w:val="es-DO"/>
              </w:rPr>
            </w:pPr>
            <w:r w:rsidRPr="00A40ED9">
              <w:rPr>
                <w:lang w:val="es-DO"/>
              </w:rPr>
              <w:t xml:space="preserve"> 22,111,056 </w:t>
            </w:r>
          </w:p>
        </w:tc>
        <w:tc>
          <w:tcPr>
            <w:tcW w:w="1753" w:type="dxa"/>
            <w:tcBorders>
              <w:top w:val="nil"/>
              <w:left w:val="nil"/>
              <w:bottom w:val="single" w:sz="8" w:space="0" w:color="auto"/>
              <w:right w:val="single" w:sz="8" w:space="0" w:color="auto"/>
            </w:tcBorders>
            <w:noWrap/>
            <w:vAlign w:val="center"/>
            <w:hideMark/>
          </w:tcPr>
          <w:p w14:paraId="756D8DEF" w14:textId="4E0B9A03" w:rsidR="008670C1" w:rsidRPr="00A40ED9" w:rsidRDefault="00CD3EDA" w:rsidP="006B204A">
            <w:pPr>
              <w:spacing w:after="0" w:line="360" w:lineRule="auto"/>
              <w:jc w:val="center"/>
              <w:rPr>
                <w:rFonts w:eastAsia="Times New Roman"/>
                <w:lang w:val="es-DO"/>
              </w:rPr>
            </w:pPr>
            <w:r w:rsidRPr="00CD3EDA">
              <w:rPr>
                <w:lang w:val="es-DO"/>
              </w:rPr>
              <w:t>13,207,935</w:t>
            </w:r>
          </w:p>
        </w:tc>
        <w:tc>
          <w:tcPr>
            <w:tcW w:w="1718" w:type="dxa"/>
            <w:gridSpan w:val="2"/>
            <w:tcBorders>
              <w:top w:val="nil"/>
              <w:left w:val="nil"/>
              <w:bottom w:val="single" w:sz="8" w:space="0" w:color="auto"/>
              <w:right w:val="single" w:sz="8" w:space="0" w:color="auto"/>
            </w:tcBorders>
            <w:noWrap/>
            <w:vAlign w:val="center"/>
            <w:hideMark/>
          </w:tcPr>
          <w:p w14:paraId="06EB028A" w14:textId="77E65A4C" w:rsidR="008670C1" w:rsidRPr="00A40ED9" w:rsidRDefault="00CD3EDA" w:rsidP="006B204A">
            <w:pPr>
              <w:spacing w:after="0" w:line="360" w:lineRule="auto"/>
              <w:jc w:val="center"/>
              <w:rPr>
                <w:rFonts w:eastAsia="Times New Roman"/>
                <w:lang w:val="es-DO"/>
              </w:rPr>
            </w:pPr>
            <w:r w:rsidRPr="00CD3EDA">
              <w:rPr>
                <w:lang w:val="es-DO"/>
              </w:rPr>
              <w:t>8,903,121</w:t>
            </w:r>
          </w:p>
        </w:tc>
      </w:tr>
      <w:tr w:rsidR="008670C1" w:rsidRPr="00A40ED9" w14:paraId="36F02FAA" w14:textId="77777777" w:rsidTr="00BE0AFF">
        <w:trPr>
          <w:trHeight w:val="241"/>
          <w:jc w:val="center"/>
        </w:trPr>
        <w:tc>
          <w:tcPr>
            <w:tcW w:w="3043" w:type="dxa"/>
            <w:gridSpan w:val="2"/>
            <w:tcBorders>
              <w:top w:val="nil"/>
              <w:left w:val="single" w:sz="8" w:space="0" w:color="auto"/>
              <w:bottom w:val="single" w:sz="8" w:space="0" w:color="auto"/>
              <w:right w:val="single" w:sz="8" w:space="0" w:color="auto"/>
            </w:tcBorders>
            <w:noWrap/>
            <w:vAlign w:val="center"/>
            <w:hideMark/>
          </w:tcPr>
          <w:p w14:paraId="55811A2C" w14:textId="77777777" w:rsidR="008670C1" w:rsidRPr="004F5553" w:rsidRDefault="008670C1" w:rsidP="006B204A">
            <w:pPr>
              <w:spacing w:after="0" w:line="360" w:lineRule="auto"/>
              <w:rPr>
                <w:rFonts w:eastAsia="Times New Roman"/>
                <w:b/>
                <w:bCs/>
                <w:lang w:val="es-DO"/>
              </w:rPr>
            </w:pPr>
            <w:r w:rsidRPr="004F5553">
              <w:rPr>
                <w:rFonts w:eastAsia="Times New Roman"/>
                <w:b/>
                <w:bCs/>
                <w:lang w:val="es-DO"/>
              </w:rPr>
              <w:t>Textiles y vestuarios</w:t>
            </w:r>
          </w:p>
        </w:tc>
        <w:tc>
          <w:tcPr>
            <w:tcW w:w="2038" w:type="dxa"/>
            <w:gridSpan w:val="2"/>
            <w:tcBorders>
              <w:top w:val="nil"/>
              <w:left w:val="nil"/>
              <w:bottom w:val="single" w:sz="8" w:space="0" w:color="auto"/>
              <w:right w:val="single" w:sz="8" w:space="0" w:color="auto"/>
            </w:tcBorders>
            <w:noWrap/>
            <w:vAlign w:val="center"/>
            <w:hideMark/>
          </w:tcPr>
          <w:p w14:paraId="54D5FB5A" w14:textId="77777777" w:rsidR="008670C1" w:rsidRPr="00A40ED9" w:rsidRDefault="008670C1" w:rsidP="006B204A">
            <w:pPr>
              <w:spacing w:after="0" w:line="360" w:lineRule="auto"/>
              <w:jc w:val="center"/>
              <w:rPr>
                <w:rFonts w:eastAsia="Times New Roman"/>
                <w:lang w:val="es-DO"/>
              </w:rPr>
            </w:pPr>
            <w:r w:rsidRPr="00A40ED9">
              <w:rPr>
                <w:lang w:val="es-DO"/>
              </w:rPr>
              <w:t xml:space="preserve"> 358,103 </w:t>
            </w:r>
          </w:p>
        </w:tc>
        <w:tc>
          <w:tcPr>
            <w:tcW w:w="1753" w:type="dxa"/>
            <w:tcBorders>
              <w:top w:val="nil"/>
              <w:left w:val="nil"/>
              <w:bottom w:val="single" w:sz="8" w:space="0" w:color="auto"/>
              <w:right w:val="single" w:sz="8" w:space="0" w:color="auto"/>
            </w:tcBorders>
            <w:noWrap/>
            <w:vAlign w:val="center"/>
            <w:hideMark/>
          </w:tcPr>
          <w:p w14:paraId="30188A2E" w14:textId="1D0B1C76" w:rsidR="008670C1" w:rsidRPr="00A40ED9" w:rsidRDefault="00CD3EDA" w:rsidP="006B204A">
            <w:pPr>
              <w:spacing w:after="0" w:line="360" w:lineRule="auto"/>
              <w:jc w:val="center"/>
              <w:rPr>
                <w:rFonts w:eastAsia="Times New Roman"/>
                <w:lang w:val="es-DO"/>
              </w:rPr>
            </w:pPr>
            <w:r w:rsidRPr="00CD3EDA">
              <w:rPr>
                <w:lang w:val="es-DO"/>
              </w:rPr>
              <w:t>601,256</w:t>
            </w:r>
          </w:p>
        </w:tc>
        <w:tc>
          <w:tcPr>
            <w:tcW w:w="1718" w:type="dxa"/>
            <w:gridSpan w:val="2"/>
            <w:tcBorders>
              <w:top w:val="nil"/>
              <w:left w:val="nil"/>
              <w:bottom w:val="single" w:sz="8" w:space="0" w:color="auto"/>
              <w:right w:val="single" w:sz="8" w:space="0" w:color="auto"/>
            </w:tcBorders>
            <w:noWrap/>
            <w:vAlign w:val="center"/>
            <w:hideMark/>
          </w:tcPr>
          <w:p w14:paraId="3879E26D" w14:textId="054EB5B8" w:rsidR="008670C1" w:rsidRPr="00A40ED9" w:rsidRDefault="00CD3EDA" w:rsidP="006B204A">
            <w:pPr>
              <w:spacing w:after="0" w:line="360" w:lineRule="auto"/>
              <w:jc w:val="center"/>
              <w:rPr>
                <w:rFonts w:eastAsia="Times New Roman"/>
                <w:lang w:val="es-DO"/>
              </w:rPr>
            </w:pPr>
            <w:r w:rsidRPr="00CD3EDA">
              <w:rPr>
                <w:lang w:val="es-DO"/>
              </w:rPr>
              <w:t>-243,153</w:t>
            </w:r>
          </w:p>
        </w:tc>
      </w:tr>
      <w:tr w:rsidR="008670C1" w:rsidRPr="00A40ED9" w14:paraId="407449F4" w14:textId="77777777" w:rsidTr="00BE0AFF">
        <w:trPr>
          <w:trHeight w:val="241"/>
          <w:jc w:val="center"/>
        </w:trPr>
        <w:tc>
          <w:tcPr>
            <w:tcW w:w="3043" w:type="dxa"/>
            <w:gridSpan w:val="2"/>
            <w:tcBorders>
              <w:top w:val="nil"/>
              <w:left w:val="single" w:sz="8" w:space="0" w:color="auto"/>
              <w:bottom w:val="single" w:sz="8" w:space="0" w:color="auto"/>
              <w:right w:val="single" w:sz="8" w:space="0" w:color="auto"/>
            </w:tcBorders>
            <w:noWrap/>
            <w:vAlign w:val="center"/>
            <w:hideMark/>
          </w:tcPr>
          <w:p w14:paraId="37614BD9" w14:textId="77777777" w:rsidR="008670C1" w:rsidRPr="004F5553" w:rsidRDefault="008670C1" w:rsidP="006B204A">
            <w:pPr>
              <w:spacing w:after="0" w:line="360" w:lineRule="auto"/>
              <w:rPr>
                <w:rFonts w:eastAsia="Times New Roman"/>
                <w:b/>
                <w:bCs/>
                <w:lang w:val="es-DO"/>
              </w:rPr>
            </w:pPr>
            <w:r w:rsidRPr="004F5553">
              <w:rPr>
                <w:rFonts w:eastAsia="Times New Roman"/>
                <w:b/>
                <w:bCs/>
                <w:lang w:val="es-DO"/>
              </w:rPr>
              <w:t>Productos de papel, cartón e impresos</w:t>
            </w:r>
          </w:p>
        </w:tc>
        <w:tc>
          <w:tcPr>
            <w:tcW w:w="2038" w:type="dxa"/>
            <w:gridSpan w:val="2"/>
            <w:tcBorders>
              <w:top w:val="nil"/>
              <w:left w:val="nil"/>
              <w:bottom w:val="single" w:sz="8" w:space="0" w:color="auto"/>
              <w:right w:val="single" w:sz="8" w:space="0" w:color="auto"/>
            </w:tcBorders>
            <w:noWrap/>
            <w:vAlign w:val="center"/>
            <w:hideMark/>
          </w:tcPr>
          <w:p w14:paraId="2AA79B6D" w14:textId="77777777" w:rsidR="008670C1" w:rsidRPr="00A40ED9" w:rsidRDefault="008670C1" w:rsidP="006B204A">
            <w:pPr>
              <w:spacing w:after="0" w:line="360" w:lineRule="auto"/>
              <w:jc w:val="center"/>
              <w:rPr>
                <w:rFonts w:eastAsia="Times New Roman"/>
                <w:lang w:val="es-DO"/>
              </w:rPr>
            </w:pPr>
            <w:r w:rsidRPr="00A40ED9">
              <w:rPr>
                <w:lang w:val="es-DO"/>
              </w:rPr>
              <w:t xml:space="preserve"> 6,222,216 </w:t>
            </w:r>
          </w:p>
        </w:tc>
        <w:tc>
          <w:tcPr>
            <w:tcW w:w="1753" w:type="dxa"/>
            <w:tcBorders>
              <w:top w:val="nil"/>
              <w:left w:val="nil"/>
              <w:bottom w:val="single" w:sz="8" w:space="0" w:color="auto"/>
              <w:right w:val="single" w:sz="8" w:space="0" w:color="auto"/>
            </w:tcBorders>
            <w:noWrap/>
            <w:vAlign w:val="center"/>
            <w:hideMark/>
          </w:tcPr>
          <w:p w14:paraId="7B026508" w14:textId="083567BB" w:rsidR="008670C1" w:rsidRPr="00A40ED9" w:rsidRDefault="00CD3EDA" w:rsidP="006B204A">
            <w:pPr>
              <w:spacing w:after="0" w:line="360" w:lineRule="auto"/>
              <w:jc w:val="center"/>
              <w:rPr>
                <w:rFonts w:eastAsia="Times New Roman"/>
                <w:lang w:val="es-DO"/>
              </w:rPr>
            </w:pPr>
            <w:r w:rsidRPr="00CD3EDA">
              <w:rPr>
                <w:lang w:val="es-DO"/>
              </w:rPr>
              <w:t>1,528,039</w:t>
            </w:r>
          </w:p>
        </w:tc>
        <w:tc>
          <w:tcPr>
            <w:tcW w:w="1718" w:type="dxa"/>
            <w:gridSpan w:val="2"/>
            <w:tcBorders>
              <w:top w:val="nil"/>
              <w:left w:val="nil"/>
              <w:bottom w:val="single" w:sz="8" w:space="0" w:color="auto"/>
              <w:right w:val="single" w:sz="8" w:space="0" w:color="auto"/>
            </w:tcBorders>
            <w:noWrap/>
            <w:vAlign w:val="center"/>
            <w:hideMark/>
          </w:tcPr>
          <w:p w14:paraId="25EAEC34" w14:textId="658CD8E5" w:rsidR="008670C1" w:rsidRPr="00A40ED9" w:rsidRDefault="00CD3EDA" w:rsidP="006B204A">
            <w:pPr>
              <w:spacing w:after="0" w:line="360" w:lineRule="auto"/>
              <w:jc w:val="center"/>
              <w:rPr>
                <w:rFonts w:eastAsia="Times New Roman"/>
                <w:lang w:val="es-DO"/>
              </w:rPr>
            </w:pPr>
            <w:r w:rsidRPr="00CD3EDA">
              <w:rPr>
                <w:lang w:val="es-DO"/>
              </w:rPr>
              <w:t>4,694,177</w:t>
            </w:r>
          </w:p>
        </w:tc>
      </w:tr>
      <w:tr w:rsidR="008670C1" w:rsidRPr="00A40ED9" w14:paraId="40CD6291" w14:textId="77777777" w:rsidTr="00BE0AFF">
        <w:trPr>
          <w:trHeight w:val="241"/>
          <w:jc w:val="center"/>
        </w:trPr>
        <w:tc>
          <w:tcPr>
            <w:tcW w:w="3043" w:type="dxa"/>
            <w:gridSpan w:val="2"/>
            <w:tcBorders>
              <w:top w:val="nil"/>
              <w:left w:val="single" w:sz="8" w:space="0" w:color="auto"/>
              <w:bottom w:val="single" w:sz="8" w:space="0" w:color="auto"/>
              <w:right w:val="single" w:sz="8" w:space="0" w:color="auto"/>
            </w:tcBorders>
            <w:noWrap/>
            <w:vAlign w:val="center"/>
            <w:hideMark/>
          </w:tcPr>
          <w:p w14:paraId="4845DEEC" w14:textId="77777777" w:rsidR="008670C1" w:rsidRPr="004F5553" w:rsidRDefault="008670C1" w:rsidP="006B204A">
            <w:pPr>
              <w:spacing w:after="0" w:line="360" w:lineRule="auto"/>
              <w:rPr>
                <w:rFonts w:eastAsia="Times New Roman"/>
                <w:b/>
                <w:bCs/>
                <w:lang w:val="es-DO"/>
              </w:rPr>
            </w:pPr>
            <w:r w:rsidRPr="004F5553">
              <w:rPr>
                <w:rFonts w:eastAsia="Times New Roman"/>
                <w:b/>
                <w:bCs/>
                <w:lang w:val="es-DO"/>
              </w:rPr>
              <w:t>Productos farmacéuticos</w:t>
            </w:r>
          </w:p>
        </w:tc>
        <w:tc>
          <w:tcPr>
            <w:tcW w:w="2038" w:type="dxa"/>
            <w:gridSpan w:val="2"/>
            <w:tcBorders>
              <w:top w:val="nil"/>
              <w:left w:val="nil"/>
              <w:bottom w:val="single" w:sz="8" w:space="0" w:color="auto"/>
              <w:right w:val="single" w:sz="8" w:space="0" w:color="auto"/>
            </w:tcBorders>
            <w:noWrap/>
            <w:vAlign w:val="center"/>
            <w:hideMark/>
          </w:tcPr>
          <w:p w14:paraId="3B85CFF0" w14:textId="77777777" w:rsidR="008670C1" w:rsidRPr="00A40ED9" w:rsidRDefault="008670C1" w:rsidP="006B204A">
            <w:pPr>
              <w:spacing w:after="0" w:line="360" w:lineRule="auto"/>
              <w:jc w:val="center"/>
              <w:rPr>
                <w:rFonts w:eastAsia="Times New Roman"/>
                <w:lang w:val="es-DO"/>
              </w:rPr>
            </w:pPr>
            <w:r w:rsidRPr="00A40ED9">
              <w:rPr>
                <w:lang w:val="es-DO"/>
              </w:rPr>
              <w:t xml:space="preserve"> 144,405 </w:t>
            </w:r>
          </w:p>
        </w:tc>
        <w:tc>
          <w:tcPr>
            <w:tcW w:w="1753" w:type="dxa"/>
            <w:tcBorders>
              <w:top w:val="nil"/>
              <w:left w:val="nil"/>
              <w:bottom w:val="single" w:sz="8" w:space="0" w:color="auto"/>
              <w:right w:val="single" w:sz="8" w:space="0" w:color="auto"/>
            </w:tcBorders>
            <w:noWrap/>
            <w:vAlign w:val="center"/>
            <w:hideMark/>
          </w:tcPr>
          <w:p w14:paraId="1786F99D" w14:textId="77777777" w:rsidR="008670C1" w:rsidRPr="00A40ED9" w:rsidRDefault="008670C1" w:rsidP="006B204A">
            <w:pPr>
              <w:spacing w:after="0" w:line="360" w:lineRule="auto"/>
              <w:jc w:val="center"/>
              <w:rPr>
                <w:rFonts w:eastAsia="Times New Roman"/>
                <w:lang w:val="es-DO"/>
              </w:rPr>
            </w:pPr>
            <w:r w:rsidRPr="00A40ED9">
              <w:rPr>
                <w:lang w:val="es-DO"/>
              </w:rPr>
              <w:t>94,755</w:t>
            </w:r>
          </w:p>
        </w:tc>
        <w:tc>
          <w:tcPr>
            <w:tcW w:w="1718" w:type="dxa"/>
            <w:gridSpan w:val="2"/>
            <w:tcBorders>
              <w:top w:val="nil"/>
              <w:left w:val="nil"/>
              <w:bottom w:val="single" w:sz="8" w:space="0" w:color="auto"/>
              <w:right w:val="single" w:sz="8" w:space="0" w:color="auto"/>
            </w:tcBorders>
            <w:noWrap/>
            <w:vAlign w:val="center"/>
            <w:hideMark/>
          </w:tcPr>
          <w:p w14:paraId="3022C431" w14:textId="77777777" w:rsidR="008670C1" w:rsidRPr="00A40ED9" w:rsidRDefault="008670C1" w:rsidP="006B204A">
            <w:pPr>
              <w:spacing w:after="0" w:line="360" w:lineRule="auto"/>
              <w:jc w:val="center"/>
              <w:rPr>
                <w:rFonts w:eastAsia="Times New Roman"/>
                <w:lang w:val="es-DO"/>
              </w:rPr>
            </w:pPr>
            <w:r w:rsidRPr="00A40ED9">
              <w:rPr>
                <w:lang w:val="es-DO"/>
              </w:rPr>
              <w:t>49,650</w:t>
            </w:r>
          </w:p>
        </w:tc>
      </w:tr>
      <w:tr w:rsidR="008670C1" w:rsidRPr="00A40ED9" w14:paraId="533EC6AB" w14:textId="77777777" w:rsidTr="00BE0AFF">
        <w:trPr>
          <w:trHeight w:val="241"/>
          <w:jc w:val="center"/>
        </w:trPr>
        <w:tc>
          <w:tcPr>
            <w:tcW w:w="3043" w:type="dxa"/>
            <w:gridSpan w:val="2"/>
            <w:tcBorders>
              <w:top w:val="nil"/>
              <w:left w:val="single" w:sz="8" w:space="0" w:color="auto"/>
              <w:bottom w:val="single" w:sz="8" w:space="0" w:color="auto"/>
              <w:right w:val="single" w:sz="8" w:space="0" w:color="auto"/>
            </w:tcBorders>
            <w:noWrap/>
            <w:vAlign w:val="center"/>
            <w:hideMark/>
          </w:tcPr>
          <w:p w14:paraId="224B3B8E" w14:textId="77777777" w:rsidR="008670C1" w:rsidRPr="004F5553" w:rsidRDefault="008670C1" w:rsidP="006B204A">
            <w:pPr>
              <w:spacing w:after="0" w:line="360" w:lineRule="auto"/>
              <w:rPr>
                <w:rFonts w:eastAsia="Times New Roman"/>
                <w:b/>
                <w:bCs/>
                <w:lang w:val="es-DO"/>
              </w:rPr>
            </w:pPr>
            <w:r w:rsidRPr="004F5553">
              <w:rPr>
                <w:rFonts w:eastAsia="Times New Roman"/>
                <w:b/>
                <w:bCs/>
                <w:lang w:val="es-DO"/>
              </w:rPr>
              <w:t>Productos de cuero, caucho y plástico</w:t>
            </w:r>
          </w:p>
        </w:tc>
        <w:tc>
          <w:tcPr>
            <w:tcW w:w="2038" w:type="dxa"/>
            <w:gridSpan w:val="2"/>
            <w:tcBorders>
              <w:top w:val="nil"/>
              <w:left w:val="nil"/>
              <w:bottom w:val="single" w:sz="8" w:space="0" w:color="auto"/>
              <w:right w:val="single" w:sz="8" w:space="0" w:color="auto"/>
            </w:tcBorders>
            <w:noWrap/>
            <w:vAlign w:val="center"/>
            <w:hideMark/>
          </w:tcPr>
          <w:p w14:paraId="3B38791F" w14:textId="77777777" w:rsidR="008670C1" w:rsidRPr="00A40ED9" w:rsidRDefault="008670C1" w:rsidP="006B204A">
            <w:pPr>
              <w:spacing w:after="0" w:line="360" w:lineRule="auto"/>
              <w:jc w:val="center"/>
              <w:rPr>
                <w:rFonts w:eastAsia="Times New Roman"/>
                <w:lang w:val="es-DO"/>
              </w:rPr>
            </w:pPr>
            <w:r w:rsidRPr="00A40ED9">
              <w:rPr>
                <w:lang w:val="es-DO"/>
              </w:rPr>
              <w:t xml:space="preserve"> 85,588 </w:t>
            </w:r>
          </w:p>
        </w:tc>
        <w:tc>
          <w:tcPr>
            <w:tcW w:w="1753" w:type="dxa"/>
            <w:tcBorders>
              <w:top w:val="nil"/>
              <w:left w:val="nil"/>
              <w:bottom w:val="single" w:sz="8" w:space="0" w:color="auto"/>
              <w:right w:val="single" w:sz="8" w:space="0" w:color="auto"/>
            </w:tcBorders>
            <w:noWrap/>
            <w:vAlign w:val="center"/>
            <w:hideMark/>
          </w:tcPr>
          <w:p w14:paraId="008B7F7E" w14:textId="77777777" w:rsidR="008670C1" w:rsidRPr="00A40ED9" w:rsidRDefault="008670C1" w:rsidP="006B204A">
            <w:pPr>
              <w:spacing w:after="0" w:line="360" w:lineRule="auto"/>
              <w:jc w:val="center"/>
              <w:rPr>
                <w:rFonts w:eastAsia="Times New Roman"/>
                <w:lang w:val="es-DO"/>
              </w:rPr>
            </w:pPr>
            <w:r w:rsidRPr="00A40ED9">
              <w:rPr>
                <w:lang w:val="es-DO"/>
              </w:rPr>
              <w:t>208,789</w:t>
            </w:r>
          </w:p>
        </w:tc>
        <w:tc>
          <w:tcPr>
            <w:tcW w:w="1718" w:type="dxa"/>
            <w:gridSpan w:val="2"/>
            <w:tcBorders>
              <w:top w:val="nil"/>
              <w:left w:val="nil"/>
              <w:bottom w:val="single" w:sz="8" w:space="0" w:color="auto"/>
              <w:right w:val="single" w:sz="8" w:space="0" w:color="auto"/>
            </w:tcBorders>
            <w:noWrap/>
            <w:vAlign w:val="center"/>
            <w:hideMark/>
          </w:tcPr>
          <w:p w14:paraId="02A6C777" w14:textId="77777777" w:rsidR="008670C1" w:rsidRPr="00A40ED9" w:rsidRDefault="008670C1" w:rsidP="006B204A">
            <w:pPr>
              <w:spacing w:after="0" w:line="360" w:lineRule="auto"/>
              <w:jc w:val="center"/>
              <w:rPr>
                <w:rFonts w:eastAsia="Times New Roman"/>
                <w:lang w:val="es-DO"/>
              </w:rPr>
            </w:pPr>
            <w:r w:rsidRPr="00A40ED9">
              <w:rPr>
                <w:lang w:val="es-DO"/>
              </w:rPr>
              <w:t>-123,201</w:t>
            </w:r>
          </w:p>
        </w:tc>
      </w:tr>
      <w:tr w:rsidR="000C6843" w:rsidRPr="00A40ED9" w14:paraId="024CA0FA" w14:textId="77777777" w:rsidTr="003A11A2">
        <w:trPr>
          <w:trHeight w:val="241"/>
          <w:jc w:val="center"/>
        </w:trPr>
        <w:tc>
          <w:tcPr>
            <w:tcW w:w="3043" w:type="dxa"/>
            <w:gridSpan w:val="2"/>
            <w:tcBorders>
              <w:top w:val="single" w:sz="8" w:space="0" w:color="auto"/>
              <w:left w:val="single" w:sz="8" w:space="0" w:color="auto"/>
              <w:bottom w:val="single" w:sz="8" w:space="0" w:color="auto"/>
              <w:right w:val="single" w:sz="8" w:space="0" w:color="auto"/>
            </w:tcBorders>
            <w:shd w:val="clear" w:color="000000" w:fill="003876"/>
            <w:noWrap/>
            <w:vAlign w:val="center"/>
            <w:hideMark/>
          </w:tcPr>
          <w:p w14:paraId="3B6E0D34" w14:textId="77777777" w:rsidR="000C6843" w:rsidRPr="00A40ED9" w:rsidRDefault="000C6843" w:rsidP="003A11A2">
            <w:pPr>
              <w:spacing w:after="0" w:line="360" w:lineRule="auto"/>
              <w:rPr>
                <w:rFonts w:eastAsia="Times New Roman"/>
                <w:b/>
                <w:bCs/>
                <w:color w:val="FFFFFF"/>
                <w:lang w:val="es-DO"/>
              </w:rPr>
            </w:pPr>
            <w:r w:rsidRPr="00A40ED9">
              <w:rPr>
                <w:rFonts w:eastAsia="Times New Roman"/>
                <w:b/>
                <w:bCs/>
                <w:color w:val="FFFFFF"/>
                <w:lang w:val="es-DO"/>
              </w:rPr>
              <w:lastRenderedPageBreak/>
              <w:t>Materiales y suministros</w:t>
            </w:r>
          </w:p>
        </w:tc>
        <w:tc>
          <w:tcPr>
            <w:tcW w:w="2038" w:type="dxa"/>
            <w:gridSpan w:val="2"/>
            <w:tcBorders>
              <w:top w:val="single" w:sz="8" w:space="0" w:color="auto"/>
              <w:left w:val="nil"/>
              <w:bottom w:val="single" w:sz="8" w:space="0" w:color="auto"/>
              <w:right w:val="single" w:sz="8" w:space="0" w:color="auto"/>
            </w:tcBorders>
            <w:shd w:val="clear" w:color="000000" w:fill="003876"/>
            <w:noWrap/>
            <w:vAlign w:val="center"/>
            <w:hideMark/>
          </w:tcPr>
          <w:p w14:paraId="07FD60F5" w14:textId="77777777" w:rsidR="000C6843" w:rsidRPr="00A40ED9" w:rsidRDefault="000C6843" w:rsidP="003A11A2">
            <w:pPr>
              <w:spacing w:after="0" w:line="360" w:lineRule="auto"/>
              <w:jc w:val="center"/>
              <w:rPr>
                <w:rFonts w:eastAsia="Times New Roman"/>
                <w:b/>
                <w:bCs/>
                <w:color w:val="FFFFFF"/>
                <w:lang w:val="es-DO"/>
              </w:rPr>
            </w:pPr>
            <w:r w:rsidRPr="00A40ED9">
              <w:rPr>
                <w:rFonts w:eastAsia="Times New Roman"/>
                <w:b/>
                <w:bCs/>
                <w:color w:val="FFFFFF"/>
                <w:lang w:val="es-DO"/>
              </w:rPr>
              <w:t>Presupuesto</w:t>
            </w:r>
          </w:p>
        </w:tc>
        <w:tc>
          <w:tcPr>
            <w:tcW w:w="1753" w:type="dxa"/>
            <w:tcBorders>
              <w:top w:val="single" w:sz="8" w:space="0" w:color="auto"/>
              <w:left w:val="nil"/>
              <w:bottom w:val="single" w:sz="8" w:space="0" w:color="auto"/>
              <w:right w:val="single" w:sz="8" w:space="0" w:color="auto"/>
            </w:tcBorders>
            <w:shd w:val="clear" w:color="000000" w:fill="003876"/>
            <w:noWrap/>
            <w:vAlign w:val="center"/>
            <w:hideMark/>
          </w:tcPr>
          <w:p w14:paraId="1E7D3B0C" w14:textId="77777777" w:rsidR="000C6843" w:rsidRPr="00A40ED9" w:rsidRDefault="000C6843" w:rsidP="003A11A2">
            <w:pPr>
              <w:spacing w:after="0" w:line="360" w:lineRule="auto"/>
              <w:jc w:val="center"/>
              <w:rPr>
                <w:rFonts w:eastAsia="Times New Roman"/>
                <w:b/>
                <w:bCs/>
                <w:color w:val="FFFFFF"/>
                <w:lang w:val="es-DO"/>
              </w:rPr>
            </w:pPr>
            <w:r w:rsidRPr="00A40ED9">
              <w:rPr>
                <w:rFonts w:eastAsia="Times New Roman"/>
                <w:b/>
                <w:bCs/>
                <w:color w:val="FFFFFF"/>
                <w:lang w:val="es-DO"/>
              </w:rPr>
              <w:t>Ejecutado</w:t>
            </w:r>
          </w:p>
        </w:tc>
        <w:tc>
          <w:tcPr>
            <w:tcW w:w="1718" w:type="dxa"/>
            <w:gridSpan w:val="2"/>
            <w:tcBorders>
              <w:top w:val="single" w:sz="8" w:space="0" w:color="auto"/>
              <w:left w:val="nil"/>
              <w:bottom w:val="single" w:sz="8" w:space="0" w:color="auto"/>
              <w:right w:val="single" w:sz="8" w:space="0" w:color="auto"/>
            </w:tcBorders>
            <w:shd w:val="clear" w:color="000000" w:fill="003876"/>
            <w:noWrap/>
            <w:vAlign w:val="center"/>
            <w:hideMark/>
          </w:tcPr>
          <w:p w14:paraId="454EFCFF" w14:textId="77777777" w:rsidR="000C6843" w:rsidRPr="00A40ED9" w:rsidRDefault="000C6843" w:rsidP="003A11A2">
            <w:pPr>
              <w:spacing w:after="0" w:line="360" w:lineRule="auto"/>
              <w:jc w:val="center"/>
              <w:rPr>
                <w:rFonts w:eastAsia="Times New Roman"/>
                <w:b/>
                <w:bCs/>
                <w:color w:val="FFFFFF"/>
                <w:lang w:val="es-DO"/>
              </w:rPr>
            </w:pPr>
            <w:r w:rsidRPr="00A40ED9">
              <w:rPr>
                <w:rFonts w:eastAsia="Times New Roman"/>
                <w:b/>
                <w:bCs/>
                <w:color w:val="FFFFFF"/>
                <w:lang w:val="es-DO"/>
              </w:rPr>
              <w:t>Balance</w:t>
            </w:r>
          </w:p>
        </w:tc>
      </w:tr>
      <w:tr w:rsidR="008670C1" w:rsidRPr="00A40ED9" w14:paraId="7D1682D7" w14:textId="77777777" w:rsidTr="00BE0AFF">
        <w:trPr>
          <w:trHeight w:val="241"/>
          <w:jc w:val="center"/>
        </w:trPr>
        <w:tc>
          <w:tcPr>
            <w:tcW w:w="3043" w:type="dxa"/>
            <w:gridSpan w:val="2"/>
            <w:tcBorders>
              <w:top w:val="nil"/>
              <w:left w:val="single" w:sz="8" w:space="0" w:color="auto"/>
              <w:bottom w:val="single" w:sz="8" w:space="0" w:color="auto"/>
              <w:right w:val="single" w:sz="8" w:space="0" w:color="auto"/>
            </w:tcBorders>
            <w:noWrap/>
            <w:vAlign w:val="center"/>
            <w:hideMark/>
          </w:tcPr>
          <w:p w14:paraId="2A587A6E" w14:textId="77777777" w:rsidR="008670C1" w:rsidRPr="004F5553" w:rsidRDefault="008670C1" w:rsidP="006B204A">
            <w:pPr>
              <w:spacing w:after="0" w:line="360" w:lineRule="auto"/>
              <w:rPr>
                <w:rFonts w:eastAsia="Times New Roman"/>
                <w:b/>
                <w:bCs/>
                <w:lang w:val="es-DO"/>
              </w:rPr>
            </w:pPr>
            <w:r w:rsidRPr="004F5553">
              <w:rPr>
                <w:rFonts w:eastAsia="Times New Roman"/>
                <w:b/>
                <w:bCs/>
                <w:lang w:val="es-DO"/>
              </w:rPr>
              <w:t>Productos de minerales, metálicos y no metálicos</w:t>
            </w:r>
          </w:p>
        </w:tc>
        <w:tc>
          <w:tcPr>
            <w:tcW w:w="2038" w:type="dxa"/>
            <w:gridSpan w:val="2"/>
            <w:tcBorders>
              <w:top w:val="nil"/>
              <w:left w:val="nil"/>
              <w:bottom w:val="single" w:sz="8" w:space="0" w:color="auto"/>
              <w:right w:val="single" w:sz="8" w:space="0" w:color="auto"/>
            </w:tcBorders>
            <w:noWrap/>
            <w:vAlign w:val="center"/>
            <w:hideMark/>
          </w:tcPr>
          <w:p w14:paraId="1F5D9332" w14:textId="77777777" w:rsidR="008670C1" w:rsidRPr="00A40ED9" w:rsidRDefault="008670C1" w:rsidP="006B204A">
            <w:pPr>
              <w:spacing w:after="0" w:line="360" w:lineRule="auto"/>
              <w:jc w:val="center"/>
              <w:rPr>
                <w:rFonts w:eastAsia="Times New Roman"/>
                <w:lang w:val="es-DO"/>
              </w:rPr>
            </w:pPr>
            <w:r w:rsidRPr="00A40ED9">
              <w:rPr>
                <w:lang w:val="es-DO"/>
              </w:rPr>
              <w:t xml:space="preserve"> 783,821 </w:t>
            </w:r>
          </w:p>
        </w:tc>
        <w:tc>
          <w:tcPr>
            <w:tcW w:w="1753" w:type="dxa"/>
            <w:tcBorders>
              <w:top w:val="nil"/>
              <w:left w:val="nil"/>
              <w:bottom w:val="single" w:sz="8" w:space="0" w:color="auto"/>
              <w:right w:val="single" w:sz="8" w:space="0" w:color="auto"/>
            </w:tcBorders>
            <w:noWrap/>
            <w:vAlign w:val="center"/>
            <w:hideMark/>
          </w:tcPr>
          <w:p w14:paraId="63E4B8B5" w14:textId="0598FB81" w:rsidR="008670C1" w:rsidRPr="00A40ED9" w:rsidRDefault="00CD3EDA" w:rsidP="006B204A">
            <w:pPr>
              <w:spacing w:after="0" w:line="360" w:lineRule="auto"/>
              <w:jc w:val="center"/>
              <w:rPr>
                <w:rFonts w:eastAsia="Times New Roman"/>
                <w:lang w:val="es-DO"/>
              </w:rPr>
            </w:pPr>
            <w:r w:rsidRPr="00CD3EDA">
              <w:rPr>
                <w:lang w:val="es-DO"/>
              </w:rPr>
              <w:t>136,427</w:t>
            </w:r>
          </w:p>
        </w:tc>
        <w:tc>
          <w:tcPr>
            <w:tcW w:w="1718" w:type="dxa"/>
            <w:gridSpan w:val="2"/>
            <w:tcBorders>
              <w:top w:val="nil"/>
              <w:left w:val="nil"/>
              <w:bottom w:val="single" w:sz="8" w:space="0" w:color="auto"/>
              <w:right w:val="single" w:sz="8" w:space="0" w:color="auto"/>
            </w:tcBorders>
            <w:noWrap/>
            <w:vAlign w:val="center"/>
            <w:hideMark/>
          </w:tcPr>
          <w:p w14:paraId="588EE5E6" w14:textId="2FE779E7" w:rsidR="008670C1" w:rsidRPr="00A40ED9" w:rsidRDefault="00CD3EDA" w:rsidP="006B204A">
            <w:pPr>
              <w:spacing w:after="0" w:line="360" w:lineRule="auto"/>
              <w:jc w:val="center"/>
              <w:rPr>
                <w:rFonts w:eastAsia="Times New Roman"/>
                <w:lang w:val="es-DO"/>
              </w:rPr>
            </w:pPr>
            <w:r w:rsidRPr="00CD3EDA">
              <w:rPr>
                <w:lang w:val="es-DO"/>
              </w:rPr>
              <w:t>647,394</w:t>
            </w:r>
          </w:p>
        </w:tc>
      </w:tr>
      <w:tr w:rsidR="008670C1" w:rsidRPr="00A40ED9" w14:paraId="2B0080F4" w14:textId="77777777" w:rsidTr="00BE0AFF">
        <w:trPr>
          <w:trHeight w:val="241"/>
          <w:jc w:val="center"/>
        </w:trPr>
        <w:tc>
          <w:tcPr>
            <w:tcW w:w="3043" w:type="dxa"/>
            <w:gridSpan w:val="2"/>
            <w:tcBorders>
              <w:top w:val="nil"/>
              <w:left w:val="single" w:sz="8" w:space="0" w:color="auto"/>
              <w:bottom w:val="single" w:sz="8" w:space="0" w:color="auto"/>
              <w:right w:val="single" w:sz="8" w:space="0" w:color="auto"/>
            </w:tcBorders>
            <w:noWrap/>
            <w:vAlign w:val="center"/>
            <w:hideMark/>
          </w:tcPr>
          <w:p w14:paraId="63A66D96" w14:textId="77777777" w:rsidR="008670C1" w:rsidRPr="004F5553" w:rsidRDefault="008670C1" w:rsidP="006B204A">
            <w:pPr>
              <w:spacing w:after="0" w:line="360" w:lineRule="auto"/>
              <w:rPr>
                <w:rFonts w:eastAsia="Times New Roman"/>
                <w:b/>
                <w:bCs/>
                <w:lang w:val="es-DO"/>
              </w:rPr>
            </w:pPr>
            <w:r w:rsidRPr="004F5553">
              <w:rPr>
                <w:rFonts w:eastAsia="Times New Roman"/>
                <w:b/>
                <w:bCs/>
                <w:lang w:val="es-DO"/>
              </w:rPr>
              <w:t>Combustibles, lubricantes, productos químicos y conexos</w:t>
            </w:r>
          </w:p>
        </w:tc>
        <w:tc>
          <w:tcPr>
            <w:tcW w:w="2038" w:type="dxa"/>
            <w:gridSpan w:val="2"/>
            <w:tcBorders>
              <w:top w:val="nil"/>
              <w:left w:val="nil"/>
              <w:bottom w:val="single" w:sz="8" w:space="0" w:color="auto"/>
              <w:right w:val="single" w:sz="8" w:space="0" w:color="auto"/>
            </w:tcBorders>
            <w:noWrap/>
            <w:vAlign w:val="center"/>
            <w:hideMark/>
          </w:tcPr>
          <w:p w14:paraId="02C6FA86" w14:textId="77777777" w:rsidR="008670C1" w:rsidRPr="00A40ED9" w:rsidRDefault="008670C1" w:rsidP="006B204A">
            <w:pPr>
              <w:spacing w:after="0" w:line="360" w:lineRule="auto"/>
              <w:jc w:val="center"/>
              <w:rPr>
                <w:rFonts w:eastAsia="Times New Roman"/>
                <w:lang w:val="es-DO"/>
              </w:rPr>
            </w:pPr>
            <w:r w:rsidRPr="00A40ED9">
              <w:rPr>
                <w:lang w:val="es-DO"/>
              </w:rPr>
              <w:t xml:space="preserve"> 4,392,092 </w:t>
            </w:r>
          </w:p>
        </w:tc>
        <w:tc>
          <w:tcPr>
            <w:tcW w:w="1753" w:type="dxa"/>
            <w:tcBorders>
              <w:top w:val="nil"/>
              <w:left w:val="nil"/>
              <w:bottom w:val="single" w:sz="8" w:space="0" w:color="auto"/>
              <w:right w:val="single" w:sz="8" w:space="0" w:color="auto"/>
            </w:tcBorders>
            <w:noWrap/>
            <w:vAlign w:val="center"/>
            <w:hideMark/>
          </w:tcPr>
          <w:p w14:paraId="268590CB" w14:textId="5AD4041C" w:rsidR="008670C1" w:rsidRPr="00A40ED9" w:rsidRDefault="00CD3EDA" w:rsidP="006B204A">
            <w:pPr>
              <w:spacing w:after="0" w:line="360" w:lineRule="auto"/>
              <w:jc w:val="center"/>
              <w:rPr>
                <w:rFonts w:eastAsia="Times New Roman"/>
                <w:lang w:val="es-DO"/>
              </w:rPr>
            </w:pPr>
            <w:r w:rsidRPr="00CD3EDA">
              <w:rPr>
                <w:lang w:val="es-DO"/>
              </w:rPr>
              <w:t>3,132,733</w:t>
            </w:r>
          </w:p>
        </w:tc>
        <w:tc>
          <w:tcPr>
            <w:tcW w:w="1718" w:type="dxa"/>
            <w:gridSpan w:val="2"/>
            <w:tcBorders>
              <w:top w:val="nil"/>
              <w:left w:val="nil"/>
              <w:bottom w:val="single" w:sz="8" w:space="0" w:color="auto"/>
              <w:right w:val="single" w:sz="8" w:space="0" w:color="auto"/>
            </w:tcBorders>
            <w:noWrap/>
            <w:vAlign w:val="center"/>
            <w:hideMark/>
          </w:tcPr>
          <w:p w14:paraId="6D10725E" w14:textId="6171383E" w:rsidR="008670C1" w:rsidRPr="00A40ED9" w:rsidRDefault="00CD3EDA" w:rsidP="006B204A">
            <w:pPr>
              <w:spacing w:after="0" w:line="360" w:lineRule="auto"/>
              <w:jc w:val="center"/>
              <w:rPr>
                <w:rFonts w:eastAsia="Times New Roman"/>
                <w:lang w:val="es-DO"/>
              </w:rPr>
            </w:pPr>
            <w:r w:rsidRPr="00CD3EDA">
              <w:rPr>
                <w:lang w:val="es-DO"/>
              </w:rPr>
              <w:t>1,259,359</w:t>
            </w:r>
          </w:p>
        </w:tc>
      </w:tr>
      <w:tr w:rsidR="00CD3EDA" w:rsidRPr="00A40ED9" w14:paraId="6C16AED0" w14:textId="77777777" w:rsidTr="00BE0AFF">
        <w:trPr>
          <w:trHeight w:val="241"/>
          <w:jc w:val="center"/>
        </w:trPr>
        <w:tc>
          <w:tcPr>
            <w:tcW w:w="3043" w:type="dxa"/>
            <w:gridSpan w:val="2"/>
            <w:tcBorders>
              <w:top w:val="nil"/>
              <w:left w:val="single" w:sz="8" w:space="0" w:color="auto"/>
              <w:bottom w:val="single" w:sz="8" w:space="0" w:color="auto"/>
              <w:right w:val="single" w:sz="8" w:space="0" w:color="auto"/>
            </w:tcBorders>
            <w:noWrap/>
            <w:vAlign w:val="center"/>
            <w:hideMark/>
          </w:tcPr>
          <w:p w14:paraId="4D5FCD68" w14:textId="77777777" w:rsidR="00CD3EDA" w:rsidRPr="004F5553" w:rsidRDefault="00CD3EDA" w:rsidP="00CD3EDA">
            <w:pPr>
              <w:spacing w:after="0" w:line="360" w:lineRule="auto"/>
              <w:rPr>
                <w:rFonts w:eastAsia="Times New Roman"/>
                <w:b/>
                <w:bCs/>
                <w:lang w:val="es-DO"/>
              </w:rPr>
            </w:pPr>
            <w:r w:rsidRPr="004F5553">
              <w:rPr>
                <w:rFonts w:eastAsia="Times New Roman"/>
                <w:b/>
                <w:bCs/>
                <w:lang w:val="es-DO"/>
              </w:rPr>
              <w:t>Gastos que se asignarán durante el ejercicio (art. 32 y 33 ley 423</w:t>
            </w:r>
          </w:p>
        </w:tc>
        <w:tc>
          <w:tcPr>
            <w:tcW w:w="2038" w:type="dxa"/>
            <w:gridSpan w:val="2"/>
            <w:tcBorders>
              <w:top w:val="nil"/>
              <w:left w:val="nil"/>
              <w:bottom w:val="single" w:sz="8" w:space="0" w:color="auto"/>
              <w:right w:val="single" w:sz="8" w:space="0" w:color="auto"/>
            </w:tcBorders>
            <w:noWrap/>
            <w:vAlign w:val="center"/>
            <w:hideMark/>
          </w:tcPr>
          <w:p w14:paraId="6F57F488" w14:textId="77777777" w:rsidR="00CD3EDA" w:rsidRPr="00A40ED9" w:rsidRDefault="00CD3EDA" w:rsidP="00CD3EDA">
            <w:pPr>
              <w:spacing w:after="0" w:line="360" w:lineRule="auto"/>
              <w:jc w:val="center"/>
              <w:rPr>
                <w:rFonts w:eastAsia="Times New Roman"/>
                <w:lang w:val="es-DO"/>
              </w:rPr>
            </w:pPr>
            <w:r w:rsidRPr="00A40ED9">
              <w:rPr>
                <w:lang w:val="es-DO"/>
              </w:rPr>
              <w:t xml:space="preserve"> -   </w:t>
            </w:r>
          </w:p>
        </w:tc>
        <w:tc>
          <w:tcPr>
            <w:tcW w:w="1753" w:type="dxa"/>
            <w:tcBorders>
              <w:top w:val="nil"/>
              <w:left w:val="nil"/>
              <w:bottom w:val="single" w:sz="8" w:space="0" w:color="auto"/>
              <w:right w:val="single" w:sz="8" w:space="0" w:color="auto"/>
            </w:tcBorders>
            <w:noWrap/>
            <w:vAlign w:val="center"/>
            <w:hideMark/>
          </w:tcPr>
          <w:p w14:paraId="1C4CF8E0" w14:textId="53D7702E" w:rsidR="00CD3EDA" w:rsidRPr="00A40ED9" w:rsidRDefault="00CD3EDA" w:rsidP="00CD3EDA">
            <w:pPr>
              <w:spacing w:after="0" w:line="360" w:lineRule="auto"/>
              <w:jc w:val="center"/>
              <w:rPr>
                <w:rFonts w:eastAsia="Times New Roman"/>
                <w:lang w:val="es-DO"/>
              </w:rPr>
            </w:pPr>
            <w:r w:rsidRPr="00A40ED9">
              <w:rPr>
                <w:lang w:val="es-DO"/>
              </w:rPr>
              <w:t xml:space="preserve"> -   </w:t>
            </w:r>
          </w:p>
        </w:tc>
        <w:tc>
          <w:tcPr>
            <w:tcW w:w="1718" w:type="dxa"/>
            <w:gridSpan w:val="2"/>
            <w:tcBorders>
              <w:top w:val="nil"/>
              <w:left w:val="nil"/>
              <w:bottom w:val="single" w:sz="8" w:space="0" w:color="auto"/>
              <w:right w:val="single" w:sz="8" w:space="0" w:color="auto"/>
            </w:tcBorders>
            <w:noWrap/>
            <w:vAlign w:val="center"/>
            <w:hideMark/>
          </w:tcPr>
          <w:p w14:paraId="4FF45967" w14:textId="5383AFEF" w:rsidR="00CD3EDA" w:rsidRPr="00A40ED9" w:rsidRDefault="00CD3EDA" w:rsidP="00CD3EDA">
            <w:pPr>
              <w:spacing w:after="0" w:line="360" w:lineRule="auto"/>
              <w:jc w:val="center"/>
              <w:rPr>
                <w:rFonts w:eastAsia="Times New Roman"/>
                <w:lang w:val="es-DO"/>
              </w:rPr>
            </w:pPr>
            <w:r w:rsidRPr="00A40ED9">
              <w:rPr>
                <w:lang w:val="es-DO"/>
              </w:rPr>
              <w:t xml:space="preserve"> -   </w:t>
            </w:r>
          </w:p>
        </w:tc>
      </w:tr>
      <w:tr w:rsidR="008670C1" w:rsidRPr="00A40ED9" w14:paraId="60FAC272" w14:textId="77777777" w:rsidTr="00BE0AFF">
        <w:trPr>
          <w:trHeight w:val="241"/>
          <w:jc w:val="center"/>
        </w:trPr>
        <w:tc>
          <w:tcPr>
            <w:tcW w:w="3043" w:type="dxa"/>
            <w:gridSpan w:val="2"/>
            <w:tcBorders>
              <w:top w:val="nil"/>
              <w:left w:val="single" w:sz="8" w:space="0" w:color="auto"/>
              <w:bottom w:val="single" w:sz="8" w:space="0" w:color="auto"/>
              <w:right w:val="single" w:sz="8" w:space="0" w:color="auto"/>
            </w:tcBorders>
            <w:noWrap/>
            <w:vAlign w:val="center"/>
            <w:hideMark/>
          </w:tcPr>
          <w:p w14:paraId="3D3D5F11" w14:textId="77777777" w:rsidR="008670C1" w:rsidRPr="004F5553" w:rsidRDefault="008670C1" w:rsidP="006B204A">
            <w:pPr>
              <w:spacing w:after="0" w:line="360" w:lineRule="auto"/>
              <w:rPr>
                <w:rFonts w:eastAsia="Times New Roman"/>
                <w:b/>
                <w:bCs/>
                <w:lang w:val="es-DO"/>
              </w:rPr>
            </w:pPr>
            <w:r w:rsidRPr="004F5553">
              <w:rPr>
                <w:rFonts w:eastAsia="Times New Roman"/>
                <w:b/>
                <w:bCs/>
                <w:lang w:val="es-DO"/>
              </w:rPr>
              <w:t>Productos y útiles varios</w:t>
            </w:r>
          </w:p>
        </w:tc>
        <w:tc>
          <w:tcPr>
            <w:tcW w:w="2038" w:type="dxa"/>
            <w:gridSpan w:val="2"/>
            <w:tcBorders>
              <w:top w:val="nil"/>
              <w:left w:val="nil"/>
              <w:bottom w:val="single" w:sz="8" w:space="0" w:color="auto"/>
              <w:right w:val="single" w:sz="8" w:space="0" w:color="auto"/>
            </w:tcBorders>
            <w:noWrap/>
            <w:vAlign w:val="center"/>
            <w:hideMark/>
          </w:tcPr>
          <w:p w14:paraId="7674F29A" w14:textId="77777777" w:rsidR="008670C1" w:rsidRPr="00A40ED9" w:rsidRDefault="008670C1" w:rsidP="006B204A">
            <w:pPr>
              <w:spacing w:after="0" w:line="360" w:lineRule="auto"/>
              <w:jc w:val="center"/>
              <w:rPr>
                <w:rFonts w:eastAsia="Times New Roman"/>
                <w:lang w:val="es-DO"/>
              </w:rPr>
            </w:pPr>
            <w:r w:rsidRPr="00A40ED9">
              <w:rPr>
                <w:lang w:val="es-DO"/>
              </w:rPr>
              <w:t xml:space="preserve"> 16,503,471 </w:t>
            </w:r>
          </w:p>
        </w:tc>
        <w:tc>
          <w:tcPr>
            <w:tcW w:w="1753" w:type="dxa"/>
            <w:tcBorders>
              <w:top w:val="nil"/>
              <w:left w:val="nil"/>
              <w:bottom w:val="single" w:sz="8" w:space="0" w:color="auto"/>
              <w:right w:val="single" w:sz="8" w:space="0" w:color="auto"/>
            </w:tcBorders>
            <w:noWrap/>
            <w:vAlign w:val="center"/>
            <w:hideMark/>
          </w:tcPr>
          <w:p w14:paraId="7F8BFF91" w14:textId="73B39243" w:rsidR="008670C1" w:rsidRPr="00A40ED9" w:rsidRDefault="00CD3EDA" w:rsidP="006B204A">
            <w:pPr>
              <w:spacing w:after="0" w:line="360" w:lineRule="auto"/>
              <w:jc w:val="center"/>
              <w:rPr>
                <w:rFonts w:eastAsia="Times New Roman"/>
                <w:lang w:val="es-DO"/>
              </w:rPr>
            </w:pPr>
            <w:r w:rsidRPr="00CD3EDA">
              <w:rPr>
                <w:lang w:val="es-DO"/>
              </w:rPr>
              <w:t>6,896,391</w:t>
            </w:r>
          </w:p>
        </w:tc>
        <w:tc>
          <w:tcPr>
            <w:tcW w:w="1718" w:type="dxa"/>
            <w:gridSpan w:val="2"/>
            <w:tcBorders>
              <w:top w:val="nil"/>
              <w:left w:val="nil"/>
              <w:bottom w:val="single" w:sz="8" w:space="0" w:color="auto"/>
              <w:right w:val="single" w:sz="8" w:space="0" w:color="auto"/>
            </w:tcBorders>
            <w:noWrap/>
            <w:vAlign w:val="center"/>
            <w:hideMark/>
          </w:tcPr>
          <w:p w14:paraId="38D8672C" w14:textId="54542509" w:rsidR="008670C1" w:rsidRPr="00A40ED9" w:rsidRDefault="00CD3EDA" w:rsidP="006B204A">
            <w:pPr>
              <w:spacing w:after="0" w:line="360" w:lineRule="auto"/>
              <w:jc w:val="center"/>
              <w:rPr>
                <w:rFonts w:eastAsia="Times New Roman"/>
                <w:lang w:val="es-DO"/>
              </w:rPr>
            </w:pPr>
            <w:r w:rsidRPr="00CD3EDA">
              <w:rPr>
                <w:lang w:val="es-DO"/>
              </w:rPr>
              <w:t>9,607,080</w:t>
            </w:r>
          </w:p>
        </w:tc>
      </w:tr>
      <w:tr w:rsidR="00165C93" w:rsidRPr="00A40ED9" w14:paraId="7D935946" w14:textId="77777777" w:rsidTr="00BE0AFF">
        <w:trPr>
          <w:trHeight w:val="241"/>
          <w:jc w:val="center"/>
        </w:trPr>
        <w:tc>
          <w:tcPr>
            <w:tcW w:w="3043" w:type="dxa"/>
            <w:gridSpan w:val="2"/>
            <w:tcBorders>
              <w:top w:val="nil"/>
              <w:left w:val="single" w:sz="8" w:space="0" w:color="auto"/>
              <w:bottom w:val="single" w:sz="8" w:space="0" w:color="auto"/>
              <w:right w:val="single" w:sz="8" w:space="0" w:color="auto"/>
            </w:tcBorders>
            <w:shd w:val="clear" w:color="000000" w:fill="003876"/>
            <w:noWrap/>
            <w:vAlign w:val="center"/>
            <w:hideMark/>
          </w:tcPr>
          <w:p w14:paraId="0F0289DA" w14:textId="77777777" w:rsidR="008670C1" w:rsidRPr="00A40ED9" w:rsidRDefault="008670C1" w:rsidP="006B204A">
            <w:pPr>
              <w:spacing w:after="0" w:line="360" w:lineRule="auto"/>
              <w:rPr>
                <w:rFonts w:eastAsia="Times New Roman"/>
                <w:b/>
                <w:bCs/>
                <w:color w:val="FFFFFF"/>
                <w:lang w:val="es-DO"/>
              </w:rPr>
            </w:pPr>
            <w:proofErr w:type="gramStart"/>
            <w:r w:rsidRPr="00A40ED9">
              <w:rPr>
                <w:rFonts w:eastAsia="Times New Roman"/>
                <w:b/>
                <w:bCs/>
                <w:color w:val="FFFFFF"/>
                <w:lang w:val="es-DO"/>
              </w:rPr>
              <w:t>Total</w:t>
            </w:r>
            <w:proofErr w:type="gramEnd"/>
            <w:r w:rsidRPr="00A40ED9">
              <w:rPr>
                <w:rFonts w:eastAsia="Times New Roman"/>
                <w:b/>
                <w:bCs/>
                <w:color w:val="FFFFFF"/>
                <w:lang w:val="es-DO"/>
              </w:rPr>
              <w:t xml:space="preserve"> materiales y suministros</w:t>
            </w:r>
          </w:p>
        </w:tc>
        <w:tc>
          <w:tcPr>
            <w:tcW w:w="2038" w:type="dxa"/>
            <w:gridSpan w:val="2"/>
            <w:tcBorders>
              <w:top w:val="nil"/>
              <w:left w:val="nil"/>
              <w:bottom w:val="single" w:sz="8" w:space="0" w:color="auto"/>
              <w:right w:val="single" w:sz="8" w:space="0" w:color="auto"/>
            </w:tcBorders>
            <w:shd w:val="clear" w:color="000000" w:fill="003876"/>
            <w:vAlign w:val="center"/>
            <w:hideMark/>
          </w:tcPr>
          <w:p w14:paraId="6F6F1C07" w14:textId="77777777" w:rsidR="008670C1" w:rsidRPr="00A40ED9" w:rsidRDefault="008670C1" w:rsidP="006B204A">
            <w:pPr>
              <w:spacing w:after="0" w:line="360" w:lineRule="auto"/>
              <w:jc w:val="center"/>
              <w:rPr>
                <w:rFonts w:eastAsia="Times New Roman"/>
                <w:b/>
                <w:bCs/>
                <w:color w:val="FFFFFF"/>
                <w:lang w:val="es-DO"/>
              </w:rPr>
            </w:pPr>
            <w:r w:rsidRPr="00A40ED9">
              <w:rPr>
                <w:rFonts w:eastAsia="Times New Roman"/>
                <w:b/>
                <w:bCs/>
                <w:color w:val="FFFFFF"/>
                <w:lang w:val="es-DO"/>
              </w:rPr>
              <w:t>50,600,753</w:t>
            </w:r>
          </w:p>
        </w:tc>
        <w:tc>
          <w:tcPr>
            <w:tcW w:w="1753" w:type="dxa"/>
            <w:tcBorders>
              <w:top w:val="nil"/>
              <w:left w:val="nil"/>
              <w:bottom w:val="single" w:sz="8" w:space="0" w:color="auto"/>
              <w:right w:val="single" w:sz="8" w:space="0" w:color="auto"/>
            </w:tcBorders>
            <w:shd w:val="clear" w:color="000000" w:fill="003876"/>
            <w:vAlign w:val="center"/>
            <w:hideMark/>
          </w:tcPr>
          <w:p w14:paraId="14931C5A" w14:textId="62685D0A" w:rsidR="008670C1" w:rsidRPr="00A40ED9" w:rsidRDefault="00CD3EDA" w:rsidP="006B204A">
            <w:pPr>
              <w:spacing w:after="0" w:line="360" w:lineRule="auto"/>
              <w:jc w:val="center"/>
              <w:rPr>
                <w:rFonts w:eastAsia="Times New Roman"/>
                <w:b/>
                <w:bCs/>
                <w:color w:val="FFFFFF"/>
                <w:lang w:val="es-DO"/>
              </w:rPr>
            </w:pPr>
            <w:r w:rsidRPr="00CD3EDA">
              <w:rPr>
                <w:rFonts w:eastAsia="Times New Roman"/>
                <w:b/>
                <w:bCs/>
                <w:color w:val="FFFFFF"/>
                <w:lang w:val="es-DO"/>
              </w:rPr>
              <w:t>25,806,326</w:t>
            </w:r>
          </w:p>
        </w:tc>
        <w:tc>
          <w:tcPr>
            <w:tcW w:w="1718" w:type="dxa"/>
            <w:gridSpan w:val="2"/>
            <w:tcBorders>
              <w:top w:val="nil"/>
              <w:left w:val="nil"/>
              <w:bottom w:val="single" w:sz="8" w:space="0" w:color="auto"/>
              <w:right w:val="single" w:sz="8" w:space="0" w:color="auto"/>
            </w:tcBorders>
            <w:shd w:val="clear" w:color="000000" w:fill="003876"/>
            <w:noWrap/>
            <w:vAlign w:val="center"/>
            <w:hideMark/>
          </w:tcPr>
          <w:p w14:paraId="6AB35A12" w14:textId="6D0F0DC4" w:rsidR="008670C1" w:rsidRPr="00A40ED9" w:rsidRDefault="00CD3EDA" w:rsidP="006B204A">
            <w:pPr>
              <w:spacing w:after="0" w:line="360" w:lineRule="auto"/>
              <w:jc w:val="center"/>
              <w:rPr>
                <w:rFonts w:eastAsia="Times New Roman"/>
                <w:b/>
                <w:bCs/>
                <w:color w:val="FFFFFF"/>
                <w:lang w:val="es-DO"/>
              </w:rPr>
            </w:pPr>
            <w:r w:rsidRPr="00CD3EDA">
              <w:rPr>
                <w:rFonts w:eastAsia="Times New Roman"/>
                <w:b/>
                <w:bCs/>
                <w:color w:val="FFFFFF"/>
                <w:lang w:val="es-DO"/>
              </w:rPr>
              <w:t>24,794,427</w:t>
            </w:r>
          </w:p>
        </w:tc>
      </w:tr>
    </w:tbl>
    <w:p w14:paraId="18D4D27C" w14:textId="77777777" w:rsidR="008670C1" w:rsidRPr="00A40ED9" w:rsidRDefault="008670C1" w:rsidP="006B204A">
      <w:pPr>
        <w:rPr>
          <w:lang w:val="es-DO"/>
        </w:rPr>
      </w:pPr>
    </w:p>
    <w:tbl>
      <w:tblPr>
        <w:tblW w:w="8793" w:type="dxa"/>
        <w:jc w:val="center"/>
        <w:tblCellMar>
          <w:top w:w="15" w:type="dxa"/>
          <w:bottom w:w="15" w:type="dxa"/>
        </w:tblCellMar>
        <w:tblLook w:val="04A0" w:firstRow="1" w:lastRow="0" w:firstColumn="1" w:lastColumn="0" w:noHBand="0" w:noVBand="1"/>
      </w:tblPr>
      <w:tblGrid>
        <w:gridCol w:w="3043"/>
        <w:gridCol w:w="2038"/>
        <w:gridCol w:w="1856"/>
        <w:gridCol w:w="1856"/>
      </w:tblGrid>
      <w:tr w:rsidR="008670C1" w:rsidRPr="00A40ED9" w14:paraId="02D16124" w14:textId="77777777" w:rsidTr="00CD3EDA">
        <w:trPr>
          <w:trHeight w:val="241"/>
          <w:tblHeader/>
          <w:jc w:val="center"/>
        </w:trPr>
        <w:tc>
          <w:tcPr>
            <w:tcW w:w="3043" w:type="dxa"/>
            <w:tcBorders>
              <w:top w:val="single" w:sz="8" w:space="0" w:color="auto"/>
              <w:left w:val="single" w:sz="8" w:space="0" w:color="auto"/>
              <w:bottom w:val="single" w:sz="8" w:space="0" w:color="auto"/>
              <w:right w:val="single" w:sz="8" w:space="0" w:color="auto"/>
            </w:tcBorders>
            <w:shd w:val="clear" w:color="000000" w:fill="003876"/>
            <w:noWrap/>
            <w:vAlign w:val="center"/>
            <w:hideMark/>
          </w:tcPr>
          <w:p w14:paraId="385AD901" w14:textId="77777777" w:rsidR="008670C1" w:rsidRPr="00A40ED9" w:rsidRDefault="008670C1" w:rsidP="006B204A">
            <w:pPr>
              <w:spacing w:after="0" w:line="360" w:lineRule="auto"/>
              <w:rPr>
                <w:rFonts w:eastAsia="Times New Roman"/>
                <w:b/>
                <w:bCs/>
                <w:color w:val="FFFFFF"/>
                <w:lang w:val="es-DO"/>
              </w:rPr>
            </w:pPr>
            <w:r w:rsidRPr="00A40ED9">
              <w:rPr>
                <w:rFonts w:eastAsia="Times New Roman"/>
                <w:b/>
                <w:bCs/>
                <w:color w:val="FFFFFF"/>
                <w:lang w:val="es-DO"/>
              </w:rPr>
              <w:t>Transferencias corrientes</w:t>
            </w:r>
          </w:p>
        </w:tc>
        <w:tc>
          <w:tcPr>
            <w:tcW w:w="2038" w:type="dxa"/>
            <w:tcBorders>
              <w:top w:val="single" w:sz="8" w:space="0" w:color="auto"/>
              <w:left w:val="nil"/>
              <w:bottom w:val="single" w:sz="8" w:space="0" w:color="auto"/>
              <w:right w:val="single" w:sz="8" w:space="0" w:color="auto"/>
            </w:tcBorders>
            <w:shd w:val="clear" w:color="000000" w:fill="003876"/>
            <w:noWrap/>
            <w:vAlign w:val="center"/>
            <w:hideMark/>
          </w:tcPr>
          <w:p w14:paraId="1043CDA3" w14:textId="77777777" w:rsidR="008670C1" w:rsidRPr="00A40ED9" w:rsidRDefault="008670C1" w:rsidP="006B204A">
            <w:pPr>
              <w:spacing w:after="0" w:line="360" w:lineRule="auto"/>
              <w:jc w:val="center"/>
              <w:rPr>
                <w:rFonts w:eastAsia="Times New Roman"/>
                <w:b/>
                <w:bCs/>
                <w:color w:val="FFFFFF"/>
                <w:lang w:val="es-DO"/>
              </w:rPr>
            </w:pPr>
            <w:r w:rsidRPr="00A40ED9">
              <w:rPr>
                <w:rFonts w:eastAsia="Times New Roman"/>
                <w:b/>
                <w:bCs/>
                <w:color w:val="FFFFFF"/>
                <w:lang w:val="es-DO"/>
              </w:rPr>
              <w:t>Presupuesto</w:t>
            </w:r>
          </w:p>
        </w:tc>
        <w:tc>
          <w:tcPr>
            <w:tcW w:w="1856" w:type="dxa"/>
            <w:tcBorders>
              <w:top w:val="single" w:sz="8" w:space="0" w:color="auto"/>
              <w:left w:val="nil"/>
              <w:bottom w:val="single" w:sz="8" w:space="0" w:color="auto"/>
              <w:right w:val="single" w:sz="8" w:space="0" w:color="auto"/>
            </w:tcBorders>
            <w:shd w:val="clear" w:color="000000" w:fill="003876"/>
            <w:noWrap/>
            <w:vAlign w:val="center"/>
            <w:hideMark/>
          </w:tcPr>
          <w:p w14:paraId="1434AAA1" w14:textId="77777777" w:rsidR="008670C1" w:rsidRPr="00A40ED9" w:rsidRDefault="008670C1" w:rsidP="006B204A">
            <w:pPr>
              <w:spacing w:after="0" w:line="360" w:lineRule="auto"/>
              <w:jc w:val="center"/>
              <w:rPr>
                <w:rFonts w:eastAsia="Times New Roman"/>
                <w:b/>
                <w:bCs/>
                <w:color w:val="FFFFFF"/>
                <w:lang w:val="es-DO"/>
              </w:rPr>
            </w:pPr>
            <w:r w:rsidRPr="00A40ED9">
              <w:rPr>
                <w:rFonts w:eastAsia="Times New Roman"/>
                <w:b/>
                <w:bCs/>
                <w:color w:val="FFFFFF"/>
                <w:lang w:val="es-DO"/>
              </w:rPr>
              <w:t>Ejecutado</w:t>
            </w:r>
          </w:p>
        </w:tc>
        <w:tc>
          <w:tcPr>
            <w:tcW w:w="1856" w:type="dxa"/>
            <w:tcBorders>
              <w:top w:val="single" w:sz="8" w:space="0" w:color="auto"/>
              <w:left w:val="nil"/>
              <w:bottom w:val="single" w:sz="8" w:space="0" w:color="auto"/>
              <w:right w:val="single" w:sz="8" w:space="0" w:color="auto"/>
            </w:tcBorders>
            <w:shd w:val="clear" w:color="000000" w:fill="003876"/>
            <w:noWrap/>
            <w:vAlign w:val="center"/>
            <w:hideMark/>
          </w:tcPr>
          <w:p w14:paraId="43828FBF" w14:textId="77777777" w:rsidR="008670C1" w:rsidRPr="00A40ED9" w:rsidRDefault="008670C1" w:rsidP="006B204A">
            <w:pPr>
              <w:spacing w:after="0" w:line="360" w:lineRule="auto"/>
              <w:jc w:val="center"/>
              <w:rPr>
                <w:rFonts w:eastAsia="Times New Roman"/>
                <w:b/>
                <w:bCs/>
                <w:color w:val="FFFFFF"/>
                <w:lang w:val="es-DO"/>
              </w:rPr>
            </w:pPr>
            <w:r w:rsidRPr="00A40ED9">
              <w:rPr>
                <w:rFonts w:eastAsia="Times New Roman"/>
                <w:b/>
                <w:bCs/>
                <w:color w:val="FFFFFF"/>
                <w:lang w:val="es-DO"/>
              </w:rPr>
              <w:t>Balance</w:t>
            </w:r>
          </w:p>
        </w:tc>
      </w:tr>
      <w:tr w:rsidR="008670C1" w:rsidRPr="00A40ED9" w14:paraId="71760CFA" w14:textId="77777777" w:rsidTr="00CD3EDA">
        <w:trPr>
          <w:trHeight w:val="241"/>
          <w:jc w:val="center"/>
        </w:trPr>
        <w:tc>
          <w:tcPr>
            <w:tcW w:w="3043" w:type="dxa"/>
            <w:tcBorders>
              <w:top w:val="nil"/>
              <w:left w:val="single" w:sz="8" w:space="0" w:color="auto"/>
              <w:bottom w:val="single" w:sz="8" w:space="0" w:color="auto"/>
              <w:right w:val="single" w:sz="8" w:space="0" w:color="auto"/>
            </w:tcBorders>
            <w:noWrap/>
            <w:vAlign w:val="center"/>
            <w:hideMark/>
          </w:tcPr>
          <w:p w14:paraId="358851E2" w14:textId="77777777" w:rsidR="008670C1" w:rsidRPr="004F5553" w:rsidRDefault="008670C1" w:rsidP="006B204A">
            <w:pPr>
              <w:spacing w:after="0" w:line="360" w:lineRule="auto"/>
              <w:rPr>
                <w:rFonts w:eastAsia="Times New Roman"/>
                <w:b/>
                <w:bCs/>
                <w:lang w:val="es-DO"/>
              </w:rPr>
            </w:pPr>
            <w:r w:rsidRPr="004F5553">
              <w:rPr>
                <w:rFonts w:eastAsia="Times New Roman"/>
                <w:b/>
                <w:bCs/>
                <w:lang w:val="es-DO"/>
              </w:rPr>
              <w:t>Transferencias corrientes al sector privado</w:t>
            </w:r>
          </w:p>
        </w:tc>
        <w:tc>
          <w:tcPr>
            <w:tcW w:w="2038" w:type="dxa"/>
            <w:tcBorders>
              <w:top w:val="nil"/>
              <w:left w:val="nil"/>
              <w:bottom w:val="single" w:sz="8" w:space="0" w:color="auto"/>
              <w:right w:val="single" w:sz="8" w:space="0" w:color="auto"/>
            </w:tcBorders>
            <w:noWrap/>
            <w:vAlign w:val="center"/>
            <w:hideMark/>
          </w:tcPr>
          <w:p w14:paraId="49BA2099" w14:textId="77777777" w:rsidR="008670C1" w:rsidRPr="00A40ED9" w:rsidRDefault="008670C1" w:rsidP="006B204A">
            <w:pPr>
              <w:spacing w:after="0" w:line="360" w:lineRule="auto"/>
              <w:jc w:val="center"/>
              <w:rPr>
                <w:rFonts w:eastAsia="Times New Roman"/>
                <w:lang w:val="es-DO"/>
              </w:rPr>
            </w:pPr>
            <w:r w:rsidRPr="00A40ED9">
              <w:rPr>
                <w:lang w:val="es-DO"/>
              </w:rPr>
              <w:t xml:space="preserve"> 387,120,427 </w:t>
            </w:r>
          </w:p>
        </w:tc>
        <w:tc>
          <w:tcPr>
            <w:tcW w:w="1856" w:type="dxa"/>
            <w:tcBorders>
              <w:top w:val="nil"/>
              <w:left w:val="nil"/>
              <w:bottom w:val="single" w:sz="8" w:space="0" w:color="auto"/>
              <w:right w:val="single" w:sz="8" w:space="0" w:color="auto"/>
            </w:tcBorders>
            <w:noWrap/>
            <w:vAlign w:val="center"/>
            <w:hideMark/>
          </w:tcPr>
          <w:p w14:paraId="048161BB" w14:textId="75CA90D8" w:rsidR="008670C1" w:rsidRPr="00A40ED9" w:rsidRDefault="00CD3EDA" w:rsidP="006B204A">
            <w:pPr>
              <w:spacing w:after="0" w:line="360" w:lineRule="auto"/>
              <w:jc w:val="center"/>
              <w:rPr>
                <w:rFonts w:eastAsia="Times New Roman"/>
                <w:lang w:val="es-DO"/>
              </w:rPr>
            </w:pPr>
            <w:r w:rsidRPr="00CD3EDA">
              <w:rPr>
                <w:lang w:val="es-DO"/>
              </w:rPr>
              <w:t>304,325,938</w:t>
            </w:r>
          </w:p>
        </w:tc>
        <w:tc>
          <w:tcPr>
            <w:tcW w:w="1856" w:type="dxa"/>
            <w:tcBorders>
              <w:top w:val="nil"/>
              <w:left w:val="nil"/>
              <w:bottom w:val="single" w:sz="8" w:space="0" w:color="auto"/>
              <w:right w:val="single" w:sz="8" w:space="0" w:color="auto"/>
            </w:tcBorders>
            <w:noWrap/>
            <w:vAlign w:val="center"/>
            <w:hideMark/>
          </w:tcPr>
          <w:p w14:paraId="728EF5BB" w14:textId="528B53DA" w:rsidR="008670C1" w:rsidRPr="00A40ED9" w:rsidRDefault="00CD3EDA" w:rsidP="006B204A">
            <w:pPr>
              <w:spacing w:after="0" w:line="360" w:lineRule="auto"/>
              <w:jc w:val="center"/>
              <w:rPr>
                <w:rFonts w:eastAsia="Times New Roman"/>
                <w:lang w:val="es-DO"/>
              </w:rPr>
            </w:pPr>
            <w:r w:rsidRPr="00CD3EDA">
              <w:rPr>
                <w:lang w:val="es-DO"/>
              </w:rPr>
              <w:t>82,794,489</w:t>
            </w:r>
          </w:p>
        </w:tc>
      </w:tr>
      <w:tr w:rsidR="008670C1" w:rsidRPr="00A40ED9" w14:paraId="6ABDCEAE" w14:textId="77777777" w:rsidTr="00CD3EDA">
        <w:trPr>
          <w:trHeight w:val="241"/>
          <w:jc w:val="center"/>
        </w:trPr>
        <w:tc>
          <w:tcPr>
            <w:tcW w:w="3043" w:type="dxa"/>
            <w:tcBorders>
              <w:top w:val="nil"/>
              <w:left w:val="single" w:sz="8" w:space="0" w:color="auto"/>
              <w:bottom w:val="single" w:sz="8" w:space="0" w:color="auto"/>
              <w:right w:val="single" w:sz="8" w:space="0" w:color="auto"/>
            </w:tcBorders>
            <w:noWrap/>
            <w:vAlign w:val="center"/>
            <w:hideMark/>
          </w:tcPr>
          <w:p w14:paraId="58DCD15F" w14:textId="77777777" w:rsidR="008670C1" w:rsidRPr="004F5553" w:rsidRDefault="008670C1" w:rsidP="006B204A">
            <w:pPr>
              <w:spacing w:after="0" w:line="360" w:lineRule="auto"/>
              <w:rPr>
                <w:rFonts w:eastAsia="Times New Roman"/>
                <w:b/>
                <w:bCs/>
                <w:lang w:val="es-DO"/>
              </w:rPr>
            </w:pPr>
            <w:r w:rsidRPr="004F5553">
              <w:rPr>
                <w:rFonts w:eastAsia="Times New Roman"/>
                <w:b/>
                <w:bCs/>
                <w:lang w:val="es-DO"/>
              </w:rPr>
              <w:t>Transferencias corrientes al gobierno general nacional</w:t>
            </w:r>
          </w:p>
        </w:tc>
        <w:tc>
          <w:tcPr>
            <w:tcW w:w="2038" w:type="dxa"/>
            <w:tcBorders>
              <w:top w:val="nil"/>
              <w:left w:val="nil"/>
              <w:bottom w:val="single" w:sz="8" w:space="0" w:color="auto"/>
              <w:right w:val="single" w:sz="8" w:space="0" w:color="auto"/>
            </w:tcBorders>
            <w:noWrap/>
            <w:vAlign w:val="center"/>
            <w:hideMark/>
          </w:tcPr>
          <w:p w14:paraId="2A5921C6" w14:textId="77777777" w:rsidR="008670C1" w:rsidRPr="00A40ED9" w:rsidRDefault="008670C1" w:rsidP="006B204A">
            <w:pPr>
              <w:spacing w:after="0" w:line="360" w:lineRule="auto"/>
              <w:jc w:val="center"/>
              <w:rPr>
                <w:rFonts w:eastAsia="Times New Roman"/>
                <w:lang w:val="es-DO"/>
              </w:rPr>
            </w:pPr>
            <w:r w:rsidRPr="00A40ED9">
              <w:rPr>
                <w:lang w:val="es-DO"/>
              </w:rPr>
              <w:t xml:space="preserve"> 2,013,598,544 </w:t>
            </w:r>
          </w:p>
        </w:tc>
        <w:tc>
          <w:tcPr>
            <w:tcW w:w="1856" w:type="dxa"/>
            <w:tcBorders>
              <w:top w:val="nil"/>
              <w:left w:val="nil"/>
              <w:bottom w:val="single" w:sz="8" w:space="0" w:color="auto"/>
              <w:right w:val="single" w:sz="8" w:space="0" w:color="auto"/>
            </w:tcBorders>
            <w:noWrap/>
            <w:vAlign w:val="center"/>
            <w:hideMark/>
          </w:tcPr>
          <w:p w14:paraId="387170DD" w14:textId="199E497E" w:rsidR="008670C1" w:rsidRPr="00A40ED9" w:rsidRDefault="00CD3EDA" w:rsidP="006B204A">
            <w:pPr>
              <w:spacing w:after="0" w:line="360" w:lineRule="auto"/>
              <w:jc w:val="center"/>
              <w:rPr>
                <w:rFonts w:eastAsia="Times New Roman"/>
                <w:lang w:val="es-DO"/>
              </w:rPr>
            </w:pPr>
            <w:r w:rsidRPr="00CD3EDA">
              <w:rPr>
                <w:lang w:val="es-DO"/>
              </w:rPr>
              <w:t>2,001,148,000</w:t>
            </w:r>
          </w:p>
        </w:tc>
        <w:tc>
          <w:tcPr>
            <w:tcW w:w="1856" w:type="dxa"/>
            <w:tcBorders>
              <w:top w:val="nil"/>
              <w:left w:val="nil"/>
              <w:bottom w:val="single" w:sz="8" w:space="0" w:color="auto"/>
              <w:right w:val="single" w:sz="8" w:space="0" w:color="auto"/>
            </w:tcBorders>
            <w:noWrap/>
            <w:vAlign w:val="center"/>
            <w:hideMark/>
          </w:tcPr>
          <w:p w14:paraId="73039025" w14:textId="538B8F8D" w:rsidR="008670C1" w:rsidRPr="00A40ED9" w:rsidRDefault="00CD3EDA" w:rsidP="006B204A">
            <w:pPr>
              <w:spacing w:after="0" w:line="360" w:lineRule="auto"/>
              <w:jc w:val="center"/>
              <w:rPr>
                <w:rFonts w:eastAsia="Times New Roman"/>
                <w:lang w:val="es-DO"/>
              </w:rPr>
            </w:pPr>
            <w:r w:rsidRPr="00CD3EDA">
              <w:rPr>
                <w:lang w:val="es-DO"/>
              </w:rPr>
              <w:t>12,450,544</w:t>
            </w:r>
          </w:p>
        </w:tc>
      </w:tr>
      <w:tr w:rsidR="00CD3EDA" w:rsidRPr="00A40ED9" w14:paraId="6BB9F0AE" w14:textId="77777777" w:rsidTr="00CD3EDA">
        <w:trPr>
          <w:trHeight w:val="241"/>
          <w:jc w:val="center"/>
        </w:trPr>
        <w:tc>
          <w:tcPr>
            <w:tcW w:w="3043" w:type="dxa"/>
            <w:tcBorders>
              <w:top w:val="nil"/>
              <w:left w:val="single" w:sz="8" w:space="0" w:color="auto"/>
              <w:bottom w:val="single" w:sz="8" w:space="0" w:color="auto"/>
              <w:right w:val="single" w:sz="8" w:space="0" w:color="auto"/>
            </w:tcBorders>
            <w:noWrap/>
            <w:vAlign w:val="center"/>
            <w:hideMark/>
          </w:tcPr>
          <w:p w14:paraId="0EAED124" w14:textId="77777777" w:rsidR="00CD3EDA" w:rsidRPr="004F5553" w:rsidRDefault="00CD3EDA" w:rsidP="00CD3EDA">
            <w:pPr>
              <w:spacing w:after="0" w:line="360" w:lineRule="auto"/>
              <w:rPr>
                <w:rFonts w:eastAsia="Times New Roman"/>
                <w:b/>
                <w:bCs/>
                <w:lang w:val="es-DO"/>
              </w:rPr>
            </w:pPr>
            <w:r w:rsidRPr="004F5553">
              <w:rPr>
                <w:rFonts w:eastAsia="Times New Roman"/>
                <w:b/>
                <w:bCs/>
                <w:lang w:val="es-DO"/>
              </w:rPr>
              <w:t>Transferencias corrientes a gobiernos generales locales</w:t>
            </w:r>
          </w:p>
        </w:tc>
        <w:tc>
          <w:tcPr>
            <w:tcW w:w="2038" w:type="dxa"/>
            <w:tcBorders>
              <w:top w:val="nil"/>
              <w:left w:val="nil"/>
              <w:bottom w:val="single" w:sz="8" w:space="0" w:color="auto"/>
              <w:right w:val="single" w:sz="8" w:space="0" w:color="auto"/>
            </w:tcBorders>
            <w:noWrap/>
            <w:vAlign w:val="center"/>
            <w:hideMark/>
          </w:tcPr>
          <w:p w14:paraId="639A0314" w14:textId="77777777" w:rsidR="00CD3EDA" w:rsidRPr="00A40ED9" w:rsidRDefault="00CD3EDA" w:rsidP="00CD3EDA">
            <w:pPr>
              <w:spacing w:after="0" w:line="360" w:lineRule="auto"/>
              <w:jc w:val="center"/>
              <w:rPr>
                <w:rFonts w:eastAsia="Times New Roman"/>
                <w:lang w:val="es-DO"/>
              </w:rPr>
            </w:pPr>
            <w:r w:rsidRPr="00A40ED9">
              <w:rPr>
                <w:lang w:val="es-DO"/>
              </w:rPr>
              <w:t xml:space="preserve"> -   </w:t>
            </w:r>
          </w:p>
        </w:tc>
        <w:tc>
          <w:tcPr>
            <w:tcW w:w="1856" w:type="dxa"/>
            <w:tcBorders>
              <w:top w:val="nil"/>
              <w:left w:val="nil"/>
              <w:bottom w:val="single" w:sz="8" w:space="0" w:color="auto"/>
              <w:right w:val="single" w:sz="8" w:space="0" w:color="auto"/>
            </w:tcBorders>
            <w:noWrap/>
            <w:vAlign w:val="center"/>
            <w:hideMark/>
          </w:tcPr>
          <w:p w14:paraId="26750E87" w14:textId="3E61C2F0" w:rsidR="00CD3EDA" w:rsidRPr="00A40ED9" w:rsidRDefault="00CD3EDA" w:rsidP="00CD3EDA">
            <w:pPr>
              <w:spacing w:after="0" w:line="360" w:lineRule="auto"/>
              <w:jc w:val="center"/>
              <w:rPr>
                <w:rFonts w:eastAsia="Times New Roman"/>
                <w:lang w:val="es-DO"/>
              </w:rPr>
            </w:pPr>
            <w:r w:rsidRPr="00A40ED9">
              <w:rPr>
                <w:lang w:val="es-DO"/>
              </w:rPr>
              <w:t xml:space="preserve"> -   </w:t>
            </w:r>
          </w:p>
        </w:tc>
        <w:tc>
          <w:tcPr>
            <w:tcW w:w="1856" w:type="dxa"/>
            <w:tcBorders>
              <w:top w:val="nil"/>
              <w:left w:val="nil"/>
              <w:bottom w:val="single" w:sz="8" w:space="0" w:color="auto"/>
              <w:right w:val="single" w:sz="8" w:space="0" w:color="auto"/>
            </w:tcBorders>
            <w:noWrap/>
            <w:vAlign w:val="center"/>
            <w:hideMark/>
          </w:tcPr>
          <w:p w14:paraId="73BB18F9" w14:textId="0181B131" w:rsidR="00CD3EDA" w:rsidRPr="00A40ED9" w:rsidRDefault="00CD3EDA" w:rsidP="00CD3EDA">
            <w:pPr>
              <w:spacing w:after="0" w:line="360" w:lineRule="auto"/>
              <w:jc w:val="center"/>
              <w:rPr>
                <w:rFonts w:eastAsia="Times New Roman"/>
                <w:lang w:val="es-DO"/>
              </w:rPr>
            </w:pPr>
            <w:r w:rsidRPr="00A40ED9">
              <w:rPr>
                <w:lang w:val="es-DO"/>
              </w:rPr>
              <w:t xml:space="preserve"> -   </w:t>
            </w:r>
          </w:p>
        </w:tc>
      </w:tr>
      <w:tr w:rsidR="00CD3EDA" w:rsidRPr="00A40ED9" w14:paraId="0CE99AFA" w14:textId="77777777" w:rsidTr="00CD3EDA">
        <w:trPr>
          <w:trHeight w:val="241"/>
          <w:jc w:val="center"/>
        </w:trPr>
        <w:tc>
          <w:tcPr>
            <w:tcW w:w="3043" w:type="dxa"/>
            <w:tcBorders>
              <w:top w:val="nil"/>
              <w:left w:val="single" w:sz="8" w:space="0" w:color="auto"/>
              <w:bottom w:val="single" w:sz="8" w:space="0" w:color="auto"/>
              <w:right w:val="single" w:sz="8" w:space="0" w:color="auto"/>
            </w:tcBorders>
            <w:noWrap/>
            <w:vAlign w:val="center"/>
            <w:hideMark/>
          </w:tcPr>
          <w:p w14:paraId="57533686" w14:textId="77777777" w:rsidR="00CD3EDA" w:rsidRPr="004F5553" w:rsidRDefault="00CD3EDA" w:rsidP="00CD3EDA">
            <w:pPr>
              <w:spacing w:after="0" w:line="360" w:lineRule="auto"/>
              <w:rPr>
                <w:rFonts w:eastAsia="Times New Roman"/>
                <w:b/>
                <w:bCs/>
                <w:lang w:val="es-DO"/>
              </w:rPr>
            </w:pPr>
            <w:r w:rsidRPr="004F5553">
              <w:rPr>
                <w:rFonts w:eastAsia="Times New Roman"/>
                <w:b/>
                <w:bCs/>
                <w:lang w:val="es-DO"/>
              </w:rPr>
              <w:lastRenderedPageBreak/>
              <w:t>Transferencias corrientes a empresas públicas no financieras</w:t>
            </w:r>
          </w:p>
        </w:tc>
        <w:tc>
          <w:tcPr>
            <w:tcW w:w="2038" w:type="dxa"/>
            <w:tcBorders>
              <w:top w:val="nil"/>
              <w:left w:val="nil"/>
              <w:bottom w:val="single" w:sz="8" w:space="0" w:color="auto"/>
              <w:right w:val="single" w:sz="8" w:space="0" w:color="auto"/>
            </w:tcBorders>
            <w:noWrap/>
            <w:vAlign w:val="center"/>
            <w:hideMark/>
          </w:tcPr>
          <w:p w14:paraId="2E5FA180" w14:textId="77777777" w:rsidR="00CD3EDA" w:rsidRPr="00A40ED9" w:rsidRDefault="00CD3EDA" w:rsidP="00CD3EDA">
            <w:pPr>
              <w:spacing w:after="0" w:line="360" w:lineRule="auto"/>
              <w:jc w:val="center"/>
              <w:rPr>
                <w:rFonts w:eastAsia="Times New Roman"/>
                <w:lang w:val="es-DO"/>
              </w:rPr>
            </w:pPr>
            <w:r w:rsidRPr="00A40ED9">
              <w:rPr>
                <w:lang w:val="es-DO"/>
              </w:rPr>
              <w:t xml:space="preserve"> -   </w:t>
            </w:r>
          </w:p>
        </w:tc>
        <w:tc>
          <w:tcPr>
            <w:tcW w:w="1856" w:type="dxa"/>
            <w:tcBorders>
              <w:top w:val="nil"/>
              <w:left w:val="nil"/>
              <w:bottom w:val="single" w:sz="8" w:space="0" w:color="auto"/>
              <w:right w:val="single" w:sz="8" w:space="0" w:color="auto"/>
            </w:tcBorders>
            <w:noWrap/>
            <w:vAlign w:val="center"/>
            <w:hideMark/>
          </w:tcPr>
          <w:p w14:paraId="25C377C7" w14:textId="1E60ED83" w:rsidR="00CD3EDA" w:rsidRPr="00A40ED9" w:rsidRDefault="00CD3EDA" w:rsidP="00CD3EDA">
            <w:pPr>
              <w:spacing w:after="0" w:line="360" w:lineRule="auto"/>
              <w:jc w:val="center"/>
              <w:rPr>
                <w:rFonts w:eastAsia="Times New Roman"/>
                <w:lang w:val="es-DO"/>
              </w:rPr>
            </w:pPr>
            <w:r w:rsidRPr="00A40ED9">
              <w:rPr>
                <w:lang w:val="es-DO"/>
              </w:rPr>
              <w:t xml:space="preserve"> -   </w:t>
            </w:r>
          </w:p>
        </w:tc>
        <w:tc>
          <w:tcPr>
            <w:tcW w:w="1856" w:type="dxa"/>
            <w:tcBorders>
              <w:top w:val="nil"/>
              <w:left w:val="nil"/>
              <w:bottom w:val="single" w:sz="8" w:space="0" w:color="auto"/>
              <w:right w:val="single" w:sz="8" w:space="0" w:color="auto"/>
            </w:tcBorders>
            <w:noWrap/>
            <w:vAlign w:val="center"/>
            <w:hideMark/>
          </w:tcPr>
          <w:p w14:paraId="56D6E3AF" w14:textId="69A7A046" w:rsidR="00CD3EDA" w:rsidRPr="00A40ED9" w:rsidRDefault="00CD3EDA" w:rsidP="00CD3EDA">
            <w:pPr>
              <w:spacing w:after="0" w:line="360" w:lineRule="auto"/>
              <w:jc w:val="center"/>
              <w:rPr>
                <w:rFonts w:eastAsia="Times New Roman"/>
                <w:lang w:val="es-DO"/>
              </w:rPr>
            </w:pPr>
            <w:r w:rsidRPr="00A40ED9">
              <w:rPr>
                <w:lang w:val="es-DO"/>
              </w:rPr>
              <w:t xml:space="preserve"> -   </w:t>
            </w:r>
          </w:p>
        </w:tc>
      </w:tr>
      <w:tr w:rsidR="00CD3EDA" w:rsidRPr="00A40ED9" w14:paraId="2E1A6730" w14:textId="77777777" w:rsidTr="00CD3EDA">
        <w:trPr>
          <w:trHeight w:val="241"/>
          <w:jc w:val="center"/>
        </w:trPr>
        <w:tc>
          <w:tcPr>
            <w:tcW w:w="3043" w:type="dxa"/>
            <w:tcBorders>
              <w:top w:val="nil"/>
              <w:left w:val="single" w:sz="8" w:space="0" w:color="auto"/>
              <w:bottom w:val="single" w:sz="8" w:space="0" w:color="auto"/>
              <w:right w:val="single" w:sz="8" w:space="0" w:color="auto"/>
            </w:tcBorders>
            <w:noWrap/>
            <w:vAlign w:val="center"/>
            <w:hideMark/>
          </w:tcPr>
          <w:p w14:paraId="78EB1998" w14:textId="77777777" w:rsidR="00CD3EDA" w:rsidRPr="004F5553" w:rsidRDefault="00CD3EDA" w:rsidP="00CD3EDA">
            <w:pPr>
              <w:spacing w:after="0" w:line="360" w:lineRule="auto"/>
              <w:rPr>
                <w:rFonts w:eastAsia="Times New Roman"/>
                <w:b/>
                <w:bCs/>
                <w:lang w:val="es-DO"/>
              </w:rPr>
            </w:pPr>
            <w:r w:rsidRPr="004F5553">
              <w:rPr>
                <w:rFonts w:eastAsia="Times New Roman"/>
                <w:b/>
                <w:bCs/>
                <w:lang w:val="es-DO"/>
              </w:rPr>
              <w:t>Transferencias corrientes a instituciones públicas financieras</w:t>
            </w:r>
          </w:p>
        </w:tc>
        <w:tc>
          <w:tcPr>
            <w:tcW w:w="2038" w:type="dxa"/>
            <w:tcBorders>
              <w:top w:val="nil"/>
              <w:left w:val="nil"/>
              <w:bottom w:val="single" w:sz="8" w:space="0" w:color="auto"/>
              <w:right w:val="single" w:sz="8" w:space="0" w:color="auto"/>
            </w:tcBorders>
            <w:noWrap/>
            <w:vAlign w:val="center"/>
            <w:hideMark/>
          </w:tcPr>
          <w:p w14:paraId="6E41E5EF" w14:textId="77777777" w:rsidR="00CD3EDA" w:rsidRPr="00A40ED9" w:rsidRDefault="00CD3EDA" w:rsidP="00CD3EDA">
            <w:pPr>
              <w:spacing w:after="0" w:line="360" w:lineRule="auto"/>
              <w:jc w:val="center"/>
              <w:rPr>
                <w:rFonts w:eastAsia="Times New Roman"/>
                <w:lang w:val="es-DO"/>
              </w:rPr>
            </w:pPr>
            <w:r w:rsidRPr="00A40ED9">
              <w:rPr>
                <w:lang w:val="es-DO"/>
              </w:rPr>
              <w:t xml:space="preserve"> -   </w:t>
            </w:r>
          </w:p>
        </w:tc>
        <w:tc>
          <w:tcPr>
            <w:tcW w:w="1856" w:type="dxa"/>
            <w:tcBorders>
              <w:top w:val="nil"/>
              <w:left w:val="nil"/>
              <w:bottom w:val="single" w:sz="8" w:space="0" w:color="auto"/>
              <w:right w:val="single" w:sz="8" w:space="0" w:color="auto"/>
            </w:tcBorders>
            <w:noWrap/>
            <w:vAlign w:val="center"/>
            <w:hideMark/>
          </w:tcPr>
          <w:p w14:paraId="711EFCA1" w14:textId="0550B525" w:rsidR="00CD3EDA" w:rsidRPr="00A40ED9" w:rsidRDefault="00CD3EDA" w:rsidP="00CD3EDA">
            <w:pPr>
              <w:spacing w:after="0" w:line="360" w:lineRule="auto"/>
              <w:jc w:val="center"/>
              <w:rPr>
                <w:rFonts w:eastAsia="Times New Roman"/>
                <w:lang w:val="es-DO"/>
              </w:rPr>
            </w:pPr>
            <w:r w:rsidRPr="00A40ED9">
              <w:rPr>
                <w:lang w:val="es-DO"/>
              </w:rPr>
              <w:t xml:space="preserve"> -   </w:t>
            </w:r>
          </w:p>
        </w:tc>
        <w:tc>
          <w:tcPr>
            <w:tcW w:w="1856" w:type="dxa"/>
            <w:tcBorders>
              <w:top w:val="nil"/>
              <w:left w:val="nil"/>
              <w:bottom w:val="single" w:sz="8" w:space="0" w:color="auto"/>
              <w:right w:val="single" w:sz="8" w:space="0" w:color="auto"/>
            </w:tcBorders>
            <w:noWrap/>
            <w:vAlign w:val="center"/>
            <w:hideMark/>
          </w:tcPr>
          <w:p w14:paraId="4CCEA19A" w14:textId="2794CF45" w:rsidR="00CD3EDA" w:rsidRPr="00A40ED9" w:rsidRDefault="00CD3EDA" w:rsidP="00CD3EDA">
            <w:pPr>
              <w:spacing w:after="0" w:line="360" w:lineRule="auto"/>
              <w:jc w:val="center"/>
              <w:rPr>
                <w:rFonts w:eastAsia="Times New Roman"/>
                <w:lang w:val="es-DO"/>
              </w:rPr>
            </w:pPr>
            <w:r w:rsidRPr="00A40ED9">
              <w:rPr>
                <w:lang w:val="es-DO"/>
              </w:rPr>
              <w:t xml:space="preserve"> -   </w:t>
            </w:r>
          </w:p>
        </w:tc>
      </w:tr>
      <w:tr w:rsidR="00CD3EDA" w:rsidRPr="00A40ED9" w14:paraId="7CADE193" w14:textId="77777777" w:rsidTr="00CD3EDA">
        <w:trPr>
          <w:trHeight w:val="241"/>
          <w:jc w:val="center"/>
        </w:trPr>
        <w:tc>
          <w:tcPr>
            <w:tcW w:w="3043" w:type="dxa"/>
            <w:tcBorders>
              <w:top w:val="nil"/>
              <w:left w:val="single" w:sz="8" w:space="0" w:color="auto"/>
              <w:bottom w:val="single" w:sz="8" w:space="0" w:color="auto"/>
              <w:right w:val="single" w:sz="8" w:space="0" w:color="auto"/>
            </w:tcBorders>
            <w:noWrap/>
            <w:vAlign w:val="center"/>
            <w:hideMark/>
          </w:tcPr>
          <w:p w14:paraId="45F578E6" w14:textId="77777777" w:rsidR="00CD3EDA" w:rsidRPr="004F5553" w:rsidRDefault="00CD3EDA" w:rsidP="00CD3EDA">
            <w:pPr>
              <w:spacing w:after="0" w:line="360" w:lineRule="auto"/>
              <w:rPr>
                <w:rFonts w:eastAsia="Times New Roman"/>
                <w:b/>
                <w:bCs/>
                <w:lang w:val="es-DO"/>
              </w:rPr>
            </w:pPr>
            <w:r w:rsidRPr="004F5553">
              <w:rPr>
                <w:rFonts w:eastAsia="Times New Roman"/>
                <w:b/>
                <w:bCs/>
                <w:lang w:val="es-DO"/>
              </w:rPr>
              <w:t>Subvenciones</w:t>
            </w:r>
          </w:p>
        </w:tc>
        <w:tc>
          <w:tcPr>
            <w:tcW w:w="2038" w:type="dxa"/>
            <w:tcBorders>
              <w:top w:val="nil"/>
              <w:left w:val="nil"/>
              <w:bottom w:val="single" w:sz="8" w:space="0" w:color="auto"/>
              <w:right w:val="single" w:sz="8" w:space="0" w:color="auto"/>
            </w:tcBorders>
            <w:noWrap/>
            <w:vAlign w:val="center"/>
            <w:hideMark/>
          </w:tcPr>
          <w:p w14:paraId="752BEEEF" w14:textId="77777777" w:rsidR="00CD3EDA" w:rsidRPr="00A40ED9" w:rsidRDefault="00CD3EDA" w:rsidP="00CD3EDA">
            <w:pPr>
              <w:spacing w:after="0" w:line="360" w:lineRule="auto"/>
              <w:jc w:val="center"/>
              <w:rPr>
                <w:rFonts w:eastAsia="Times New Roman"/>
                <w:lang w:val="es-DO"/>
              </w:rPr>
            </w:pPr>
            <w:r w:rsidRPr="00A40ED9">
              <w:rPr>
                <w:lang w:val="es-DO"/>
              </w:rPr>
              <w:t xml:space="preserve"> -   </w:t>
            </w:r>
          </w:p>
        </w:tc>
        <w:tc>
          <w:tcPr>
            <w:tcW w:w="1856" w:type="dxa"/>
            <w:tcBorders>
              <w:top w:val="nil"/>
              <w:left w:val="nil"/>
              <w:bottom w:val="single" w:sz="8" w:space="0" w:color="auto"/>
              <w:right w:val="single" w:sz="8" w:space="0" w:color="auto"/>
            </w:tcBorders>
            <w:noWrap/>
            <w:vAlign w:val="center"/>
            <w:hideMark/>
          </w:tcPr>
          <w:p w14:paraId="317A4FCB" w14:textId="71E718D8" w:rsidR="00CD3EDA" w:rsidRPr="00A40ED9" w:rsidRDefault="00CD3EDA" w:rsidP="00CD3EDA">
            <w:pPr>
              <w:spacing w:after="0" w:line="360" w:lineRule="auto"/>
              <w:jc w:val="center"/>
              <w:rPr>
                <w:rFonts w:eastAsia="Times New Roman"/>
                <w:lang w:val="es-DO"/>
              </w:rPr>
            </w:pPr>
            <w:r w:rsidRPr="00A40ED9">
              <w:rPr>
                <w:lang w:val="es-DO"/>
              </w:rPr>
              <w:t xml:space="preserve"> -   </w:t>
            </w:r>
          </w:p>
        </w:tc>
        <w:tc>
          <w:tcPr>
            <w:tcW w:w="1856" w:type="dxa"/>
            <w:tcBorders>
              <w:top w:val="nil"/>
              <w:left w:val="nil"/>
              <w:bottom w:val="single" w:sz="8" w:space="0" w:color="auto"/>
              <w:right w:val="single" w:sz="8" w:space="0" w:color="auto"/>
            </w:tcBorders>
            <w:noWrap/>
            <w:vAlign w:val="center"/>
            <w:hideMark/>
          </w:tcPr>
          <w:p w14:paraId="3C53FA16" w14:textId="4021699B" w:rsidR="00CD3EDA" w:rsidRPr="00A40ED9" w:rsidRDefault="00CD3EDA" w:rsidP="00CD3EDA">
            <w:pPr>
              <w:spacing w:after="0" w:line="360" w:lineRule="auto"/>
              <w:jc w:val="center"/>
              <w:rPr>
                <w:rFonts w:eastAsia="Times New Roman"/>
                <w:lang w:val="es-DO"/>
              </w:rPr>
            </w:pPr>
            <w:r w:rsidRPr="00A40ED9">
              <w:rPr>
                <w:lang w:val="es-DO"/>
              </w:rPr>
              <w:t xml:space="preserve"> -   </w:t>
            </w:r>
          </w:p>
        </w:tc>
      </w:tr>
      <w:tr w:rsidR="00CD3EDA" w:rsidRPr="00A40ED9" w14:paraId="18D98230" w14:textId="77777777" w:rsidTr="00CD3EDA">
        <w:trPr>
          <w:trHeight w:val="241"/>
          <w:jc w:val="center"/>
        </w:trPr>
        <w:tc>
          <w:tcPr>
            <w:tcW w:w="3043" w:type="dxa"/>
            <w:tcBorders>
              <w:top w:val="nil"/>
              <w:left w:val="single" w:sz="8" w:space="0" w:color="auto"/>
              <w:bottom w:val="single" w:sz="8" w:space="0" w:color="auto"/>
              <w:right w:val="single" w:sz="8" w:space="0" w:color="auto"/>
            </w:tcBorders>
            <w:noWrap/>
            <w:vAlign w:val="center"/>
            <w:hideMark/>
          </w:tcPr>
          <w:p w14:paraId="35B3BE76" w14:textId="77777777" w:rsidR="00CD3EDA" w:rsidRPr="004F5553" w:rsidRDefault="00CD3EDA" w:rsidP="00CD3EDA">
            <w:pPr>
              <w:spacing w:after="0" w:line="360" w:lineRule="auto"/>
              <w:rPr>
                <w:rFonts w:eastAsia="Times New Roman"/>
                <w:b/>
                <w:bCs/>
                <w:lang w:val="es-DO"/>
              </w:rPr>
            </w:pPr>
            <w:r w:rsidRPr="004F5553">
              <w:rPr>
                <w:rFonts w:eastAsia="Times New Roman"/>
                <w:b/>
                <w:bCs/>
                <w:lang w:val="es-DO"/>
              </w:rPr>
              <w:t>Transferencias corrientes al sector externo</w:t>
            </w:r>
          </w:p>
        </w:tc>
        <w:tc>
          <w:tcPr>
            <w:tcW w:w="2038" w:type="dxa"/>
            <w:tcBorders>
              <w:top w:val="nil"/>
              <w:left w:val="nil"/>
              <w:bottom w:val="single" w:sz="8" w:space="0" w:color="auto"/>
              <w:right w:val="single" w:sz="8" w:space="0" w:color="auto"/>
            </w:tcBorders>
            <w:noWrap/>
            <w:vAlign w:val="center"/>
            <w:hideMark/>
          </w:tcPr>
          <w:p w14:paraId="4B9E8AA9" w14:textId="77777777" w:rsidR="00CD3EDA" w:rsidRPr="00A40ED9" w:rsidRDefault="00CD3EDA" w:rsidP="00CD3EDA">
            <w:pPr>
              <w:spacing w:after="0" w:line="360" w:lineRule="auto"/>
              <w:jc w:val="center"/>
              <w:rPr>
                <w:rFonts w:eastAsia="Times New Roman"/>
                <w:lang w:val="es-DO"/>
              </w:rPr>
            </w:pPr>
            <w:r w:rsidRPr="00A40ED9">
              <w:rPr>
                <w:lang w:val="es-DO"/>
              </w:rPr>
              <w:t xml:space="preserve"> 4,806,580 </w:t>
            </w:r>
          </w:p>
        </w:tc>
        <w:tc>
          <w:tcPr>
            <w:tcW w:w="1856" w:type="dxa"/>
            <w:tcBorders>
              <w:top w:val="nil"/>
              <w:left w:val="nil"/>
              <w:bottom w:val="single" w:sz="8" w:space="0" w:color="auto"/>
              <w:right w:val="single" w:sz="8" w:space="0" w:color="auto"/>
            </w:tcBorders>
            <w:noWrap/>
            <w:vAlign w:val="center"/>
            <w:hideMark/>
          </w:tcPr>
          <w:p w14:paraId="1C3A4E69" w14:textId="150E1EAC" w:rsidR="00CD3EDA" w:rsidRPr="00A40ED9" w:rsidRDefault="00CD3EDA" w:rsidP="00CD3EDA">
            <w:pPr>
              <w:spacing w:after="0" w:line="360" w:lineRule="auto"/>
              <w:jc w:val="center"/>
              <w:rPr>
                <w:rFonts w:eastAsia="Times New Roman"/>
                <w:lang w:val="es-DO"/>
              </w:rPr>
            </w:pPr>
            <w:r w:rsidRPr="00A40ED9">
              <w:rPr>
                <w:lang w:val="es-DO"/>
              </w:rPr>
              <w:t xml:space="preserve"> -   </w:t>
            </w:r>
          </w:p>
        </w:tc>
        <w:tc>
          <w:tcPr>
            <w:tcW w:w="1856" w:type="dxa"/>
            <w:tcBorders>
              <w:top w:val="nil"/>
              <w:left w:val="nil"/>
              <w:bottom w:val="single" w:sz="8" w:space="0" w:color="auto"/>
              <w:right w:val="single" w:sz="8" w:space="0" w:color="auto"/>
            </w:tcBorders>
            <w:noWrap/>
            <w:vAlign w:val="center"/>
            <w:hideMark/>
          </w:tcPr>
          <w:p w14:paraId="03DEE3E5" w14:textId="77777777" w:rsidR="00CD3EDA" w:rsidRPr="00A40ED9" w:rsidRDefault="00CD3EDA" w:rsidP="00CD3EDA">
            <w:pPr>
              <w:spacing w:after="0" w:line="360" w:lineRule="auto"/>
              <w:jc w:val="center"/>
              <w:rPr>
                <w:rFonts w:eastAsia="Times New Roman"/>
                <w:lang w:val="es-DO"/>
              </w:rPr>
            </w:pPr>
            <w:r w:rsidRPr="00A40ED9">
              <w:rPr>
                <w:lang w:val="es-DO"/>
              </w:rPr>
              <w:t>4,806,580</w:t>
            </w:r>
          </w:p>
        </w:tc>
      </w:tr>
      <w:tr w:rsidR="00CD3EDA" w:rsidRPr="00A40ED9" w14:paraId="2982A30C" w14:textId="77777777" w:rsidTr="00CD3EDA">
        <w:trPr>
          <w:trHeight w:val="241"/>
          <w:jc w:val="center"/>
        </w:trPr>
        <w:tc>
          <w:tcPr>
            <w:tcW w:w="3043" w:type="dxa"/>
            <w:tcBorders>
              <w:top w:val="nil"/>
              <w:left w:val="single" w:sz="8" w:space="0" w:color="auto"/>
              <w:bottom w:val="single" w:sz="8" w:space="0" w:color="auto"/>
              <w:right w:val="single" w:sz="8" w:space="0" w:color="auto"/>
            </w:tcBorders>
            <w:noWrap/>
            <w:vAlign w:val="center"/>
            <w:hideMark/>
          </w:tcPr>
          <w:p w14:paraId="6B64358A" w14:textId="77777777" w:rsidR="00CD3EDA" w:rsidRPr="004F5553" w:rsidRDefault="00CD3EDA" w:rsidP="00CD3EDA">
            <w:pPr>
              <w:spacing w:after="0" w:line="360" w:lineRule="auto"/>
              <w:rPr>
                <w:rFonts w:eastAsia="Times New Roman"/>
                <w:b/>
                <w:bCs/>
                <w:lang w:val="es-DO"/>
              </w:rPr>
            </w:pPr>
            <w:r w:rsidRPr="004F5553">
              <w:rPr>
                <w:rFonts w:eastAsia="Times New Roman"/>
                <w:b/>
                <w:bCs/>
                <w:lang w:val="es-DO"/>
              </w:rPr>
              <w:t>Transferencias corrientes a otras instituciones públicas</w:t>
            </w:r>
          </w:p>
        </w:tc>
        <w:tc>
          <w:tcPr>
            <w:tcW w:w="2038" w:type="dxa"/>
            <w:tcBorders>
              <w:top w:val="nil"/>
              <w:left w:val="nil"/>
              <w:bottom w:val="single" w:sz="8" w:space="0" w:color="auto"/>
              <w:right w:val="single" w:sz="8" w:space="0" w:color="auto"/>
            </w:tcBorders>
            <w:noWrap/>
            <w:vAlign w:val="center"/>
            <w:hideMark/>
          </w:tcPr>
          <w:p w14:paraId="7E66E19F" w14:textId="77777777" w:rsidR="00CD3EDA" w:rsidRPr="00A40ED9" w:rsidRDefault="00CD3EDA" w:rsidP="00CD3EDA">
            <w:pPr>
              <w:spacing w:after="0" w:line="360" w:lineRule="auto"/>
              <w:jc w:val="center"/>
              <w:rPr>
                <w:rFonts w:eastAsia="Times New Roman"/>
                <w:lang w:val="es-DO"/>
              </w:rPr>
            </w:pPr>
            <w:r w:rsidRPr="00A40ED9">
              <w:rPr>
                <w:lang w:val="es-DO"/>
              </w:rPr>
              <w:t xml:space="preserve"> -   </w:t>
            </w:r>
          </w:p>
        </w:tc>
        <w:tc>
          <w:tcPr>
            <w:tcW w:w="1856" w:type="dxa"/>
            <w:tcBorders>
              <w:top w:val="nil"/>
              <w:left w:val="nil"/>
              <w:bottom w:val="single" w:sz="8" w:space="0" w:color="auto"/>
              <w:right w:val="single" w:sz="8" w:space="0" w:color="auto"/>
            </w:tcBorders>
            <w:noWrap/>
            <w:vAlign w:val="center"/>
            <w:hideMark/>
          </w:tcPr>
          <w:p w14:paraId="4BEA7F95" w14:textId="081A66FA" w:rsidR="00CD3EDA" w:rsidRPr="00A40ED9" w:rsidRDefault="00CD3EDA" w:rsidP="00CD3EDA">
            <w:pPr>
              <w:spacing w:after="0" w:line="360" w:lineRule="auto"/>
              <w:jc w:val="center"/>
              <w:rPr>
                <w:rFonts w:eastAsia="Times New Roman"/>
                <w:lang w:val="es-DO"/>
              </w:rPr>
            </w:pPr>
            <w:r w:rsidRPr="00A40ED9">
              <w:rPr>
                <w:lang w:val="es-DO"/>
              </w:rPr>
              <w:t xml:space="preserve"> -   </w:t>
            </w:r>
          </w:p>
        </w:tc>
        <w:tc>
          <w:tcPr>
            <w:tcW w:w="1856" w:type="dxa"/>
            <w:tcBorders>
              <w:top w:val="nil"/>
              <w:left w:val="nil"/>
              <w:bottom w:val="single" w:sz="8" w:space="0" w:color="auto"/>
              <w:right w:val="single" w:sz="8" w:space="0" w:color="auto"/>
            </w:tcBorders>
            <w:noWrap/>
            <w:vAlign w:val="center"/>
            <w:hideMark/>
          </w:tcPr>
          <w:p w14:paraId="7E2D437A" w14:textId="722F6D1C" w:rsidR="00CD3EDA" w:rsidRPr="00A40ED9" w:rsidRDefault="00CD3EDA" w:rsidP="00CD3EDA">
            <w:pPr>
              <w:spacing w:after="0" w:line="360" w:lineRule="auto"/>
              <w:jc w:val="center"/>
              <w:rPr>
                <w:rFonts w:eastAsia="Times New Roman"/>
                <w:lang w:val="es-DO"/>
              </w:rPr>
            </w:pPr>
            <w:r w:rsidRPr="00A40ED9">
              <w:rPr>
                <w:lang w:val="es-DO"/>
              </w:rPr>
              <w:t xml:space="preserve"> -   </w:t>
            </w:r>
          </w:p>
        </w:tc>
      </w:tr>
      <w:tr w:rsidR="00CD3EDA" w:rsidRPr="00A40ED9" w14:paraId="038C0367" w14:textId="77777777" w:rsidTr="00CD3EDA">
        <w:trPr>
          <w:trHeight w:val="241"/>
          <w:jc w:val="center"/>
        </w:trPr>
        <w:tc>
          <w:tcPr>
            <w:tcW w:w="3043" w:type="dxa"/>
            <w:tcBorders>
              <w:top w:val="nil"/>
              <w:left w:val="single" w:sz="8" w:space="0" w:color="auto"/>
              <w:bottom w:val="single" w:sz="8" w:space="0" w:color="auto"/>
              <w:right w:val="single" w:sz="8" w:space="0" w:color="auto"/>
            </w:tcBorders>
            <w:shd w:val="clear" w:color="000000" w:fill="003876"/>
            <w:noWrap/>
            <w:vAlign w:val="center"/>
            <w:hideMark/>
          </w:tcPr>
          <w:p w14:paraId="13B5C36D" w14:textId="77777777" w:rsidR="00CD3EDA" w:rsidRPr="00A40ED9" w:rsidRDefault="00CD3EDA" w:rsidP="00CD3EDA">
            <w:pPr>
              <w:spacing w:after="0" w:line="360" w:lineRule="auto"/>
              <w:rPr>
                <w:rFonts w:eastAsia="Times New Roman"/>
                <w:b/>
                <w:bCs/>
                <w:color w:val="FFFFFF"/>
                <w:lang w:val="es-DO"/>
              </w:rPr>
            </w:pPr>
            <w:proofErr w:type="gramStart"/>
            <w:r w:rsidRPr="00A40ED9">
              <w:rPr>
                <w:rFonts w:eastAsia="Times New Roman"/>
                <w:b/>
                <w:bCs/>
                <w:color w:val="FFFFFF"/>
                <w:lang w:val="es-DO"/>
              </w:rPr>
              <w:t>Total</w:t>
            </w:r>
            <w:proofErr w:type="gramEnd"/>
            <w:r w:rsidRPr="00A40ED9">
              <w:rPr>
                <w:rFonts w:eastAsia="Times New Roman"/>
                <w:b/>
                <w:bCs/>
                <w:color w:val="FFFFFF"/>
                <w:lang w:val="es-DO"/>
              </w:rPr>
              <w:t xml:space="preserve"> transferencias corrientes</w:t>
            </w:r>
          </w:p>
        </w:tc>
        <w:tc>
          <w:tcPr>
            <w:tcW w:w="2038" w:type="dxa"/>
            <w:tcBorders>
              <w:top w:val="nil"/>
              <w:left w:val="nil"/>
              <w:bottom w:val="single" w:sz="8" w:space="0" w:color="auto"/>
              <w:right w:val="single" w:sz="8" w:space="0" w:color="auto"/>
            </w:tcBorders>
            <w:shd w:val="clear" w:color="000000" w:fill="003876"/>
            <w:vAlign w:val="center"/>
            <w:hideMark/>
          </w:tcPr>
          <w:p w14:paraId="3F16EBB0" w14:textId="77777777" w:rsidR="00CD3EDA" w:rsidRPr="00A40ED9" w:rsidRDefault="00CD3EDA" w:rsidP="00CD3EDA">
            <w:pPr>
              <w:spacing w:after="0" w:line="360" w:lineRule="auto"/>
              <w:jc w:val="center"/>
              <w:rPr>
                <w:rFonts w:eastAsia="Times New Roman"/>
                <w:b/>
                <w:bCs/>
                <w:color w:val="FFFFFF"/>
                <w:lang w:val="es-DO"/>
              </w:rPr>
            </w:pPr>
            <w:r w:rsidRPr="00A40ED9">
              <w:rPr>
                <w:rFonts w:eastAsia="Times New Roman"/>
                <w:b/>
                <w:bCs/>
                <w:color w:val="FFFFFF"/>
                <w:lang w:val="es-DO"/>
              </w:rPr>
              <w:t>2,405,525,551</w:t>
            </w:r>
          </w:p>
        </w:tc>
        <w:tc>
          <w:tcPr>
            <w:tcW w:w="1856" w:type="dxa"/>
            <w:tcBorders>
              <w:top w:val="nil"/>
              <w:left w:val="nil"/>
              <w:bottom w:val="single" w:sz="8" w:space="0" w:color="auto"/>
              <w:right w:val="single" w:sz="8" w:space="0" w:color="auto"/>
            </w:tcBorders>
            <w:shd w:val="clear" w:color="000000" w:fill="003876"/>
            <w:vAlign w:val="center"/>
            <w:hideMark/>
          </w:tcPr>
          <w:p w14:paraId="6D5C9687" w14:textId="08C9CC5D" w:rsidR="00CD3EDA" w:rsidRPr="00A40ED9" w:rsidRDefault="00CD3EDA" w:rsidP="00CD3EDA">
            <w:pPr>
              <w:spacing w:after="0" w:line="360" w:lineRule="auto"/>
              <w:rPr>
                <w:rFonts w:eastAsia="Times New Roman"/>
                <w:b/>
                <w:bCs/>
                <w:color w:val="FFFFFF"/>
                <w:lang w:val="es-DO"/>
              </w:rPr>
            </w:pPr>
            <w:r w:rsidRPr="00CD3EDA">
              <w:rPr>
                <w:rFonts w:eastAsia="Times New Roman"/>
                <w:b/>
                <w:bCs/>
                <w:color w:val="FFFFFF"/>
                <w:lang w:val="es-DO"/>
              </w:rPr>
              <w:t>2,305,473,938</w:t>
            </w:r>
          </w:p>
        </w:tc>
        <w:tc>
          <w:tcPr>
            <w:tcW w:w="1856" w:type="dxa"/>
            <w:tcBorders>
              <w:top w:val="nil"/>
              <w:left w:val="nil"/>
              <w:bottom w:val="single" w:sz="8" w:space="0" w:color="auto"/>
              <w:right w:val="single" w:sz="8" w:space="0" w:color="auto"/>
            </w:tcBorders>
            <w:shd w:val="clear" w:color="000000" w:fill="003876"/>
            <w:noWrap/>
            <w:vAlign w:val="center"/>
            <w:hideMark/>
          </w:tcPr>
          <w:p w14:paraId="14079FD9" w14:textId="72BAED33" w:rsidR="00CD3EDA" w:rsidRPr="00A40ED9" w:rsidRDefault="00CD3EDA" w:rsidP="00CD3EDA">
            <w:pPr>
              <w:spacing w:after="0" w:line="360" w:lineRule="auto"/>
              <w:jc w:val="center"/>
              <w:rPr>
                <w:rFonts w:eastAsia="Times New Roman"/>
                <w:b/>
                <w:bCs/>
                <w:color w:val="FFFFFF"/>
                <w:lang w:val="es-DO"/>
              </w:rPr>
            </w:pPr>
            <w:r w:rsidRPr="00CD3EDA">
              <w:rPr>
                <w:rFonts w:eastAsia="Times New Roman"/>
                <w:b/>
                <w:bCs/>
                <w:color w:val="FFFFFF"/>
                <w:lang w:val="es-DO"/>
              </w:rPr>
              <w:t>100,051,613</w:t>
            </w:r>
          </w:p>
        </w:tc>
      </w:tr>
    </w:tbl>
    <w:p w14:paraId="07EBDD19" w14:textId="0AB0388E" w:rsidR="008670C1" w:rsidRPr="00A40ED9" w:rsidRDefault="008670C1" w:rsidP="006B204A">
      <w:pPr>
        <w:rPr>
          <w:lang w:val="es-DO"/>
        </w:rPr>
      </w:pPr>
    </w:p>
    <w:tbl>
      <w:tblPr>
        <w:tblW w:w="8793" w:type="dxa"/>
        <w:jc w:val="center"/>
        <w:tblCellMar>
          <w:top w:w="15" w:type="dxa"/>
          <w:bottom w:w="15" w:type="dxa"/>
        </w:tblCellMar>
        <w:tblLook w:val="04A0" w:firstRow="1" w:lastRow="0" w:firstColumn="1" w:lastColumn="0" w:noHBand="0" w:noVBand="1"/>
      </w:tblPr>
      <w:tblGrid>
        <w:gridCol w:w="3043"/>
        <w:gridCol w:w="2038"/>
        <w:gridCol w:w="1856"/>
        <w:gridCol w:w="1856"/>
      </w:tblGrid>
      <w:tr w:rsidR="008670C1" w:rsidRPr="00A40ED9" w14:paraId="216077F0" w14:textId="77777777" w:rsidTr="00D13CD3">
        <w:trPr>
          <w:trHeight w:val="241"/>
          <w:tblHeader/>
          <w:jc w:val="center"/>
        </w:trPr>
        <w:tc>
          <w:tcPr>
            <w:tcW w:w="3043" w:type="dxa"/>
            <w:tcBorders>
              <w:top w:val="single" w:sz="8" w:space="0" w:color="auto"/>
              <w:left w:val="single" w:sz="8" w:space="0" w:color="auto"/>
              <w:bottom w:val="single" w:sz="8" w:space="0" w:color="auto"/>
              <w:right w:val="single" w:sz="8" w:space="0" w:color="auto"/>
            </w:tcBorders>
            <w:shd w:val="clear" w:color="000000" w:fill="003876"/>
            <w:noWrap/>
            <w:vAlign w:val="center"/>
            <w:hideMark/>
          </w:tcPr>
          <w:p w14:paraId="7F12BB79" w14:textId="77777777" w:rsidR="008670C1" w:rsidRPr="004F5553" w:rsidRDefault="008670C1" w:rsidP="006B204A">
            <w:pPr>
              <w:spacing w:after="0" w:line="360" w:lineRule="auto"/>
              <w:rPr>
                <w:rFonts w:eastAsia="Times New Roman"/>
                <w:b/>
                <w:bCs/>
                <w:color w:val="FFFFFF"/>
                <w:lang w:val="es-DO"/>
              </w:rPr>
            </w:pPr>
            <w:r w:rsidRPr="004F5553">
              <w:rPr>
                <w:rFonts w:eastAsia="Times New Roman"/>
                <w:b/>
                <w:bCs/>
                <w:color w:val="FFFFFF"/>
                <w:lang w:val="es-DO"/>
              </w:rPr>
              <w:t>Bienes muebles, inmuebles e intangibles</w:t>
            </w:r>
          </w:p>
        </w:tc>
        <w:tc>
          <w:tcPr>
            <w:tcW w:w="2038" w:type="dxa"/>
            <w:tcBorders>
              <w:top w:val="single" w:sz="8" w:space="0" w:color="auto"/>
              <w:left w:val="nil"/>
              <w:bottom w:val="single" w:sz="8" w:space="0" w:color="auto"/>
              <w:right w:val="single" w:sz="8" w:space="0" w:color="auto"/>
            </w:tcBorders>
            <w:shd w:val="clear" w:color="000000" w:fill="003876"/>
            <w:noWrap/>
            <w:vAlign w:val="center"/>
            <w:hideMark/>
          </w:tcPr>
          <w:p w14:paraId="0CAF0CF8" w14:textId="77777777" w:rsidR="008670C1" w:rsidRPr="004F5553" w:rsidRDefault="008670C1" w:rsidP="006B204A">
            <w:pPr>
              <w:spacing w:after="0" w:line="360" w:lineRule="auto"/>
              <w:rPr>
                <w:rFonts w:eastAsia="Times New Roman"/>
                <w:b/>
                <w:bCs/>
                <w:color w:val="FFFFFF"/>
                <w:lang w:val="es-DO"/>
              </w:rPr>
            </w:pPr>
            <w:r w:rsidRPr="004F5553">
              <w:rPr>
                <w:rFonts w:eastAsia="Times New Roman"/>
                <w:b/>
                <w:bCs/>
                <w:color w:val="FFFFFF"/>
                <w:lang w:val="es-DO"/>
              </w:rPr>
              <w:t xml:space="preserve">Presupuesto </w:t>
            </w:r>
          </w:p>
        </w:tc>
        <w:tc>
          <w:tcPr>
            <w:tcW w:w="1856" w:type="dxa"/>
            <w:tcBorders>
              <w:top w:val="single" w:sz="8" w:space="0" w:color="auto"/>
              <w:left w:val="nil"/>
              <w:bottom w:val="single" w:sz="8" w:space="0" w:color="auto"/>
              <w:right w:val="single" w:sz="8" w:space="0" w:color="auto"/>
            </w:tcBorders>
            <w:shd w:val="clear" w:color="000000" w:fill="003876"/>
            <w:noWrap/>
            <w:vAlign w:val="center"/>
            <w:hideMark/>
          </w:tcPr>
          <w:p w14:paraId="32912AE2" w14:textId="77777777" w:rsidR="008670C1" w:rsidRPr="004F5553" w:rsidRDefault="008670C1" w:rsidP="006B204A">
            <w:pPr>
              <w:spacing w:after="0" w:line="360" w:lineRule="auto"/>
              <w:jc w:val="center"/>
              <w:rPr>
                <w:rFonts w:eastAsia="Times New Roman"/>
                <w:b/>
                <w:bCs/>
                <w:color w:val="FFFFFF"/>
                <w:lang w:val="es-DO"/>
              </w:rPr>
            </w:pPr>
            <w:r w:rsidRPr="004F5553">
              <w:rPr>
                <w:rFonts w:eastAsia="Times New Roman"/>
                <w:b/>
                <w:bCs/>
                <w:color w:val="FFFFFF"/>
                <w:lang w:val="es-DO"/>
              </w:rPr>
              <w:t xml:space="preserve">Ejecutado </w:t>
            </w:r>
          </w:p>
        </w:tc>
        <w:tc>
          <w:tcPr>
            <w:tcW w:w="1856" w:type="dxa"/>
            <w:tcBorders>
              <w:top w:val="single" w:sz="8" w:space="0" w:color="auto"/>
              <w:left w:val="nil"/>
              <w:bottom w:val="single" w:sz="8" w:space="0" w:color="auto"/>
              <w:right w:val="single" w:sz="8" w:space="0" w:color="auto"/>
            </w:tcBorders>
            <w:shd w:val="clear" w:color="000000" w:fill="003876"/>
            <w:noWrap/>
            <w:vAlign w:val="center"/>
            <w:hideMark/>
          </w:tcPr>
          <w:p w14:paraId="06270110" w14:textId="77777777" w:rsidR="008670C1" w:rsidRPr="004F5553" w:rsidRDefault="008670C1" w:rsidP="006B204A">
            <w:pPr>
              <w:spacing w:after="0" w:line="360" w:lineRule="auto"/>
              <w:jc w:val="center"/>
              <w:rPr>
                <w:rFonts w:eastAsia="Times New Roman"/>
                <w:b/>
                <w:bCs/>
                <w:color w:val="FFFFFF"/>
                <w:lang w:val="es-DO"/>
              </w:rPr>
            </w:pPr>
            <w:r w:rsidRPr="004F5553">
              <w:rPr>
                <w:rFonts w:eastAsia="Times New Roman"/>
                <w:b/>
                <w:bCs/>
                <w:color w:val="FFFFFF"/>
                <w:lang w:val="es-DO"/>
              </w:rPr>
              <w:t xml:space="preserve"> balance </w:t>
            </w:r>
          </w:p>
        </w:tc>
      </w:tr>
      <w:tr w:rsidR="00CD3EDA" w:rsidRPr="00A40ED9" w14:paraId="03A34F33" w14:textId="77777777" w:rsidTr="00FC40B6">
        <w:trPr>
          <w:trHeight w:val="241"/>
          <w:jc w:val="center"/>
        </w:trPr>
        <w:tc>
          <w:tcPr>
            <w:tcW w:w="3043" w:type="dxa"/>
            <w:tcBorders>
              <w:top w:val="nil"/>
              <w:left w:val="single" w:sz="8" w:space="0" w:color="auto"/>
              <w:bottom w:val="single" w:sz="8" w:space="0" w:color="auto"/>
              <w:right w:val="single" w:sz="8" w:space="0" w:color="auto"/>
            </w:tcBorders>
            <w:noWrap/>
            <w:vAlign w:val="center"/>
            <w:hideMark/>
          </w:tcPr>
          <w:p w14:paraId="0CE603B7" w14:textId="77777777" w:rsidR="00CD3EDA" w:rsidRPr="004F5553" w:rsidRDefault="00CD3EDA" w:rsidP="00CD3EDA">
            <w:pPr>
              <w:spacing w:after="0" w:line="360" w:lineRule="auto"/>
              <w:rPr>
                <w:rFonts w:eastAsia="Times New Roman"/>
                <w:b/>
                <w:bCs/>
                <w:lang w:val="es-DO"/>
              </w:rPr>
            </w:pPr>
            <w:r w:rsidRPr="004F5553">
              <w:rPr>
                <w:rFonts w:eastAsia="Times New Roman"/>
                <w:b/>
                <w:bCs/>
                <w:lang w:val="es-DO"/>
              </w:rPr>
              <w:t>Mobiliario y equipo</w:t>
            </w:r>
          </w:p>
        </w:tc>
        <w:tc>
          <w:tcPr>
            <w:tcW w:w="2038" w:type="dxa"/>
            <w:tcBorders>
              <w:top w:val="nil"/>
              <w:left w:val="nil"/>
              <w:bottom w:val="single" w:sz="8" w:space="0" w:color="auto"/>
              <w:right w:val="single" w:sz="8" w:space="0" w:color="auto"/>
            </w:tcBorders>
            <w:noWrap/>
            <w:vAlign w:val="center"/>
            <w:hideMark/>
          </w:tcPr>
          <w:p w14:paraId="6F292891" w14:textId="77777777" w:rsidR="00CD3EDA" w:rsidRPr="004F5553" w:rsidRDefault="00CD3EDA" w:rsidP="00CD3EDA">
            <w:pPr>
              <w:spacing w:after="0" w:line="360" w:lineRule="auto"/>
              <w:jc w:val="center"/>
              <w:rPr>
                <w:rFonts w:eastAsia="Times New Roman"/>
                <w:lang w:val="es-DO"/>
              </w:rPr>
            </w:pPr>
            <w:r w:rsidRPr="004F5553">
              <w:rPr>
                <w:lang w:val="es-DO"/>
              </w:rPr>
              <w:t xml:space="preserve"> 48,441,613 </w:t>
            </w:r>
          </w:p>
        </w:tc>
        <w:tc>
          <w:tcPr>
            <w:tcW w:w="1856" w:type="dxa"/>
            <w:tcBorders>
              <w:top w:val="nil"/>
              <w:left w:val="nil"/>
              <w:bottom w:val="single" w:sz="8" w:space="0" w:color="auto"/>
              <w:right w:val="single" w:sz="8" w:space="0" w:color="auto"/>
            </w:tcBorders>
            <w:noWrap/>
            <w:hideMark/>
          </w:tcPr>
          <w:p w14:paraId="19063F82" w14:textId="7F8DD034" w:rsidR="00CD3EDA" w:rsidRPr="004F5553" w:rsidRDefault="00CD3EDA" w:rsidP="00CD3EDA">
            <w:pPr>
              <w:spacing w:after="0" w:line="360" w:lineRule="auto"/>
              <w:jc w:val="center"/>
              <w:rPr>
                <w:rFonts w:eastAsia="Times New Roman"/>
                <w:lang w:val="es-DO"/>
              </w:rPr>
            </w:pPr>
            <w:r w:rsidRPr="007F7BF7">
              <w:t>12,319,442</w:t>
            </w:r>
          </w:p>
        </w:tc>
        <w:tc>
          <w:tcPr>
            <w:tcW w:w="1856" w:type="dxa"/>
            <w:tcBorders>
              <w:top w:val="nil"/>
              <w:left w:val="nil"/>
              <w:bottom w:val="single" w:sz="8" w:space="0" w:color="auto"/>
              <w:right w:val="single" w:sz="8" w:space="0" w:color="auto"/>
            </w:tcBorders>
            <w:noWrap/>
            <w:hideMark/>
          </w:tcPr>
          <w:p w14:paraId="1FBF2962" w14:textId="0DA8FBED" w:rsidR="00CD3EDA" w:rsidRPr="004F5553" w:rsidRDefault="00CD3EDA" w:rsidP="00CD3EDA">
            <w:pPr>
              <w:spacing w:after="0" w:line="360" w:lineRule="auto"/>
              <w:jc w:val="center"/>
              <w:rPr>
                <w:rFonts w:eastAsia="Times New Roman"/>
                <w:lang w:val="es-DO"/>
              </w:rPr>
            </w:pPr>
            <w:r w:rsidRPr="007F7BF7">
              <w:t>36,122,170</w:t>
            </w:r>
          </w:p>
        </w:tc>
      </w:tr>
      <w:tr w:rsidR="008670C1" w:rsidRPr="00A40ED9" w14:paraId="13FF33A3" w14:textId="77777777" w:rsidTr="00D13CD3">
        <w:trPr>
          <w:trHeight w:val="241"/>
          <w:jc w:val="center"/>
        </w:trPr>
        <w:tc>
          <w:tcPr>
            <w:tcW w:w="3043" w:type="dxa"/>
            <w:tcBorders>
              <w:top w:val="nil"/>
              <w:left w:val="single" w:sz="8" w:space="0" w:color="auto"/>
              <w:bottom w:val="single" w:sz="8" w:space="0" w:color="auto"/>
              <w:right w:val="single" w:sz="8" w:space="0" w:color="auto"/>
            </w:tcBorders>
            <w:noWrap/>
            <w:vAlign w:val="center"/>
            <w:hideMark/>
          </w:tcPr>
          <w:p w14:paraId="2B220CA7" w14:textId="77777777" w:rsidR="008670C1" w:rsidRPr="004F5553" w:rsidRDefault="008670C1" w:rsidP="006B204A">
            <w:pPr>
              <w:spacing w:after="0" w:line="360" w:lineRule="auto"/>
              <w:rPr>
                <w:rFonts w:eastAsia="Times New Roman"/>
                <w:b/>
                <w:bCs/>
                <w:lang w:val="es-DO"/>
              </w:rPr>
            </w:pPr>
            <w:r w:rsidRPr="004F5553">
              <w:rPr>
                <w:rFonts w:eastAsia="Times New Roman"/>
                <w:b/>
                <w:bCs/>
                <w:lang w:val="es-DO"/>
              </w:rPr>
              <w:t>Mobiliario y equipo audiovisual, recreativo y educacional</w:t>
            </w:r>
          </w:p>
        </w:tc>
        <w:tc>
          <w:tcPr>
            <w:tcW w:w="2038" w:type="dxa"/>
            <w:tcBorders>
              <w:top w:val="nil"/>
              <w:left w:val="nil"/>
              <w:bottom w:val="single" w:sz="8" w:space="0" w:color="auto"/>
              <w:right w:val="single" w:sz="8" w:space="0" w:color="auto"/>
            </w:tcBorders>
            <w:noWrap/>
            <w:vAlign w:val="center"/>
            <w:hideMark/>
          </w:tcPr>
          <w:p w14:paraId="544C3430" w14:textId="77777777" w:rsidR="008670C1" w:rsidRPr="004F5553" w:rsidRDefault="008670C1" w:rsidP="006B204A">
            <w:pPr>
              <w:spacing w:after="0" w:line="360" w:lineRule="auto"/>
              <w:jc w:val="center"/>
              <w:rPr>
                <w:rFonts w:eastAsia="Times New Roman"/>
                <w:lang w:val="es-DO"/>
              </w:rPr>
            </w:pPr>
            <w:r w:rsidRPr="004F5553">
              <w:rPr>
                <w:lang w:val="es-DO"/>
              </w:rPr>
              <w:t xml:space="preserve"> 2,975,000 </w:t>
            </w:r>
          </w:p>
        </w:tc>
        <w:tc>
          <w:tcPr>
            <w:tcW w:w="1856" w:type="dxa"/>
            <w:tcBorders>
              <w:top w:val="nil"/>
              <w:left w:val="nil"/>
              <w:bottom w:val="single" w:sz="8" w:space="0" w:color="auto"/>
              <w:right w:val="single" w:sz="8" w:space="0" w:color="auto"/>
            </w:tcBorders>
            <w:noWrap/>
            <w:vAlign w:val="center"/>
            <w:hideMark/>
          </w:tcPr>
          <w:p w14:paraId="0A7B0742" w14:textId="3DE0A9A3" w:rsidR="008670C1" w:rsidRPr="004F5553" w:rsidRDefault="00CD3EDA" w:rsidP="006B204A">
            <w:pPr>
              <w:spacing w:after="0" w:line="360" w:lineRule="auto"/>
              <w:jc w:val="center"/>
              <w:rPr>
                <w:rFonts w:eastAsia="Times New Roman"/>
                <w:lang w:val="es-DO"/>
              </w:rPr>
            </w:pPr>
            <w:r w:rsidRPr="00CD3EDA">
              <w:rPr>
                <w:lang w:val="es-DO"/>
              </w:rPr>
              <w:t>320,084</w:t>
            </w:r>
          </w:p>
        </w:tc>
        <w:tc>
          <w:tcPr>
            <w:tcW w:w="1856" w:type="dxa"/>
            <w:tcBorders>
              <w:top w:val="nil"/>
              <w:left w:val="nil"/>
              <w:bottom w:val="single" w:sz="8" w:space="0" w:color="auto"/>
              <w:right w:val="single" w:sz="8" w:space="0" w:color="auto"/>
            </w:tcBorders>
            <w:noWrap/>
            <w:vAlign w:val="center"/>
            <w:hideMark/>
          </w:tcPr>
          <w:p w14:paraId="2CD21F15" w14:textId="0881EF37" w:rsidR="008670C1" w:rsidRPr="004F5553" w:rsidRDefault="00CD3EDA" w:rsidP="006B204A">
            <w:pPr>
              <w:spacing w:after="0" w:line="360" w:lineRule="auto"/>
              <w:jc w:val="center"/>
              <w:rPr>
                <w:rFonts w:eastAsia="Times New Roman"/>
                <w:lang w:val="es-DO"/>
              </w:rPr>
            </w:pPr>
            <w:r w:rsidRPr="00CD3EDA">
              <w:rPr>
                <w:lang w:val="es-DO"/>
              </w:rPr>
              <w:t>2,654,916</w:t>
            </w:r>
          </w:p>
        </w:tc>
      </w:tr>
      <w:tr w:rsidR="008670C1" w:rsidRPr="00A40ED9" w14:paraId="7BF4DE9F" w14:textId="77777777" w:rsidTr="00D13CD3">
        <w:trPr>
          <w:trHeight w:val="241"/>
          <w:jc w:val="center"/>
        </w:trPr>
        <w:tc>
          <w:tcPr>
            <w:tcW w:w="3043" w:type="dxa"/>
            <w:tcBorders>
              <w:top w:val="nil"/>
              <w:left w:val="single" w:sz="8" w:space="0" w:color="auto"/>
              <w:bottom w:val="single" w:sz="8" w:space="0" w:color="auto"/>
              <w:right w:val="single" w:sz="8" w:space="0" w:color="auto"/>
            </w:tcBorders>
            <w:noWrap/>
            <w:vAlign w:val="center"/>
            <w:hideMark/>
          </w:tcPr>
          <w:p w14:paraId="406CA0DF" w14:textId="77777777" w:rsidR="008670C1" w:rsidRPr="004F5553" w:rsidRDefault="008670C1" w:rsidP="006B204A">
            <w:pPr>
              <w:spacing w:after="0" w:line="360" w:lineRule="auto"/>
              <w:rPr>
                <w:rFonts w:eastAsia="Times New Roman"/>
                <w:b/>
                <w:bCs/>
                <w:lang w:val="es-DO"/>
              </w:rPr>
            </w:pPr>
            <w:r w:rsidRPr="004F5553">
              <w:rPr>
                <w:rFonts w:eastAsia="Times New Roman"/>
                <w:b/>
                <w:bCs/>
                <w:lang w:val="es-DO"/>
              </w:rPr>
              <w:t>Equipo e instrumental, científico y laboratorio</w:t>
            </w:r>
          </w:p>
        </w:tc>
        <w:tc>
          <w:tcPr>
            <w:tcW w:w="2038" w:type="dxa"/>
            <w:tcBorders>
              <w:top w:val="nil"/>
              <w:left w:val="nil"/>
              <w:bottom w:val="single" w:sz="8" w:space="0" w:color="auto"/>
              <w:right w:val="single" w:sz="8" w:space="0" w:color="auto"/>
            </w:tcBorders>
            <w:noWrap/>
            <w:vAlign w:val="center"/>
            <w:hideMark/>
          </w:tcPr>
          <w:p w14:paraId="22646EBE" w14:textId="77777777" w:rsidR="008670C1" w:rsidRPr="004F5553" w:rsidRDefault="008670C1" w:rsidP="006B204A">
            <w:pPr>
              <w:spacing w:after="0" w:line="360" w:lineRule="auto"/>
              <w:jc w:val="center"/>
              <w:rPr>
                <w:rFonts w:eastAsia="Times New Roman"/>
                <w:lang w:val="es-DO"/>
              </w:rPr>
            </w:pPr>
            <w:r w:rsidRPr="004F5553">
              <w:rPr>
                <w:lang w:val="es-DO"/>
              </w:rPr>
              <w:t xml:space="preserve"> 60,400 </w:t>
            </w:r>
          </w:p>
        </w:tc>
        <w:tc>
          <w:tcPr>
            <w:tcW w:w="1856" w:type="dxa"/>
            <w:tcBorders>
              <w:top w:val="nil"/>
              <w:left w:val="nil"/>
              <w:bottom w:val="single" w:sz="8" w:space="0" w:color="auto"/>
              <w:right w:val="single" w:sz="8" w:space="0" w:color="auto"/>
            </w:tcBorders>
            <w:noWrap/>
            <w:vAlign w:val="center"/>
            <w:hideMark/>
          </w:tcPr>
          <w:p w14:paraId="01F93FCD" w14:textId="77777777" w:rsidR="008670C1" w:rsidRPr="004F5553" w:rsidRDefault="008670C1" w:rsidP="006B204A">
            <w:pPr>
              <w:spacing w:after="0" w:line="360" w:lineRule="auto"/>
              <w:jc w:val="center"/>
              <w:rPr>
                <w:rFonts w:eastAsia="Times New Roman"/>
                <w:lang w:val="es-DO"/>
              </w:rPr>
            </w:pPr>
            <w:r w:rsidRPr="004F5553">
              <w:rPr>
                <w:lang w:val="es-DO"/>
              </w:rPr>
              <w:t>28,500</w:t>
            </w:r>
          </w:p>
        </w:tc>
        <w:tc>
          <w:tcPr>
            <w:tcW w:w="1856" w:type="dxa"/>
            <w:tcBorders>
              <w:top w:val="nil"/>
              <w:left w:val="nil"/>
              <w:bottom w:val="single" w:sz="8" w:space="0" w:color="auto"/>
              <w:right w:val="single" w:sz="8" w:space="0" w:color="auto"/>
            </w:tcBorders>
            <w:noWrap/>
            <w:vAlign w:val="center"/>
            <w:hideMark/>
          </w:tcPr>
          <w:p w14:paraId="5211479B" w14:textId="77777777" w:rsidR="008670C1" w:rsidRPr="004F5553" w:rsidRDefault="008670C1" w:rsidP="006B204A">
            <w:pPr>
              <w:spacing w:after="0" w:line="360" w:lineRule="auto"/>
              <w:jc w:val="center"/>
              <w:rPr>
                <w:rFonts w:eastAsia="Times New Roman"/>
                <w:lang w:val="es-DO"/>
              </w:rPr>
            </w:pPr>
            <w:r w:rsidRPr="004F5553">
              <w:rPr>
                <w:lang w:val="es-DO"/>
              </w:rPr>
              <w:t>31,900</w:t>
            </w:r>
          </w:p>
        </w:tc>
      </w:tr>
      <w:tr w:rsidR="008670C1" w:rsidRPr="00A40ED9" w14:paraId="31B7EF91" w14:textId="77777777" w:rsidTr="00D13CD3">
        <w:trPr>
          <w:trHeight w:val="241"/>
          <w:jc w:val="center"/>
        </w:trPr>
        <w:tc>
          <w:tcPr>
            <w:tcW w:w="3043" w:type="dxa"/>
            <w:tcBorders>
              <w:top w:val="nil"/>
              <w:left w:val="single" w:sz="8" w:space="0" w:color="auto"/>
              <w:bottom w:val="single" w:sz="8" w:space="0" w:color="auto"/>
              <w:right w:val="single" w:sz="8" w:space="0" w:color="auto"/>
            </w:tcBorders>
            <w:noWrap/>
            <w:vAlign w:val="center"/>
            <w:hideMark/>
          </w:tcPr>
          <w:p w14:paraId="7C0D7E62" w14:textId="77777777" w:rsidR="008670C1" w:rsidRPr="004F5553" w:rsidRDefault="008670C1" w:rsidP="006B204A">
            <w:pPr>
              <w:spacing w:after="0" w:line="360" w:lineRule="auto"/>
              <w:rPr>
                <w:rFonts w:eastAsia="Times New Roman"/>
                <w:b/>
                <w:bCs/>
                <w:lang w:val="es-DO"/>
              </w:rPr>
            </w:pPr>
            <w:r w:rsidRPr="004F5553">
              <w:rPr>
                <w:rFonts w:eastAsia="Times New Roman"/>
                <w:b/>
                <w:bCs/>
                <w:lang w:val="es-DO"/>
              </w:rPr>
              <w:lastRenderedPageBreak/>
              <w:t>Vehículos y equipo de transporte, tracción y elevación</w:t>
            </w:r>
          </w:p>
        </w:tc>
        <w:tc>
          <w:tcPr>
            <w:tcW w:w="2038" w:type="dxa"/>
            <w:tcBorders>
              <w:top w:val="nil"/>
              <w:left w:val="nil"/>
              <w:bottom w:val="single" w:sz="8" w:space="0" w:color="auto"/>
              <w:right w:val="single" w:sz="8" w:space="0" w:color="auto"/>
            </w:tcBorders>
            <w:noWrap/>
            <w:vAlign w:val="center"/>
            <w:hideMark/>
          </w:tcPr>
          <w:p w14:paraId="2CB662EC" w14:textId="77777777" w:rsidR="008670C1" w:rsidRPr="004F5553" w:rsidRDefault="008670C1" w:rsidP="006B204A">
            <w:pPr>
              <w:spacing w:after="0" w:line="360" w:lineRule="auto"/>
              <w:jc w:val="center"/>
              <w:rPr>
                <w:rFonts w:eastAsia="Times New Roman"/>
                <w:lang w:val="es-DO"/>
              </w:rPr>
            </w:pPr>
            <w:r w:rsidRPr="004F5553">
              <w:rPr>
                <w:lang w:val="es-DO"/>
              </w:rPr>
              <w:t xml:space="preserve"> 11,474,050 </w:t>
            </w:r>
          </w:p>
        </w:tc>
        <w:tc>
          <w:tcPr>
            <w:tcW w:w="1856" w:type="dxa"/>
            <w:tcBorders>
              <w:top w:val="nil"/>
              <w:left w:val="nil"/>
              <w:bottom w:val="single" w:sz="8" w:space="0" w:color="auto"/>
              <w:right w:val="single" w:sz="8" w:space="0" w:color="auto"/>
            </w:tcBorders>
            <w:noWrap/>
            <w:vAlign w:val="center"/>
            <w:hideMark/>
          </w:tcPr>
          <w:p w14:paraId="6BFDD22C" w14:textId="77777777" w:rsidR="008670C1" w:rsidRPr="004F5553" w:rsidRDefault="008670C1" w:rsidP="006B204A">
            <w:pPr>
              <w:spacing w:after="0" w:line="360" w:lineRule="auto"/>
              <w:jc w:val="center"/>
              <w:rPr>
                <w:rFonts w:eastAsia="Times New Roman"/>
                <w:lang w:val="es-DO"/>
              </w:rPr>
            </w:pPr>
            <w:r w:rsidRPr="004F5553">
              <w:rPr>
                <w:lang w:val="es-DO"/>
              </w:rPr>
              <w:t>75,258</w:t>
            </w:r>
          </w:p>
        </w:tc>
        <w:tc>
          <w:tcPr>
            <w:tcW w:w="1856" w:type="dxa"/>
            <w:tcBorders>
              <w:top w:val="nil"/>
              <w:left w:val="nil"/>
              <w:bottom w:val="single" w:sz="8" w:space="0" w:color="auto"/>
              <w:right w:val="single" w:sz="8" w:space="0" w:color="auto"/>
            </w:tcBorders>
            <w:noWrap/>
            <w:vAlign w:val="center"/>
            <w:hideMark/>
          </w:tcPr>
          <w:p w14:paraId="0374C50B" w14:textId="77777777" w:rsidR="008670C1" w:rsidRPr="004F5553" w:rsidRDefault="008670C1" w:rsidP="006B204A">
            <w:pPr>
              <w:spacing w:after="0" w:line="360" w:lineRule="auto"/>
              <w:jc w:val="center"/>
              <w:rPr>
                <w:rFonts w:eastAsia="Times New Roman"/>
                <w:lang w:val="es-DO"/>
              </w:rPr>
            </w:pPr>
            <w:r w:rsidRPr="004F5553">
              <w:rPr>
                <w:lang w:val="es-DO"/>
              </w:rPr>
              <w:t>11,398,792</w:t>
            </w:r>
          </w:p>
        </w:tc>
      </w:tr>
      <w:tr w:rsidR="008670C1" w:rsidRPr="00A40ED9" w14:paraId="357F128E" w14:textId="77777777" w:rsidTr="00D13CD3">
        <w:trPr>
          <w:trHeight w:val="241"/>
          <w:jc w:val="center"/>
        </w:trPr>
        <w:tc>
          <w:tcPr>
            <w:tcW w:w="3043" w:type="dxa"/>
            <w:tcBorders>
              <w:top w:val="nil"/>
              <w:left w:val="single" w:sz="8" w:space="0" w:color="auto"/>
              <w:bottom w:val="single" w:sz="8" w:space="0" w:color="auto"/>
              <w:right w:val="single" w:sz="8" w:space="0" w:color="auto"/>
            </w:tcBorders>
            <w:noWrap/>
            <w:vAlign w:val="center"/>
            <w:hideMark/>
          </w:tcPr>
          <w:p w14:paraId="786E6CD5" w14:textId="77777777" w:rsidR="008670C1" w:rsidRPr="004F5553" w:rsidRDefault="008670C1" w:rsidP="006B204A">
            <w:pPr>
              <w:spacing w:after="0" w:line="360" w:lineRule="auto"/>
              <w:rPr>
                <w:rFonts w:eastAsia="Times New Roman"/>
                <w:b/>
                <w:bCs/>
                <w:lang w:val="es-DO"/>
              </w:rPr>
            </w:pPr>
            <w:r w:rsidRPr="004F5553">
              <w:rPr>
                <w:rFonts w:eastAsia="Times New Roman"/>
                <w:b/>
                <w:bCs/>
                <w:lang w:val="es-DO"/>
              </w:rPr>
              <w:t>Maquinaria, otros equipos y herramientas</w:t>
            </w:r>
          </w:p>
        </w:tc>
        <w:tc>
          <w:tcPr>
            <w:tcW w:w="2038" w:type="dxa"/>
            <w:tcBorders>
              <w:top w:val="nil"/>
              <w:left w:val="nil"/>
              <w:bottom w:val="single" w:sz="8" w:space="0" w:color="auto"/>
              <w:right w:val="single" w:sz="8" w:space="0" w:color="auto"/>
            </w:tcBorders>
            <w:noWrap/>
            <w:vAlign w:val="center"/>
            <w:hideMark/>
          </w:tcPr>
          <w:p w14:paraId="3F521B71" w14:textId="77777777" w:rsidR="008670C1" w:rsidRPr="004F5553" w:rsidRDefault="008670C1" w:rsidP="006B204A">
            <w:pPr>
              <w:spacing w:after="0" w:line="360" w:lineRule="auto"/>
              <w:jc w:val="center"/>
              <w:rPr>
                <w:rFonts w:eastAsia="Times New Roman"/>
                <w:lang w:val="es-DO"/>
              </w:rPr>
            </w:pPr>
            <w:r w:rsidRPr="004F5553">
              <w:rPr>
                <w:lang w:val="es-DO"/>
              </w:rPr>
              <w:t xml:space="preserve"> 57,422,157 </w:t>
            </w:r>
          </w:p>
        </w:tc>
        <w:tc>
          <w:tcPr>
            <w:tcW w:w="1856" w:type="dxa"/>
            <w:tcBorders>
              <w:top w:val="nil"/>
              <w:left w:val="nil"/>
              <w:bottom w:val="single" w:sz="8" w:space="0" w:color="auto"/>
              <w:right w:val="single" w:sz="8" w:space="0" w:color="auto"/>
            </w:tcBorders>
            <w:noWrap/>
            <w:vAlign w:val="center"/>
            <w:hideMark/>
          </w:tcPr>
          <w:p w14:paraId="4BF3A5D3" w14:textId="61BB2AFB" w:rsidR="008670C1" w:rsidRPr="004F5553" w:rsidRDefault="00CD3EDA" w:rsidP="006B204A">
            <w:pPr>
              <w:spacing w:after="0" w:line="360" w:lineRule="auto"/>
              <w:jc w:val="center"/>
              <w:rPr>
                <w:rFonts w:eastAsia="Times New Roman"/>
                <w:lang w:val="es-DO"/>
              </w:rPr>
            </w:pPr>
            <w:r w:rsidRPr="00CD3EDA">
              <w:rPr>
                <w:lang w:val="es-DO"/>
              </w:rPr>
              <w:t>28,683,669</w:t>
            </w:r>
          </w:p>
        </w:tc>
        <w:tc>
          <w:tcPr>
            <w:tcW w:w="1856" w:type="dxa"/>
            <w:tcBorders>
              <w:top w:val="nil"/>
              <w:left w:val="nil"/>
              <w:bottom w:val="single" w:sz="8" w:space="0" w:color="auto"/>
              <w:right w:val="single" w:sz="8" w:space="0" w:color="auto"/>
            </w:tcBorders>
            <w:noWrap/>
            <w:vAlign w:val="center"/>
            <w:hideMark/>
          </w:tcPr>
          <w:p w14:paraId="5D2D7F72" w14:textId="7F5BF8C3" w:rsidR="008670C1" w:rsidRPr="004F5553" w:rsidRDefault="00CD3EDA" w:rsidP="006B204A">
            <w:pPr>
              <w:spacing w:after="0" w:line="360" w:lineRule="auto"/>
              <w:jc w:val="center"/>
              <w:rPr>
                <w:rFonts w:eastAsia="Times New Roman"/>
                <w:lang w:val="es-DO"/>
              </w:rPr>
            </w:pPr>
            <w:r w:rsidRPr="00CD3EDA">
              <w:rPr>
                <w:lang w:val="es-DO"/>
              </w:rPr>
              <w:t>28,738,489</w:t>
            </w:r>
          </w:p>
        </w:tc>
      </w:tr>
      <w:tr w:rsidR="008670C1" w:rsidRPr="00A40ED9" w14:paraId="402EA2CE" w14:textId="77777777" w:rsidTr="00D13CD3">
        <w:trPr>
          <w:trHeight w:val="241"/>
          <w:jc w:val="center"/>
        </w:trPr>
        <w:tc>
          <w:tcPr>
            <w:tcW w:w="3043" w:type="dxa"/>
            <w:tcBorders>
              <w:top w:val="nil"/>
              <w:left w:val="single" w:sz="8" w:space="0" w:color="auto"/>
              <w:bottom w:val="single" w:sz="8" w:space="0" w:color="auto"/>
              <w:right w:val="single" w:sz="8" w:space="0" w:color="auto"/>
            </w:tcBorders>
            <w:noWrap/>
            <w:vAlign w:val="center"/>
            <w:hideMark/>
          </w:tcPr>
          <w:p w14:paraId="66F798C4" w14:textId="77777777" w:rsidR="008670C1" w:rsidRPr="004F5553" w:rsidRDefault="008670C1" w:rsidP="006B204A">
            <w:pPr>
              <w:spacing w:after="0" w:line="360" w:lineRule="auto"/>
              <w:rPr>
                <w:rFonts w:eastAsia="Times New Roman"/>
                <w:b/>
                <w:bCs/>
                <w:lang w:val="es-DO"/>
              </w:rPr>
            </w:pPr>
            <w:r w:rsidRPr="004F5553">
              <w:rPr>
                <w:rFonts w:eastAsia="Times New Roman"/>
                <w:b/>
                <w:bCs/>
                <w:lang w:val="es-DO"/>
              </w:rPr>
              <w:t>Equipos de defensa y seguridad</w:t>
            </w:r>
          </w:p>
        </w:tc>
        <w:tc>
          <w:tcPr>
            <w:tcW w:w="2038" w:type="dxa"/>
            <w:tcBorders>
              <w:top w:val="nil"/>
              <w:left w:val="nil"/>
              <w:bottom w:val="single" w:sz="8" w:space="0" w:color="auto"/>
              <w:right w:val="single" w:sz="8" w:space="0" w:color="auto"/>
            </w:tcBorders>
            <w:noWrap/>
            <w:vAlign w:val="center"/>
            <w:hideMark/>
          </w:tcPr>
          <w:p w14:paraId="43AC8679" w14:textId="77777777" w:rsidR="008670C1" w:rsidRPr="004F5553" w:rsidRDefault="008670C1" w:rsidP="006B204A">
            <w:pPr>
              <w:spacing w:after="0" w:line="360" w:lineRule="auto"/>
              <w:jc w:val="center"/>
              <w:rPr>
                <w:rFonts w:eastAsia="Times New Roman"/>
                <w:lang w:val="es-DO"/>
              </w:rPr>
            </w:pPr>
            <w:r w:rsidRPr="004F5553">
              <w:rPr>
                <w:lang w:val="es-DO"/>
              </w:rPr>
              <w:t xml:space="preserve"> 47,279,921 </w:t>
            </w:r>
          </w:p>
        </w:tc>
        <w:tc>
          <w:tcPr>
            <w:tcW w:w="1856" w:type="dxa"/>
            <w:tcBorders>
              <w:top w:val="nil"/>
              <w:left w:val="nil"/>
              <w:bottom w:val="single" w:sz="8" w:space="0" w:color="auto"/>
              <w:right w:val="single" w:sz="8" w:space="0" w:color="auto"/>
            </w:tcBorders>
            <w:noWrap/>
            <w:vAlign w:val="center"/>
            <w:hideMark/>
          </w:tcPr>
          <w:p w14:paraId="4CAF9FAE" w14:textId="474BB4F2" w:rsidR="008670C1" w:rsidRPr="004F5553" w:rsidRDefault="00CD3EDA" w:rsidP="006B204A">
            <w:pPr>
              <w:spacing w:after="0" w:line="360" w:lineRule="auto"/>
              <w:jc w:val="center"/>
              <w:rPr>
                <w:rFonts w:eastAsia="Times New Roman"/>
                <w:lang w:val="es-DO"/>
              </w:rPr>
            </w:pPr>
            <w:r w:rsidRPr="00CD3EDA">
              <w:rPr>
                <w:lang w:val="es-DO"/>
              </w:rPr>
              <w:t>5,583,326</w:t>
            </w:r>
          </w:p>
        </w:tc>
        <w:tc>
          <w:tcPr>
            <w:tcW w:w="1856" w:type="dxa"/>
            <w:tcBorders>
              <w:top w:val="nil"/>
              <w:left w:val="nil"/>
              <w:bottom w:val="single" w:sz="8" w:space="0" w:color="auto"/>
              <w:right w:val="single" w:sz="8" w:space="0" w:color="auto"/>
            </w:tcBorders>
            <w:noWrap/>
            <w:vAlign w:val="center"/>
            <w:hideMark/>
          </w:tcPr>
          <w:p w14:paraId="088DBA3E" w14:textId="0DBAEA92" w:rsidR="008670C1" w:rsidRPr="004F5553" w:rsidRDefault="00CD3EDA" w:rsidP="006B204A">
            <w:pPr>
              <w:spacing w:after="0" w:line="360" w:lineRule="auto"/>
              <w:jc w:val="center"/>
              <w:rPr>
                <w:rFonts w:eastAsia="Times New Roman"/>
                <w:lang w:val="es-DO"/>
              </w:rPr>
            </w:pPr>
            <w:r w:rsidRPr="00CD3EDA">
              <w:rPr>
                <w:lang w:val="es-DO"/>
              </w:rPr>
              <w:t>41,696,595</w:t>
            </w:r>
          </w:p>
        </w:tc>
      </w:tr>
      <w:tr w:rsidR="008670C1" w:rsidRPr="00A40ED9" w14:paraId="567ADE85" w14:textId="77777777" w:rsidTr="00D13CD3">
        <w:trPr>
          <w:trHeight w:val="241"/>
          <w:jc w:val="center"/>
        </w:trPr>
        <w:tc>
          <w:tcPr>
            <w:tcW w:w="3043" w:type="dxa"/>
            <w:tcBorders>
              <w:top w:val="nil"/>
              <w:left w:val="single" w:sz="8" w:space="0" w:color="auto"/>
              <w:bottom w:val="single" w:sz="8" w:space="0" w:color="auto"/>
              <w:right w:val="single" w:sz="8" w:space="0" w:color="auto"/>
            </w:tcBorders>
            <w:noWrap/>
            <w:vAlign w:val="center"/>
            <w:hideMark/>
          </w:tcPr>
          <w:p w14:paraId="5828A136" w14:textId="77777777" w:rsidR="008670C1" w:rsidRPr="004F5553" w:rsidRDefault="008670C1" w:rsidP="006B204A">
            <w:pPr>
              <w:spacing w:after="0" w:line="360" w:lineRule="auto"/>
              <w:rPr>
                <w:rFonts w:eastAsia="Times New Roman"/>
                <w:b/>
                <w:bCs/>
                <w:lang w:val="es-DO"/>
              </w:rPr>
            </w:pPr>
            <w:r w:rsidRPr="004F5553">
              <w:rPr>
                <w:rFonts w:eastAsia="Times New Roman"/>
                <w:b/>
                <w:bCs/>
                <w:lang w:val="es-DO"/>
              </w:rPr>
              <w:t>Activos biológicos</w:t>
            </w:r>
          </w:p>
        </w:tc>
        <w:tc>
          <w:tcPr>
            <w:tcW w:w="2038" w:type="dxa"/>
            <w:tcBorders>
              <w:top w:val="nil"/>
              <w:left w:val="nil"/>
              <w:bottom w:val="single" w:sz="8" w:space="0" w:color="auto"/>
              <w:right w:val="single" w:sz="8" w:space="0" w:color="auto"/>
            </w:tcBorders>
            <w:noWrap/>
            <w:vAlign w:val="center"/>
            <w:hideMark/>
          </w:tcPr>
          <w:p w14:paraId="29BD6F6F" w14:textId="77777777" w:rsidR="008670C1" w:rsidRPr="004F5553" w:rsidRDefault="008670C1" w:rsidP="006B204A">
            <w:pPr>
              <w:spacing w:after="0" w:line="360" w:lineRule="auto"/>
              <w:jc w:val="center"/>
              <w:rPr>
                <w:rFonts w:eastAsia="Times New Roman"/>
                <w:lang w:val="es-DO"/>
              </w:rPr>
            </w:pPr>
            <w:r w:rsidRPr="004F5553">
              <w:rPr>
                <w:lang w:val="es-DO"/>
              </w:rPr>
              <w:t xml:space="preserve"> -   </w:t>
            </w:r>
          </w:p>
        </w:tc>
        <w:tc>
          <w:tcPr>
            <w:tcW w:w="1856" w:type="dxa"/>
            <w:tcBorders>
              <w:top w:val="nil"/>
              <w:left w:val="nil"/>
              <w:bottom w:val="single" w:sz="8" w:space="0" w:color="auto"/>
              <w:right w:val="single" w:sz="8" w:space="0" w:color="auto"/>
            </w:tcBorders>
            <w:noWrap/>
            <w:vAlign w:val="center"/>
            <w:hideMark/>
          </w:tcPr>
          <w:p w14:paraId="6368AE7E" w14:textId="00414DEA" w:rsidR="008670C1" w:rsidRPr="004F5553" w:rsidRDefault="00CD3EDA" w:rsidP="006B204A">
            <w:pPr>
              <w:spacing w:after="0" w:line="360" w:lineRule="auto"/>
              <w:jc w:val="center"/>
              <w:rPr>
                <w:rFonts w:eastAsia="Times New Roman"/>
                <w:lang w:val="es-DO"/>
              </w:rPr>
            </w:pPr>
            <w:r w:rsidRPr="004F5553">
              <w:rPr>
                <w:lang w:val="es-DO"/>
              </w:rPr>
              <w:t>-</w:t>
            </w:r>
          </w:p>
        </w:tc>
        <w:tc>
          <w:tcPr>
            <w:tcW w:w="1856" w:type="dxa"/>
            <w:tcBorders>
              <w:top w:val="nil"/>
              <w:left w:val="nil"/>
              <w:bottom w:val="single" w:sz="8" w:space="0" w:color="auto"/>
              <w:right w:val="single" w:sz="8" w:space="0" w:color="auto"/>
            </w:tcBorders>
            <w:noWrap/>
            <w:vAlign w:val="center"/>
            <w:hideMark/>
          </w:tcPr>
          <w:p w14:paraId="41FB0851" w14:textId="6CAAA6FF" w:rsidR="008670C1" w:rsidRPr="004F5553" w:rsidRDefault="00CD3EDA" w:rsidP="006B204A">
            <w:pPr>
              <w:spacing w:after="0" w:line="360" w:lineRule="auto"/>
              <w:jc w:val="center"/>
              <w:rPr>
                <w:rFonts w:eastAsia="Times New Roman"/>
                <w:lang w:val="es-DO"/>
              </w:rPr>
            </w:pPr>
            <w:r w:rsidRPr="004F5553">
              <w:rPr>
                <w:lang w:val="es-DO"/>
              </w:rPr>
              <w:t>-</w:t>
            </w:r>
          </w:p>
        </w:tc>
      </w:tr>
      <w:tr w:rsidR="008670C1" w:rsidRPr="00A40ED9" w14:paraId="51C49F61" w14:textId="77777777" w:rsidTr="00D13CD3">
        <w:trPr>
          <w:trHeight w:val="241"/>
          <w:jc w:val="center"/>
        </w:trPr>
        <w:tc>
          <w:tcPr>
            <w:tcW w:w="3043" w:type="dxa"/>
            <w:tcBorders>
              <w:top w:val="nil"/>
              <w:left w:val="single" w:sz="8" w:space="0" w:color="auto"/>
              <w:bottom w:val="single" w:sz="8" w:space="0" w:color="auto"/>
              <w:right w:val="single" w:sz="8" w:space="0" w:color="auto"/>
            </w:tcBorders>
            <w:noWrap/>
            <w:vAlign w:val="center"/>
            <w:hideMark/>
          </w:tcPr>
          <w:p w14:paraId="42B77F04" w14:textId="77777777" w:rsidR="008670C1" w:rsidRPr="004F5553" w:rsidRDefault="008670C1" w:rsidP="006B204A">
            <w:pPr>
              <w:spacing w:after="0" w:line="360" w:lineRule="auto"/>
              <w:rPr>
                <w:rFonts w:eastAsia="Times New Roman"/>
                <w:b/>
                <w:bCs/>
                <w:lang w:val="es-DO"/>
              </w:rPr>
            </w:pPr>
            <w:r w:rsidRPr="004F5553">
              <w:rPr>
                <w:rFonts w:eastAsia="Times New Roman"/>
                <w:b/>
                <w:bCs/>
                <w:lang w:val="es-DO"/>
              </w:rPr>
              <w:t>Bienes intangibles</w:t>
            </w:r>
          </w:p>
        </w:tc>
        <w:tc>
          <w:tcPr>
            <w:tcW w:w="2038" w:type="dxa"/>
            <w:tcBorders>
              <w:top w:val="nil"/>
              <w:left w:val="nil"/>
              <w:bottom w:val="single" w:sz="8" w:space="0" w:color="auto"/>
              <w:right w:val="single" w:sz="8" w:space="0" w:color="auto"/>
            </w:tcBorders>
            <w:noWrap/>
            <w:vAlign w:val="center"/>
            <w:hideMark/>
          </w:tcPr>
          <w:p w14:paraId="1490891C" w14:textId="77777777" w:rsidR="008670C1" w:rsidRPr="004F5553" w:rsidRDefault="008670C1" w:rsidP="006B204A">
            <w:pPr>
              <w:spacing w:after="0" w:line="360" w:lineRule="auto"/>
              <w:jc w:val="center"/>
              <w:rPr>
                <w:rFonts w:eastAsia="Times New Roman"/>
                <w:lang w:val="es-DO"/>
              </w:rPr>
            </w:pPr>
            <w:r w:rsidRPr="004F5553">
              <w:rPr>
                <w:lang w:val="es-DO"/>
              </w:rPr>
              <w:t xml:space="preserve"> 298,955,476 </w:t>
            </w:r>
          </w:p>
        </w:tc>
        <w:tc>
          <w:tcPr>
            <w:tcW w:w="1856" w:type="dxa"/>
            <w:tcBorders>
              <w:top w:val="nil"/>
              <w:left w:val="nil"/>
              <w:bottom w:val="single" w:sz="8" w:space="0" w:color="auto"/>
              <w:right w:val="single" w:sz="8" w:space="0" w:color="auto"/>
            </w:tcBorders>
            <w:noWrap/>
            <w:vAlign w:val="center"/>
            <w:hideMark/>
          </w:tcPr>
          <w:p w14:paraId="07E8A3AF" w14:textId="1D4D87F6" w:rsidR="008670C1" w:rsidRPr="004F5553" w:rsidRDefault="00CD3EDA" w:rsidP="006B204A">
            <w:pPr>
              <w:spacing w:after="0" w:line="360" w:lineRule="auto"/>
              <w:jc w:val="center"/>
              <w:rPr>
                <w:rFonts w:eastAsia="Times New Roman"/>
                <w:lang w:val="es-DO"/>
              </w:rPr>
            </w:pPr>
            <w:r w:rsidRPr="00CD3EDA">
              <w:rPr>
                <w:lang w:val="es-DO"/>
              </w:rPr>
              <w:t>158,022,030</w:t>
            </w:r>
          </w:p>
        </w:tc>
        <w:tc>
          <w:tcPr>
            <w:tcW w:w="1856" w:type="dxa"/>
            <w:tcBorders>
              <w:top w:val="nil"/>
              <w:left w:val="nil"/>
              <w:bottom w:val="single" w:sz="8" w:space="0" w:color="auto"/>
              <w:right w:val="single" w:sz="8" w:space="0" w:color="auto"/>
            </w:tcBorders>
            <w:noWrap/>
            <w:vAlign w:val="center"/>
            <w:hideMark/>
          </w:tcPr>
          <w:p w14:paraId="02DC2002" w14:textId="3AFD7588" w:rsidR="008670C1" w:rsidRPr="004F5553" w:rsidRDefault="00CD3EDA" w:rsidP="006B204A">
            <w:pPr>
              <w:spacing w:after="0" w:line="360" w:lineRule="auto"/>
              <w:jc w:val="center"/>
              <w:rPr>
                <w:rFonts w:eastAsia="Times New Roman"/>
                <w:lang w:val="es-DO"/>
              </w:rPr>
            </w:pPr>
            <w:r w:rsidRPr="00CD3EDA">
              <w:rPr>
                <w:lang w:val="es-DO"/>
              </w:rPr>
              <w:t>140,933,446</w:t>
            </w:r>
          </w:p>
        </w:tc>
      </w:tr>
      <w:tr w:rsidR="008670C1" w:rsidRPr="00A40ED9" w14:paraId="53C838C7" w14:textId="77777777" w:rsidTr="00D13CD3">
        <w:trPr>
          <w:trHeight w:val="241"/>
          <w:jc w:val="center"/>
        </w:trPr>
        <w:tc>
          <w:tcPr>
            <w:tcW w:w="3043" w:type="dxa"/>
            <w:tcBorders>
              <w:top w:val="nil"/>
              <w:left w:val="single" w:sz="8" w:space="0" w:color="auto"/>
              <w:bottom w:val="single" w:sz="8" w:space="0" w:color="auto"/>
              <w:right w:val="single" w:sz="8" w:space="0" w:color="auto"/>
            </w:tcBorders>
            <w:shd w:val="clear" w:color="000000" w:fill="003876"/>
            <w:noWrap/>
            <w:vAlign w:val="center"/>
            <w:hideMark/>
          </w:tcPr>
          <w:p w14:paraId="7F231DFC" w14:textId="77777777" w:rsidR="008670C1" w:rsidRPr="004F5553" w:rsidRDefault="008670C1" w:rsidP="006B204A">
            <w:pPr>
              <w:spacing w:after="0" w:line="360" w:lineRule="auto"/>
              <w:rPr>
                <w:rFonts w:eastAsia="Times New Roman"/>
                <w:b/>
                <w:bCs/>
                <w:color w:val="FFFFFF"/>
                <w:lang w:val="es-DO"/>
              </w:rPr>
            </w:pPr>
            <w:proofErr w:type="gramStart"/>
            <w:r w:rsidRPr="004F5553">
              <w:rPr>
                <w:rFonts w:eastAsia="Times New Roman"/>
                <w:b/>
                <w:bCs/>
                <w:color w:val="FFFFFF"/>
                <w:lang w:val="es-DO"/>
              </w:rPr>
              <w:t>Total</w:t>
            </w:r>
            <w:proofErr w:type="gramEnd"/>
            <w:r w:rsidRPr="004F5553">
              <w:rPr>
                <w:rFonts w:eastAsia="Times New Roman"/>
                <w:b/>
                <w:bCs/>
                <w:color w:val="FFFFFF"/>
                <w:lang w:val="es-DO"/>
              </w:rPr>
              <w:t xml:space="preserve"> bienes muebles, inmuebles e intangibles</w:t>
            </w:r>
          </w:p>
        </w:tc>
        <w:tc>
          <w:tcPr>
            <w:tcW w:w="2038" w:type="dxa"/>
            <w:tcBorders>
              <w:top w:val="nil"/>
              <w:left w:val="nil"/>
              <w:bottom w:val="single" w:sz="8" w:space="0" w:color="auto"/>
              <w:right w:val="single" w:sz="8" w:space="0" w:color="auto"/>
            </w:tcBorders>
            <w:shd w:val="clear" w:color="000000" w:fill="003876"/>
            <w:vAlign w:val="center"/>
            <w:hideMark/>
          </w:tcPr>
          <w:p w14:paraId="014243E9" w14:textId="77777777" w:rsidR="008670C1" w:rsidRPr="004F5553" w:rsidRDefault="008670C1" w:rsidP="006B204A">
            <w:pPr>
              <w:spacing w:after="0" w:line="360" w:lineRule="auto"/>
              <w:jc w:val="center"/>
              <w:rPr>
                <w:rFonts w:eastAsia="Times New Roman"/>
                <w:b/>
                <w:bCs/>
                <w:color w:val="FFFFFF"/>
                <w:lang w:val="es-DO"/>
              </w:rPr>
            </w:pPr>
            <w:r w:rsidRPr="004F5553">
              <w:rPr>
                <w:rFonts w:eastAsia="Times New Roman"/>
                <w:b/>
                <w:bCs/>
                <w:color w:val="FFFFFF"/>
                <w:lang w:val="es-DO"/>
              </w:rPr>
              <w:t>466,608,616</w:t>
            </w:r>
          </w:p>
        </w:tc>
        <w:tc>
          <w:tcPr>
            <w:tcW w:w="1856" w:type="dxa"/>
            <w:tcBorders>
              <w:top w:val="nil"/>
              <w:left w:val="nil"/>
              <w:bottom w:val="single" w:sz="8" w:space="0" w:color="auto"/>
              <w:right w:val="single" w:sz="8" w:space="0" w:color="auto"/>
            </w:tcBorders>
            <w:shd w:val="clear" w:color="000000" w:fill="003876"/>
            <w:vAlign w:val="center"/>
            <w:hideMark/>
          </w:tcPr>
          <w:p w14:paraId="663402C1" w14:textId="670908EF" w:rsidR="008670C1" w:rsidRPr="004F5553" w:rsidRDefault="00CD3EDA" w:rsidP="006B204A">
            <w:pPr>
              <w:spacing w:after="0" w:line="360" w:lineRule="auto"/>
              <w:jc w:val="center"/>
              <w:rPr>
                <w:rFonts w:eastAsia="Times New Roman"/>
                <w:b/>
                <w:bCs/>
                <w:color w:val="FFFFFF"/>
                <w:lang w:val="es-DO"/>
              </w:rPr>
            </w:pPr>
            <w:r w:rsidRPr="00CD3EDA">
              <w:rPr>
                <w:rFonts w:eastAsia="Times New Roman"/>
                <w:b/>
                <w:bCs/>
                <w:color w:val="FFFFFF"/>
                <w:lang w:val="es-DO"/>
              </w:rPr>
              <w:t>205,032,310</w:t>
            </w:r>
          </w:p>
        </w:tc>
        <w:tc>
          <w:tcPr>
            <w:tcW w:w="1856" w:type="dxa"/>
            <w:tcBorders>
              <w:top w:val="nil"/>
              <w:left w:val="nil"/>
              <w:bottom w:val="single" w:sz="8" w:space="0" w:color="auto"/>
              <w:right w:val="single" w:sz="8" w:space="0" w:color="auto"/>
            </w:tcBorders>
            <w:shd w:val="clear" w:color="000000" w:fill="003876"/>
            <w:noWrap/>
            <w:vAlign w:val="center"/>
            <w:hideMark/>
          </w:tcPr>
          <w:p w14:paraId="745AA065" w14:textId="20E30EF2" w:rsidR="008670C1" w:rsidRPr="004F5553" w:rsidRDefault="00CD3EDA" w:rsidP="006B204A">
            <w:pPr>
              <w:spacing w:after="0" w:line="360" w:lineRule="auto"/>
              <w:jc w:val="center"/>
              <w:rPr>
                <w:rFonts w:eastAsia="Times New Roman"/>
                <w:b/>
                <w:bCs/>
                <w:color w:val="FFFFFF"/>
                <w:lang w:val="es-DO"/>
              </w:rPr>
            </w:pPr>
            <w:r w:rsidRPr="00CD3EDA">
              <w:rPr>
                <w:rFonts w:eastAsia="Times New Roman"/>
                <w:b/>
                <w:bCs/>
                <w:color w:val="FFFFFF"/>
                <w:lang w:val="es-DO"/>
              </w:rPr>
              <w:t>261,576,307</w:t>
            </w:r>
          </w:p>
        </w:tc>
      </w:tr>
      <w:tr w:rsidR="008670C1" w:rsidRPr="00A40ED9" w14:paraId="6D9AC6A3" w14:textId="77777777" w:rsidTr="00D13CD3">
        <w:trPr>
          <w:trHeight w:val="241"/>
          <w:jc w:val="center"/>
        </w:trPr>
        <w:tc>
          <w:tcPr>
            <w:tcW w:w="3043" w:type="dxa"/>
            <w:tcBorders>
              <w:top w:val="nil"/>
              <w:left w:val="nil"/>
              <w:bottom w:val="nil"/>
              <w:right w:val="nil"/>
            </w:tcBorders>
            <w:noWrap/>
            <w:vAlign w:val="bottom"/>
            <w:hideMark/>
          </w:tcPr>
          <w:p w14:paraId="43370E53" w14:textId="77777777" w:rsidR="008670C1" w:rsidRPr="004F5553" w:rsidRDefault="008670C1" w:rsidP="006B204A">
            <w:pPr>
              <w:spacing w:after="0" w:line="360" w:lineRule="auto"/>
              <w:jc w:val="center"/>
              <w:rPr>
                <w:rFonts w:eastAsia="Times New Roman"/>
                <w:b/>
                <w:bCs/>
                <w:color w:val="FFFFFF"/>
                <w:lang w:val="es-DO"/>
              </w:rPr>
            </w:pPr>
          </w:p>
        </w:tc>
        <w:tc>
          <w:tcPr>
            <w:tcW w:w="2038" w:type="dxa"/>
            <w:tcBorders>
              <w:top w:val="nil"/>
              <w:left w:val="nil"/>
              <w:bottom w:val="nil"/>
              <w:right w:val="nil"/>
            </w:tcBorders>
            <w:noWrap/>
            <w:vAlign w:val="bottom"/>
            <w:hideMark/>
          </w:tcPr>
          <w:p w14:paraId="322D4C70" w14:textId="77777777" w:rsidR="008670C1" w:rsidRPr="004F5553" w:rsidRDefault="008670C1" w:rsidP="006B204A">
            <w:pPr>
              <w:spacing w:after="0" w:line="360" w:lineRule="auto"/>
              <w:rPr>
                <w:rFonts w:eastAsia="Times New Roman"/>
                <w:lang w:val="es-DO"/>
              </w:rPr>
            </w:pPr>
          </w:p>
        </w:tc>
        <w:tc>
          <w:tcPr>
            <w:tcW w:w="1856" w:type="dxa"/>
            <w:tcBorders>
              <w:top w:val="nil"/>
              <w:left w:val="nil"/>
              <w:bottom w:val="nil"/>
              <w:right w:val="nil"/>
            </w:tcBorders>
            <w:noWrap/>
            <w:vAlign w:val="bottom"/>
            <w:hideMark/>
          </w:tcPr>
          <w:p w14:paraId="0EDA26B4" w14:textId="77777777" w:rsidR="008670C1" w:rsidRPr="004F5553" w:rsidRDefault="008670C1" w:rsidP="006B204A">
            <w:pPr>
              <w:spacing w:after="0" w:line="360" w:lineRule="auto"/>
              <w:rPr>
                <w:rFonts w:eastAsia="Times New Roman"/>
                <w:lang w:val="es-DO"/>
              </w:rPr>
            </w:pPr>
          </w:p>
        </w:tc>
        <w:tc>
          <w:tcPr>
            <w:tcW w:w="1856" w:type="dxa"/>
            <w:tcBorders>
              <w:top w:val="nil"/>
              <w:left w:val="nil"/>
              <w:bottom w:val="nil"/>
              <w:right w:val="nil"/>
            </w:tcBorders>
            <w:noWrap/>
            <w:vAlign w:val="bottom"/>
            <w:hideMark/>
          </w:tcPr>
          <w:p w14:paraId="620B7BD7" w14:textId="77777777" w:rsidR="008670C1" w:rsidRPr="004F5553" w:rsidRDefault="008670C1" w:rsidP="006B204A">
            <w:pPr>
              <w:spacing w:after="0" w:line="360" w:lineRule="auto"/>
              <w:rPr>
                <w:rFonts w:eastAsia="Times New Roman"/>
                <w:lang w:val="es-DO"/>
              </w:rPr>
            </w:pPr>
          </w:p>
        </w:tc>
      </w:tr>
      <w:tr w:rsidR="008670C1" w:rsidRPr="00A40ED9" w14:paraId="16C2CA57" w14:textId="77777777" w:rsidTr="00D13CD3">
        <w:trPr>
          <w:trHeight w:val="241"/>
          <w:jc w:val="center"/>
        </w:trPr>
        <w:tc>
          <w:tcPr>
            <w:tcW w:w="3043" w:type="dxa"/>
            <w:tcBorders>
              <w:top w:val="single" w:sz="8" w:space="0" w:color="auto"/>
              <w:left w:val="single" w:sz="8" w:space="0" w:color="auto"/>
              <w:bottom w:val="single" w:sz="8" w:space="0" w:color="auto"/>
              <w:right w:val="single" w:sz="8" w:space="0" w:color="auto"/>
            </w:tcBorders>
            <w:shd w:val="clear" w:color="000000" w:fill="003876"/>
            <w:noWrap/>
            <w:vAlign w:val="center"/>
            <w:hideMark/>
          </w:tcPr>
          <w:p w14:paraId="65C34BC1" w14:textId="77777777" w:rsidR="008670C1" w:rsidRPr="004F5553" w:rsidRDefault="008670C1" w:rsidP="006B204A">
            <w:pPr>
              <w:spacing w:after="0" w:line="360" w:lineRule="auto"/>
              <w:rPr>
                <w:rFonts w:eastAsia="Times New Roman"/>
                <w:b/>
                <w:bCs/>
                <w:color w:val="FFFFFF"/>
                <w:lang w:val="es-DO"/>
              </w:rPr>
            </w:pPr>
            <w:r w:rsidRPr="004F5553">
              <w:rPr>
                <w:rFonts w:eastAsia="Times New Roman"/>
                <w:b/>
                <w:bCs/>
                <w:color w:val="FFFFFF"/>
                <w:lang w:val="es-DO"/>
              </w:rPr>
              <w:t>Obras</w:t>
            </w:r>
          </w:p>
        </w:tc>
        <w:tc>
          <w:tcPr>
            <w:tcW w:w="2038" w:type="dxa"/>
            <w:tcBorders>
              <w:top w:val="single" w:sz="8" w:space="0" w:color="auto"/>
              <w:left w:val="nil"/>
              <w:bottom w:val="single" w:sz="8" w:space="0" w:color="auto"/>
              <w:right w:val="single" w:sz="8" w:space="0" w:color="auto"/>
            </w:tcBorders>
            <w:shd w:val="clear" w:color="000000" w:fill="003876"/>
            <w:noWrap/>
            <w:vAlign w:val="center"/>
            <w:hideMark/>
          </w:tcPr>
          <w:p w14:paraId="103E24BA" w14:textId="77777777" w:rsidR="008670C1" w:rsidRPr="004F5553" w:rsidRDefault="008670C1" w:rsidP="006B204A">
            <w:pPr>
              <w:spacing w:after="0" w:line="360" w:lineRule="auto"/>
              <w:jc w:val="center"/>
              <w:rPr>
                <w:rFonts w:eastAsia="Times New Roman"/>
                <w:b/>
                <w:bCs/>
                <w:color w:val="FFFFFF"/>
                <w:lang w:val="es-DO"/>
              </w:rPr>
            </w:pPr>
            <w:r w:rsidRPr="004F5553">
              <w:rPr>
                <w:rFonts w:eastAsia="Times New Roman"/>
                <w:b/>
                <w:bCs/>
                <w:color w:val="FFFFFF"/>
                <w:lang w:val="es-DO"/>
              </w:rPr>
              <w:t>Presupuesto</w:t>
            </w:r>
          </w:p>
        </w:tc>
        <w:tc>
          <w:tcPr>
            <w:tcW w:w="1856" w:type="dxa"/>
            <w:tcBorders>
              <w:top w:val="single" w:sz="8" w:space="0" w:color="auto"/>
              <w:left w:val="nil"/>
              <w:bottom w:val="single" w:sz="8" w:space="0" w:color="auto"/>
              <w:right w:val="single" w:sz="8" w:space="0" w:color="auto"/>
            </w:tcBorders>
            <w:shd w:val="clear" w:color="000000" w:fill="003876"/>
            <w:noWrap/>
            <w:vAlign w:val="center"/>
            <w:hideMark/>
          </w:tcPr>
          <w:p w14:paraId="3B139F7B" w14:textId="77777777" w:rsidR="008670C1" w:rsidRPr="004F5553" w:rsidRDefault="008670C1" w:rsidP="006B204A">
            <w:pPr>
              <w:spacing w:after="0" w:line="360" w:lineRule="auto"/>
              <w:jc w:val="center"/>
              <w:rPr>
                <w:rFonts w:eastAsia="Times New Roman"/>
                <w:b/>
                <w:bCs/>
                <w:color w:val="FFFFFF"/>
                <w:lang w:val="es-DO"/>
              </w:rPr>
            </w:pPr>
            <w:r w:rsidRPr="004F5553">
              <w:rPr>
                <w:rFonts w:eastAsia="Times New Roman"/>
                <w:b/>
                <w:bCs/>
                <w:color w:val="FFFFFF"/>
                <w:lang w:val="es-DO"/>
              </w:rPr>
              <w:t>Ejecutado</w:t>
            </w:r>
          </w:p>
        </w:tc>
        <w:tc>
          <w:tcPr>
            <w:tcW w:w="1856" w:type="dxa"/>
            <w:tcBorders>
              <w:top w:val="single" w:sz="8" w:space="0" w:color="auto"/>
              <w:left w:val="nil"/>
              <w:bottom w:val="single" w:sz="8" w:space="0" w:color="auto"/>
              <w:right w:val="single" w:sz="8" w:space="0" w:color="auto"/>
            </w:tcBorders>
            <w:shd w:val="clear" w:color="000000" w:fill="003876"/>
            <w:noWrap/>
            <w:vAlign w:val="center"/>
            <w:hideMark/>
          </w:tcPr>
          <w:p w14:paraId="7AD9F617" w14:textId="77777777" w:rsidR="008670C1" w:rsidRPr="004F5553" w:rsidRDefault="008670C1" w:rsidP="006B204A">
            <w:pPr>
              <w:spacing w:after="0" w:line="360" w:lineRule="auto"/>
              <w:jc w:val="center"/>
              <w:rPr>
                <w:rFonts w:eastAsia="Times New Roman"/>
                <w:b/>
                <w:bCs/>
                <w:color w:val="FFFFFF"/>
                <w:lang w:val="es-DO"/>
              </w:rPr>
            </w:pPr>
            <w:r w:rsidRPr="004F5553">
              <w:rPr>
                <w:rFonts w:eastAsia="Times New Roman"/>
                <w:b/>
                <w:bCs/>
                <w:color w:val="FFFFFF"/>
                <w:lang w:val="es-DO"/>
              </w:rPr>
              <w:t>Balance</w:t>
            </w:r>
          </w:p>
        </w:tc>
      </w:tr>
      <w:tr w:rsidR="008670C1" w:rsidRPr="00A40ED9" w14:paraId="17EA5C29" w14:textId="77777777" w:rsidTr="00D13CD3">
        <w:trPr>
          <w:trHeight w:val="241"/>
          <w:jc w:val="center"/>
        </w:trPr>
        <w:tc>
          <w:tcPr>
            <w:tcW w:w="3043" w:type="dxa"/>
            <w:tcBorders>
              <w:top w:val="nil"/>
              <w:left w:val="single" w:sz="8" w:space="0" w:color="auto"/>
              <w:bottom w:val="single" w:sz="8" w:space="0" w:color="auto"/>
              <w:right w:val="single" w:sz="8" w:space="0" w:color="auto"/>
            </w:tcBorders>
            <w:noWrap/>
            <w:vAlign w:val="center"/>
            <w:hideMark/>
          </w:tcPr>
          <w:p w14:paraId="49D93A5B" w14:textId="77777777" w:rsidR="008670C1" w:rsidRPr="004F5553" w:rsidRDefault="008670C1" w:rsidP="006B204A">
            <w:pPr>
              <w:spacing w:after="0" w:line="360" w:lineRule="auto"/>
              <w:rPr>
                <w:rFonts w:eastAsia="Times New Roman"/>
                <w:color w:val="000000"/>
                <w:lang w:val="es-DO"/>
              </w:rPr>
            </w:pPr>
            <w:r w:rsidRPr="004F5553">
              <w:rPr>
                <w:rFonts w:eastAsia="Times New Roman"/>
                <w:lang w:val="es-DO"/>
              </w:rPr>
              <w:t>Obras en edificaciones</w:t>
            </w:r>
          </w:p>
        </w:tc>
        <w:tc>
          <w:tcPr>
            <w:tcW w:w="2038" w:type="dxa"/>
            <w:tcBorders>
              <w:top w:val="nil"/>
              <w:left w:val="nil"/>
              <w:bottom w:val="single" w:sz="8" w:space="0" w:color="auto"/>
              <w:right w:val="single" w:sz="8" w:space="0" w:color="auto"/>
            </w:tcBorders>
            <w:noWrap/>
            <w:vAlign w:val="center"/>
            <w:hideMark/>
          </w:tcPr>
          <w:p w14:paraId="2DA08B3A" w14:textId="77777777" w:rsidR="008670C1" w:rsidRPr="004F5553" w:rsidRDefault="008670C1" w:rsidP="006B204A">
            <w:pPr>
              <w:spacing w:after="0" w:line="360" w:lineRule="auto"/>
              <w:jc w:val="center"/>
              <w:rPr>
                <w:rFonts w:eastAsia="Times New Roman"/>
                <w:lang w:val="es-DO"/>
              </w:rPr>
            </w:pPr>
            <w:r w:rsidRPr="004F5553">
              <w:rPr>
                <w:rFonts w:eastAsia="Times New Roman"/>
                <w:lang w:val="es-DO"/>
              </w:rPr>
              <w:t>170,285,393</w:t>
            </w:r>
          </w:p>
        </w:tc>
        <w:tc>
          <w:tcPr>
            <w:tcW w:w="1856" w:type="dxa"/>
            <w:tcBorders>
              <w:top w:val="nil"/>
              <w:left w:val="nil"/>
              <w:bottom w:val="single" w:sz="8" w:space="0" w:color="auto"/>
              <w:right w:val="single" w:sz="8" w:space="0" w:color="auto"/>
            </w:tcBorders>
            <w:noWrap/>
            <w:vAlign w:val="center"/>
            <w:hideMark/>
          </w:tcPr>
          <w:p w14:paraId="030A0591" w14:textId="14D65343" w:rsidR="008670C1" w:rsidRPr="004F5553" w:rsidRDefault="00CD3EDA" w:rsidP="006B204A">
            <w:pPr>
              <w:spacing w:after="0" w:line="360" w:lineRule="auto"/>
              <w:jc w:val="center"/>
              <w:rPr>
                <w:rFonts w:eastAsia="Times New Roman"/>
                <w:lang w:val="es-DO"/>
              </w:rPr>
            </w:pPr>
            <w:r w:rsidRPr="00CD3EDA">
              <w:rPr>
                <w:rFonts w:eastAsia="Times New Roman"/>
                <w:lang w:val="es-DO"/>
              </w:rPr>
              <w:t>42,859,150</w:t>
            </w:r>
          </w:p>
        </w:tc>
        <w:tc>
          <w:tcPr>
            <w:tcW w:w="1856" w:type="dxa"/>
            <w:tcBorders>
              <w:top w:val="nil"/>
              <w:left w:val="nil"/>
              <w:bottom w:val="single" w:sz="8" w:space="0" w:color="auto"/>
              <w:right w:val="single" w:sz="8" w:space="0" w:color="auto"/>
            </w:tcBorders>
            <w:noWrap/>
            <w:vAlign w:val="center"/>
            <w:hideMark/>
          </w:tcPr>
          <w:p w14:paraId="328448D2" w14:textId="15AA6D95" w:rsidR="008670C1" w:rsidRPr="004F5553" w:rsidRDefault="00CD3EDA" w:rsidP="006B204A">
            <w:pPr>
              <w:spacing w:after="0" w:line="360" w:lineRule="auto"/>
              <w:jc w:val="center"/>
              <w:rPr>
                <w:rFonts w:eastAsia="Times New Roman"/>
                <w:lang w:val="es-DO"/>
              </w:rPr>
            </w:pPr>
            <w:r w:rsidRPr="00CD3EDA">
              <w:rPr>
                <w:lang w:val="es-DO"/>
              </w:rPr>
              <w:t>127,426,242</w:t>
            </w:r>
          </w:p>
        </w:tc>
      </w:tr>
      <w:tr w:rsidR="008670C1" w:rsidRPr="00A40ED9" w14:paraId="69A6FD42" w14:textId="77777777" w:rsidTr="00D13CD3">
        <w:trPr>
          <w:trHeight w:val="241"/>
          <w:jc w:val="center"/>
        </w:trPr>
        <w:tc>
          <w:tcPr>
            <w:tcW w:w="3043" w:type="dxa"/>
            <w:tcBorders>
              <w:top w:val="nil"/>
              <w:left w:val="single" w:sz="8" w:space="0" w:color="auto"/>
              <w:bottom w:val="single" w:sz="8" w:space="0" w:color="auto"/>
              <w:right w:val="single" w:sz="8" w:space="0" w:color="auto"/>
            </w:tcBorders>
            <w:shd w:val="clear" w:color="000000" w:fill="003876"/>
            <w:noWrap/>
            <w:vAlign w:val="center"/>
            <w:hideMark/>
          </w:tcPr>
          <w:p w14:paraId="14DE6065" w14:textId="77777777" w:rsidR="008670C1" w:rsidRPr="004F5553" w:rsidRDefault="008670C1" w:rsidP="006B204A">
            <w:pPr>
              <w:spacing w:after="0" w:line="360" w:lineRule="auto"/>
              <w:rPr>
                <w:rFonts w:eastAsia="Times New Roman"/>
                <w:b/>
                <w:bCs/>
                <w:color w:val="FFFFFF"/>
                <w:lang w:val="es-DO"/>
              </w:rPr>
            </w:pPr>
            <w:proofErr w:type="gramStart"/>
            <w:r w:rsidRPr="004F5553">
              <w:rPr>
                <w:rFonts w:eastAsia="Times New Roman"/>
                <w:b/>
                <w:bCs/>
                <w:color w:val="FFFFFF"/>
                <w:lang w:val="es-DO"/>
              </w:rPr>
              <w:t>Total</w:t>
            </w:r>
            <w:proofErr w:type="gramEnd"/>
            <w:r w:rsidRPr="004F5553">
              <w:rPr>
                <w:rFonts w:eastAsia="Times New Roman"/>
                <w:b/>
                <w:bCs/>
                <w:color w:val="FFFFFF"/>
                <w:lang w:val="es-DO"/>
              </w:rPr>
              <w:t xml:space="preserve"> obras</w:t>
            </w:r>
          </w:p>
        </w:tc>
        <w:tc>
          <w:tcPr>
            <w:tcW w:w="2038" w:type="dxa"/>
            <w:tcBorders>
              <w:top w:val="nil"/>
              <w:left w:val="nil"/>
              <w:bottom w:val="single" w:sz="8" w:space="0" w:color="auto"/>
              <w:right w:val="single" w:sz="8" w:space="0" w:color="auto"/>
            </w:tcBorders>
            <w:shd w:val="clear" w:color="000000" w:fill="003876"/>
            <w:vAlign w:val="center"/>
            <w:hideMark/>
          </w:tcPr>
          <w:p w14:paraId="3224D1D1" w14:textId="77777777" w:rsidR="008670C1" w:rsidRPr="004F5553" w:rsidRDefault="008670C1" w:rsidP="006B204A">
            <w:pPr>
              <w:spacing w:after="0" w:line="360" w:lineRule="auto"/>
              <w:jc w:val="center"/>
              <w:rPr>
                <w:rFonts w:eastAsia="Times New Roman"/>
                <w:b/>
                <w:bCs/>
                <w:color w:val="FFFFFF"/>
                <w:lang w:val="es-DO"/>
              </w:rPr>
            </w:pPr>
            <w:r w:rsidRPr="004F5553">
              <w:rPr>
                <w:rFonts w:eastAsia="Times New Roman"/>
                <w:b/>
                <w:bCs/>
                <w:color w:val="FFFFFF"/>
                <w:lang w:val="es-DO"/>
              </w:rPr>
              <w:t>170,285,393</w:t>
            </w:r>
          </w:p>
        </w:tc>
        <w:tc>
          <w:tcPr>
            <w:tcW w:w="1856" w:type="dxa"/>
            <w:tcBorders>
              <w:top w:val="nil"/>
              <w:left w:val="nil"/>
              <w:bottom w:val="single" w:sz="8" w:space="0" w:color="auto"/>
              <w:right w:val="single" w:sz="8" w:space="0" w:color="auto"/>
            </w:tcBorders>
            <w:shd w:val="clear" w:color="000000" w:fill="003876"/>
            <w:vAlign w:val="center"/>
            <w:hideMark/>
          </w:tcPr>
          <w:p w14:paraId="49921192" w14:textId="1FBF05FF" w:rsidR="008670C1" w:rsidRPr="004F5553" w:rsidRDefault="00CD3EDA" w:rsidP="006B204A">
            <w:pPr>
              <w:spacing w:after="0" w:line="360" w:lineRule="auto"/>
              <w:jc w:val="center"/>
              <w:rPr>
                <w:rFonts w:eastAsia="Times New Roman"/>
                <w:b/>
                <w:bCs/>
                <w:color w:val="FFFFFF"/>
                <w:lang w:val="es-DO"/>
              </w:rPr>
            </w:pPr>
            <w:r w:rsidRPr="00CD3EDA">
              <w:rPr>
                <w:rFonts w:eastAsia="Times New Roman"/>
                <w:b/>
                <w:bCs/>
                <w:color w:val="FFFFFF"/>
                <w:lang w:val="es-DO"/>
              </w:rPr>
              <w:t>42,859,150</w:t>
            </w:r>
          </w:p>
        </w:tc>
        <w:tc>
          <w:tcPr>
            <w:tcW w:w="1856" w:type="dxa"/>
            <w:tcBorders>
              <w:top w:val="nil"/>
              <w:left w:val="nil"/>
              <w:bottom w:val="single" w:sz="8" w:space="0" w:color="auto"/>
              <w:right w:val="single" w:sz="8" w:space="0" w:color="auto"/>
            </w:tcBorders>
            <w:shd w:val="clear" w:color="000000" w:fill="003876"/>
            <w:noWrap/>
            <w:vAlign w:val="center"/>
            <w:hideMark/>
          </w:tcPr>
          <w:p w14:paraId="03B8F54B" w14:textId="73950F75" w:rsidR="008670C1" w:rsidRPr="004F5553" w:rsidRDefault="00CD3EDA" w:rsidP="006B204A">
            <w:pPr>
              <w:spacing w:after="0" w:line="360" w:lineRule="auto"/>
              <w:jc w:val="center"/>
              <w:rPr>
                <w:rFonts w:eastAsia="Times New Roman"/>
                <w:b/>
                <w:bCs/>
                <w:color w:val="FFFFFF"/>
                <w:lang w:val="es-DO"/>
              </w:rPr>
            </w:pPr>
            <w:r w:rsidRPr="00CD3EDA">
              <w:rPr>
                <w:rFonts w:eastAsia="Times New Roman"/>
                <w:b/>
                <w:bCs/>
                <w:color w:val="FFFFFF"/>
                <w:lang w:val="es-DO"/>
              </w:rPr>
              <w:t>127,426,242</w:t>
            </w:r>
          </w:p>
        </w:tc>
      </w:tr>
      <w:tr w:rsidR="008670C1" w:rsidRPr="00A40ED9" w14:paraId="18AFD8DE" w14:textId="77777777" w:rsidTr="00516CA4">
        <w:trPr>
          <w:trHeight w:val="241"/>
          <w:jc w:val="center"/>
        </w:trPr>
        <w:tc>
          <w:tcPr>
            <w:tcW w:w="3043" w:type="dxa"/>
            <w:tcBorders>
              <w:top w:val="nil"/>
              <w:left w:val="nil"/>
              <w:bottom w:val="single" w:sz="4" w:space="0" w:color="auto"/>
              <w:right w:val="nil"/>
            </w:tcBorders>
            <w:noWrap/>
            <w:vAlign w:val="bottom"/>
            <w:hideMark/>
          </w:tcPr>
          <w:p w14:paraId="464EC3F6" w14:textId="77777777" w:rsidR="008670C1" w:rsidRPr="004F5553" w:rsidRDefault="008670C1" w:rsidP="006B204A">
            <w:pPr>
              <w:spacing w:after="0" w:line="360" w:lineRule="auto"/>
              <w:jc w:val="center"/>
              <w:rPr>
                <w:rFonts w:eastAsia="Times New Roman"/>
                <w:b/>
                <w:bCs/>
                <w:color w:val="FFFFFF"/>
                <w:lang w:val="es-DO"/>
              </w:rPr>
            </w:pPr>
          </w:p>
        </w:tc>
        <w:tc>
          <w:tcPr>
            <w:tcW w:w="2038" w:type="dxa"/>
            <w:tcBorders>
              <w:top w:val="nil"/>
              <w:left w:val="nil"/>
              <w:bottom w:val="single" w:sz="4" w:space="0" w:color="auto"/>
              <w:right w:val="nil"/>
            </w:tcBorders>
            <w:noWrap/>
            <w:vAlign w:val="bottom"/>
            <w:hideMark/>
          </w:tcPr>
          <w:p w14:paraId="56C09F4A" w14:textId="77777777" w:rsidR="008670C1" w:rsidRPr="004F5553" w:rsidRDefault="008670C1" w:rsidP="006B204A">
            <w:pPr>
              <w:spacing w:after="0" w:line="360" w:lineRule="auto"/>
              <w:rPr>
                <w:rFonts w:eastAsia="Times New Roman"/>
                <w:lang w:val="es-DO"/>
              </w:rPr>
            </w:pPr>
          </w:p>
        </w:tc>
        <w:tc>
          <w:tcPr>
            <w:tcW w:w="1856" w:type="dxa"/>
            <w:tcBorders>
              <w:top w:val="nil"/>
              <w:left w:val="nil"/>
              <w:bottom w:val="single" w:sz="4" w:space="0" w:color="auto"/>
              <w:right w:val="nil"/>
            </w:tcBorders>
            <w:noWrap/>
            <w:vAlign w:val="bottom"/>
            <w:hideMark/>
          </w:tcPr>
          <w:p w14:paraId="36ABBB71" w14:textId="77777777" w:rsidR="008670C1" w:rsidRPr="004F5553" w:rsidRDefault="008670C1" w:rsidP="006B204A">
            <w:pPr>
              <w:spacing w:after="0" w:line="360" w:lineRule="auto"/>
              <w:rPr>
                <w:rFonts w:eastAsia="Times New Roman"/>
                <w:lang w:val="es-DO"/>
              </w:rPr>
            </w:pPr>
          </w:p>
        </w:tc>
        <w:tc>
          <w:tcPr>
            <w:tcW w:w="1856" w:type="dxa"/>
            <w:tcBorders>
              <w:top w:val="nil"/>
              <w:left w:val="nil"/>
              <w:bottom w:val="single" w:sz="4" w:space="0" w:color="auto"/>
              <w:right w:val="nil"/>
            </w:tcBorders>
            <w:noWrap/>
            <w:vAlign w:val="center"/>
            <w:hideMark/>
          </w:tcPr>
          <w:p w14:paraId="7542A48E" w14:textId="77777777" w:rsidR="008670C1" w:rsidRPr="004F5553" w:rsidRDefault="008670C1" w:rsidP="006B204A">
            <w:pPr>
              <w:spacing w:after="0" w:line="360" w:lineRule="auto"/>
              <w:rPr>
                <w:rFonts w:eastAsia="Times New Roman"/>
                <w:lang w:val="es-DO"/>
              </w:rPr>
            </w:pPr>
          </w:p>
        </w:tc>
      </w:tr>
      <w:tr w:rsidR="00946203" w:rsidRPr="00A40ED9" w14:paraId="034A95AA" w14:textId="77777777" w:rsidTr="00516CA4">
        <w:trPr>
          <w:trHeight w:val="241"/>
          <w:jc w:val="center"/>
        </w:trPr>
        <w:tc>
          <w:tcPr>
            <w:tcW w:w="3043" w:type="dxa"/>
            <w:tcBorders>
              <w:top w:val="single" w:sz="4" w:space="0" w:color="auto"/>
              <w:left w:val="single" w:sz="4" w:space="0" w:color="auto"/>
              <w:bottom w:val="single" w:sz="4" w:space="0" w:color="auto"/>
              <w:right w:val="nil"/>
            </w:tcBorders>
            <w:shd w:val="clear" w:color="000000" w:fill="003876"/>
            <w:noWrap/>
            <w:vAlign w:val="center"/>
            <w:hideMark/>
          </w:tcPr>
          <w:p w14:paraId="2D1F8B1A" w14:textId="77777777" w:rsidR="008670C1" w:rsidRPr="004F5553" w:rsidRDefault="008670C1" w:rsidP="006B204A">
            <w:pPr>
              <w:spacing w:after="0" w:line="360" w:lineRule="auto"/>
              <w:rPr>
                <w:rFonts w:eastAsia="Times New Roman"/>
                <w:b/>
                <w:bCs/>
                <w:color w:val="FFFFFF"/>
                <w:lang w:val="es-DO"/>
              </w:rPr>
            </w:pPr>
            <w:proofErr w:type="gramStart"/>
            <w:r w:rsidRPr="004F5553">
              <w:rPr>
                <w:rFonts w:eastAsia="Times New Roman"/>
                <w:b/>
                <w:bCs/>
                <w:color w:val="FFFFFF"/>
                <w:lang w:val="es-DO"/>
              </w:rPr>
              <w:t>Total</w:t>
            </w:r>
            <w:proofErr w:type="gramEnd"/>
            <w:r w:rsidRPr="004F5553">
              <w:rPr>
                <w:rFonts w:eastAsia="Times New Roman"/>
                <w:b/>
                <w:bCs/>
                <w:color w:val="FFFFFF"/>
                <w:lang w:val="es-DO"/>
              </w:rPr>
              <w:t xml:space="preserve"> general</w:t>
            </w:r>
          </w:p>
        </w:tc>
        <w:tc>
          <w:tcPr>
            <w:tcW w:w="2038" w:type="dxa"/>
            <w:tcBorders>
              <w:top w:val="single" w:sz="4" w:space="0" w:color="auto"/>
              <w:left w:val="nil"/>
              <w:bottom w:val="single" w:sz="4" w:space="0" w:color="auto"/>
              <w:right w:val="nil"/>
            </w:tcBorders>
            <w:shd w:val="clear" w:color="000000" w:fill="003876"/>
            <w:noWrap/>
            <w:vAlign w:val="center"/>
            <w:hideMark/>
          </w:tcPr>
          <w:p w14:paraId="2E281EBE" w14:textId="77777777" w:rsidR="008670C1" w:rsidRPr="004F5553" w:rsidRDefault="008670C1" w:rsidP="006B204A">
            <w:pPr>
              <w:spacing w:after="0" w:line="360" w:lineRule="auto"/>
              <w:jc w:val="center"/>
              <w:rPr>
                <w:rFonts w:eastAsia="Times New Roman"/>
                <w:b/>
                <w:bCs/>
                <w:color w:val="FFFFFF"/>
                <w:lang w:val="es-DO"/>
              </w:rPr>
            </w:pPr>
            <w:r w:rsidRPr="004F5553">
              <w:rPr>
                <w:rFonts w:eastAsia="Times New Roman"/>
                <w:b/>
                <w:bCs/>
                <w:color w:val="FFFFFF"/>
                <w:lang w:val="es-DO"/>
              </w:rPr>
              <w:t>6,082,542,497</w:t>
            </w:r>
          </w:p>
        </w:tc>
        <w:tc>
          <w:tcPr>
            <w:tcW w:w="1856" w:type="dxa"/>
            <w:tcBorders>
              <w:top w:val="single" w:sz="4" w:space="0" w:color="auto"/>
              <w:left w:val="nil"/>
              <w:bottom w:val="single" w:sz="4" w:space="0" w:color="auto"/>
              <w:right w:val="nil"/>
            </w:tcBorders>
            <w:shd w:val="clear" w:color="000000" w:fill="003876"/>
            <w:noWrap/>
            <w:vAlign w:val="center"/>
            <w:hideMark/>
          </w:tcPr>
          <w:p w14:paraId="54301EA3" w14:textId="30587C3E" w:rsidR="008670C1" w:rsidRPr="004F5553" w:rsidRDefault="00CD3EDA" w:rsidP="006B204A">
            <w:pPr>
              <w:spacing w:after="0" w:line="360" w:lineRule="auto"/>
              <w:jc w:val="center"/>
              <w:rPr>
                <w:rFonts w:eastAsia="Times New Roman"/>
                <w:b/>
                <w:bCs/>
                <w:color w:val="FFFFFF"/>
                <w:lang w:val="es-DO"/>
              </w:rPr>
            </w:pPr>
            <w:r w:rsidRPr="00CD3EDA">
              <w:rPr>
                <w:rFonts w:eastAsia="Times New Roman"/>
                <w:b/>
                <w:bCs/>
                <w:color w:val="FFFFFF"/>
                <w:lang w:val="es-DO"/>
              </w:rPr>
              <w:t>4,851,375,129</w:t>
            </w:r>
          </w:p>
        </w:tc>
        <w:tc>
          <w:tcPr>
            <w:tcW w:w="1856" w:type="dxa"/>
            <w:tcBorders>
              <w:top w:val="single" w:sz="4" w:space="0" w:color="auto"/>
              <w:left w:val="nil"/>
              <w:bottom w:val="single" w:sz="4" w:space="0" w:color="auto"/>
              <w:right w:val="single" w:sz="4" w:space="0" w:color="auto"/>
            </w:tcBorders>
            <w:shd w:val="clear" w:color="000000" w:fill="003876"/>
            <w:noWrap/>
            <w:vAlign w:val="center"/>
            <w:hideMark/>
          </w:tcPr>
          <w:p w14:paraId="55143538" w14:textId="042EA034" w:rsidR="008670C1" w:rsidRPr="004F5553" w:rsidRDefault="00CD3EDA" w:rsidP="006B204A">
            <w:pPr>
              <w:spacing w:after="0" w:line="360" w:lineRule="auto"/>
              <w:jc w:val="center"/>
              <w:rPr>
                <w:rFonts w:eastAsia="Times New Roman"/>
                <w:b/>
                <w:bCs/>
                <w:color w:val="FFFFFF"/>
                <w:lang w:val="es-DO"/>
              </w:rPr>
            </w:pPr>
            <w:r w:rsidRPr="00CD3EDA">
              <w:rPr>
                <w:rFonts w:eastAsia="Times New Roman"/>
                <w:b/>
                <w:bCs/>
                <w:color w:val="FFFFFF"/>
                <w:lang w:val="es-DO"/>
              </w:rPr>
              <w:t>1,231,167,368</w:t>
            </w:r>
          </w:p>
        </w:tc>
      </w:tr>
    </w:tbl>
    <w:p w14:paraId="74CD32F9" w14:textId="5C822149" w:rsidR="008670C1" w:rsidRPr="00C865B6" w:rsidRDefault="008670C1" w:rsidP="006B204A">
      <w:pPr>
        <w:spacing w:after="0" w:line="240" w:lineRule="auto"/>
        <w:rPr>
          <w:b/>
          <w:bCs/>
        </w:rPr>
      </w:pPr>
    </w:p>
    <w:p w14:paraId="3B84F154" w14:textId="509B08CD" w:rsidR="002E3017" w:rsidRPr="00E90EB4" w:rsidRDefault="00E90EB4" w:rsidP="00E90EB4">
      <w:pPr>
        <w:spacing w:line="360" w:lineRule="auto"/>
        <w:jc w:val="center"/>
        <w:rPr>
          <w:lang w:val="es-DO"/>
        </w:rPr>
      </w:pPr>
      <w:r w:rsidRPr="007B7853">
        <w:rPr>
          <w:b/>
          <w:bCs/>
          <w:lang w:val="es-DO"/>
        </w:rPr>
        <w:t>Fuente</w:t>
      </w:r>
      <w:r w:rsidRPr="00C865B6">
        <w:rPr>
          <w:lang w:val="es-DO"/>
        </w:rPr>
        <w:t xml:space="preserve">: </w:t>
      </w:r>
      <w:r w:rsidRPr="007B7853">
        <w:rPr>
          <w:lang w:val="es-DO"/>
        </w:rPr>
        <w:t>Departamento Administrativo</w:t>
      </w:r>
      <w:r>
        <w:rPr>
          <w:lang w:val="es-DO"/>
        </w:rPr>
        <w:t xml:space="preserve"> y</w:t>
      </w:r>
      <w:r w:rsidRPr="007B7853">
        <w:rPr>
          <w:lang w:val="es-DO"/>
        </w:rPr>
        <w:t xml:space="preserve"> Financiero. Superintendencia de Bancos de la República Dominicana, 202</w:t>
      </w:r>
      <w:r>
        <w:rPr>
          <w:lang w:val="es-DO"/>
        </w:rPr>
        <w:t>3.</w:t>
      </w:r>
    </w:p>
    <w:p w14:paraId="66C865F3" w14:textId="77777777" w:rsidR="002E3017" w:rsidRDefault="002E3017" w:rsidP="004F5553">
      <w:pPr>
        <w:tabs>
          <w:tab w:val="left" w:pos="6420"/>
        </w:tabs>
        <w:spacing w:line="360" w:lineRule="auto"/>
        <w:jc w:val="center"/>
        <w:rPr>
          <w:b/>
          <w:bCs/>
          <w:lang w:val="es-DO"/>
        </w:rPr>
      </w:pPr>
    </w:p>
    <w:p w14:paraId="529FD0C5" w14:textId="77777777" w:rsidR="002E3017" w:rsidRDefault="002E3017" w:rsidP="004F5553">
      <w:pPr>
        <w:tabs>
          <w:tab w:val="left" w:pos="6420"/>
        </w:tabs>
        <w:spacing w:line="360" w:lineRule="auto"/>
        <w:jc w:val="center"/>
        <w:rPr>
          <w:b/>
          <w:bCs/>
          <w:lang w:val="es-DO"/>
        </w:rPr>
      </w:pPr>
    </w:p>
    <w:p w14:paraId="213A16BD" w14:textId="77777777" w:rsidR="000C6843" w:rsidRDefault="000C6843" w:rsidP="004F5553">
      <w:pPr>
        <w:tabs>
          <w:tab w:val="left" w:pos="6420"/>
        </w:tabs>
        <w:spacing w:line="360" w:lineRule="auto"/>
        <w:jc w:val="center"/>
        <w:rPr>
          <w:b/>
          <w:bCs/>
          <w:lang w:val="es-DO"/>
        </w:rPr>
      </w:pPr>
    </w:p>
    <w:p w14:paraId="7F298359" w14:textId="75ADAD35" w:rsidR="008670C1" w:rsidRPr="006D1150" w:rsidRDefault="008670C1" w:rsidP="006D1150">
      <w:pPr>
        <w:tabs>
          <w:tab w:val="left" w:pos="6420"/>
        </w:tabs>
        <w:spacing w:line="360" w:lineRule="auto"/>
        <w:jc w:val="center"/>
        <w:rPr>
          <w:b/>
          <w:bCs/>
          <w:lang w:val="es-DO"/>
        </w:rPr>
      </w:pPr>
      <w:r w:rsidRPr="004F5553">
        <w:rPr>
          <w:b/>
          <w:bCs/>
          <w:lang w:val="es-DO"/>
        </w:rPr>
        <w:lastRenderedPageBreak/>
        <w:t xml:space="preserve">Anexo </w:t>
      </w:r>
      <w:r w:rsidR="007C66F2">
        <w:rPr>
          <w:b/>
          <w:bCs/>
          <w:lang w:val="es-DO"/>
        </w:rPr>
        <w:t>2</w:t>
      </w:r>
      <w:r w:rsidRPr="004F5553">
        <w:rPr>
          <w:b/>
          <w:bCs/>
          <w:lang w:val="es-DO"/>
        </w:rPr>
        <w:t>. Plan Anual de Compras y Contrataciones 2023</w:t>
      </w:r>
      <w:r w:rsidRPr="004F5553">
        <w:fldChar w:fldCharType="begin"/>
      </w:r>
      <w:r w:rsidRPr="004F5553">
        <w:rPr>
          <w:lang w:val="es-DO"/>
        </w:rPr>
        <w:instrText xml:space="preserve"> LINK Excel.SheetMacroEnabled.12 "C:\\Users\\roperez\\AppData\\Local\\Microsoft\\Windows\\INetCache\\Content.Outlook\\T9KAE2LW\\PACC_2021_V1 (1).xlsm" "RESUMEN!F6C2:F39C3" \a \f 5 \h  \* MERGEFORMAT </w:instrText>
      </w:r>
      <w:r w:rsidRPr="004F5553">
        <w:fldChar w:fldCharType="separat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3520"/>
      </w:tblGrid>
      <w:tr w:rsidR="008670C1" w:rsidRPr="004F5553" w14:paraId="15F67BD5" w14:textId="77777777" w:rsidTr="002E3017">
        <w:trPr>
          <w:trHeight w:val="300"/>
          <w:tblHeader/>
          <w:jc w:val="center"/>
        </w:trPr>
        <w:tc>
          <w:tcPr>
            <w:tcW w:w="0" w:type="auto"/>
            <w:gridSpan w:val="2"/>
            <w:shd w:val="clear" w:color="auto" w:fill="003876"/>
            <w:hideMark/>
          </w:tcPr>
          <w:p w14:paraId="76A0E823" w14:textId="77777777" w:rsidR="008670C1" w:rsidRPr="004F5553" w:rsidRDefault="008670C1" w:rsidP="006B204A">
            <w:pPr>
              <w:spacing w:after="0" w:line="360" w:lineRule="auto"/>
              <w:jc w:val="center"/>
            </w:pPr>
            <w:proofErr w:type="spellStart"/>
            <w:r w:rsidRPr="004F5553">
              <w:rPr>
                <w:color w:val="FFFFFF" w:themeColor="background1"/>
              </w:rPr>
              <w:t>Datos</w:t>
            </w:r>
            <w:proofErr w:type="spellEnd"/>
            <w:r w:rsidRPr="004F5553">
              <w:rPr>
                <w:color w:val="FFFFFF" w:themeColor="background1"/>
              </w:rPr>
              <w:t xml:space="preserve"> de Cabecera PACC</w:t>
            </w:r>
          </w:p>
        </w:tc>
      </w:tr>
      <w:tr w:rsidR="008670C1" w:rsidRPr="004F5553" w14:paraId="1B3E8213" w14:textId="77777777">
        <w:trPr>
          <w:trHeight w:val="360"/>
          <w:jc w:val="center"/>
        </w:trPr>
        <w:tc>
          <w:tcPr>
            <w:tcW w:w="4390" w:type="dxa"/>
            <w:shd w:val="clear" w:color="auto" w:fill="auto"/>
            <w:hideMark/>
          </w:tcPr>
          <w:p w14:paraId="2BF94A42" w14:textId="77777777" w:rsidR="008670C1" w:rsidRPr="004F5553" w:rsidRDefault="008670C1" w:rsidP="006B204A">
            <w:pPr>
              <w:spacing w:line="360" w:lineRule="auto"/>
              <w:rPr>
                <w:b/>
                <w:bCs/>
              </w:rPr>
            </w:pPr>
            <w:r w:rsidRPr="004F5553">
              <w:rPr>
                <w:b/>
                <w:bCs/>
              </w:rPr>
              <w:t xml:space="preserve">Monto </w:t>
            </w:r>
            <w:proofErr w:type="spellStart"/>
            <w:r w:rsidRPr="004F5553">
              <w:rPr>
                <w:b/>
                <w:bCs/>
              </w:rPr>
              <w:t>Estimado</w:t>
            </w:r>
            <w:proofErr w:type="spellEnd"/>
            <w:r w:rsidRPr="004F5553">
              <w:rPr>
                <w:b/>
                <w:bCs/>
              </w:rPr>
              <w:t xml:space="preserve"> Total</w:t>
            </w:r>
          </w:p>
        </w:tc>
        <w:tc>
          <w:tcPr>
            <w:tcW w:w="3520" w:type="dxa"/>
            <w:shd w:val="clear" w:color="auto" w:fill="auto"/>
            <w:noWrap/>
            <w:vAlign w:val="bottom"/>
            <w:hideMark/>
          </w:tcPr>
          <w:p w14:paraId="15A2A271" w14:textId="77777777" w:rsidR="008670C1" w:rsidRPr="004F5553" w:rsidRDefault="008670C1" w:rsidP="006B204A">
            <w:pPr>
              <w:spacing w:line="360" w:lineRule="auto"/>
              <w:jc w:val="center"/>
            </w:pPr>
            <w:r w:rsidRPr="004F5553">
              <w:t xml:space="preserve">RD$749,113,733.48 </w:t>
            </w:r>
          </w:p>
        </w:tc>
      </w:tr>
      <w:tr w:rsidR="008670C1" w:rsidRPr="004F5553" w14:paraId="1B03513F" w14:textId="77777777">
        <w:trPr>
          <w:trHeight w:val="360"/>
          <w:jc w:val="center"/>
        </w:trPr>
        <w:tc>
          <w:tcPr>
            <w:tcW w:w="4390" w:type="dxa"/>
            <w:shd w:val="clear" w:color="auto" w:fill="auto"/>
            <w:hideMark/>
          </w:tcPr>
          <w:p w14:paraId="4810CF25" w14:textId="77777777" w:rsidR="008670C1" w:rsidRPr="004F5553" w:rsidRDefault="008670C1" w:rsidP="006B204A">
            <w:pPr>
              <w:spacing w:line="360" w:lineRule="auto"/>
              <w:rPr>
                <w:b/>
                <w:bCs/>
              </w:rPr>
            </w:pPr>
            <w:proofErr w:type="spellStart"/>
            <w:r w:rsidRPr="004F5553">
              <w:rPr>
                <w:b/>
                <w:bCs/>
              </w:rPr>
              <w:t>Cantidad</w:t>
            </w:r>
            <w:proofErr w:type="spellEnd"/>
            <w:r w:rsidRPr="004F5553">
              <w:rPr>
                <w:b/>
                <w:bCs/>
              </w:rPr>
              <w:t xml:space="preserve"> De </w:t>
            </w:r>
            <w:proofErr w:type="spellStart"/>
            <w:r w:rsidRPr="004F5553">
              <w:rPr>
                <w:b/>
                <w:bCs/>
              </w:rPr>
              <w:t>Procesos</w:t>
            </w:r>
            <w:proofErr w:type="spellEnd"/>
            <w:r w:rsidRPr="004F5553">
              <w:rPr>
                <w:b/>
                <w:bCs/>
              </w:rPr>
              <w:t xml:space="preserve"> </w:t>
            </w:r>
            <w:proofErr w:type="spellStart"/>
            <w:r w:rsidRPr="004F5553">
              <w:rPr>
                <w:b/>
                <w:bCs/>
              </w:rPr>
              <w:t>Registrados</w:t>
            </w:r>
            <w:proofErr w:type="spellEnd"/>
          </w:p>
        </w:tc>
        <w:tc>
          <w:tcPr>
            <w:tcW w:w="3520" w:type="dxa"/>
            <w:shd w:val="clear" w:color="auto" w:fill="auto"/>
            <w:noWrap/>
            <w:vAlign w:val="bottom"/>
            <w:hideMark/>
          </w:tcPr>
          <w:p w14:paraId="47E799C7" w14:textId="77777777" w:rsidR="008670C1" w:rsidRPr="004F5553" w:rsidRDefault="008670C1" w:rsidP="006B204A">
            <w:pPr>
              <w:spacing w:line="360" w:lineRule="auto"/>
              <w:jc w:val="center"/>
            </w:pPr>
            <w:r w:rsidRPr="004F5553">
              <w:t>241</w:t>
            </w:r>
          </w:p>
        </w:tc>
      </w:tr>
      <w:tr w:rsidR="008670C1" w:rsidRPr="004F5553" w14:paraId="743D6CDB" w14:textId="77777777">
        <w:trPr>
          <w:trHeight w:val="360"/>
          <w:jc w:val="center"/>
        </w:trPr>
        <w:tc>
          <w:tcPr>
            <w:tcW w:w="4390" w:type="dxa"/>
            <w:shd w:val="clear" w:color="auto" w:fill="auto"/>
            <w:hideMark/>
          </w:tcPr>
          <w:p w14:paraId="69508B37" w14:textId="77777777" w:rsidR="008670C1" w:rsidRPr="004F5553" w:rsidRDefault="008670C1" w:rsidP="006B204A">
            <w:pPr>
              <w:spacing w:line="360" w:lineRule="auto"/>
              <w:rPr>
                <w:b/>
                <w:bCs/>
              </w:rPr>
            </w:pPr>
            <w:proofErr w:type="spellStart"/>
            <w:r w:rsidRPr="004F5553">
              <w:rPr>
                <w:b/>
                <w:bCs/>
              </w:rPr>
              <w:t>Capítulo</w:t>
            </w:r>
            <w:proofErr w:type="spellEnd"/>
          </w:p>
        </w:tc>
        <w:tc>
          <w:tcPr>
            <w:tcW w:w="3520" w:type="dxa"/>
            <w:shd w:val="clear" w:color="auto" w:fill="auto"/>
            <w:noWrap/>
            <w:vAlign w:val="bottom"/>
            <w:hideMark/>
          </w:tcPr>
          <w:p w14:paraId="51F9B910" w14:textId="77777777" w:rsidR="008670C1" w:rsidRPr="004F5553" w:rsidRDefault="008670C1" w:rsidP="006B204A">
            <w:pPr>
              <w:spacing w:line="360" w:lineRule="auto"/>
              <w:jc w:val="center"/>
            </w:pPr>
            <w:r w:rsidRPr="004F5553">
              <w:t>5126</w:t>
            </w:r>
          </w:p>
        </w:tc>
      </w:tr>
      <w:tr w:rsidR="008670C1" w:rsidRPr="004F5553" w14:paraId="412D2597" w14:textId="77777777">
        <w:trPr>
          <w:trHeight w:val="360"/>
          <w:jc w:val="center"/>
        </w:trPr>
        <w:tc>
          <w:tcPr>
            <w:tcW w:w="4390" w:type="dxa"/>
            <w:shd w:val="clear" w:color="auto" w:fill="auto"/>
            <w:hideMark/>
          </w:tcPr>
          <w:p w14:paraId="738609C9" w14:textId="77777777" w:rsidR="008670C1" w:rsidRPr="004F5553" w:rsidRDefault="008670C1" w:rsidP="006B204A">
            <w:pPr>
              <w:spacing w:line="360" w:lineRule="auto"/>
              <w:rPr>
                <w:b/>
                <w:bCs/>
              </w:rPr>
            </w:pPr>
            <w:r w:rsidRPr="004F5553">
              <w:rPr>
                <w:b/>
                <w:bCs/>
              </w:rPr>
              <w:t>Sub-</w:t>
            </w:r>
            <w:proofErr w:type="spellStart"/>
            <w:r w:rsidRPr="004F5553">
              <w:rPr>
                <w:b/>
                <w:bCs/>
              </w:rPr>
              <w:t>Capítulo</w:t>
            </w:r>
            <w:proofErr w:type="spellEnd"/>
          </w:p>
        </w:tc>
        <w:tc>
          <w:tcPr>
            <w:tcW w:w="3520" w:type="dxa"/>
            <w:shd w:val="clear" w:color="auto" w:fill="auto"/>
            <w:noWrap/>
            <w:vAlign w:val="bottom"/>
            <w:hideMark/>
          </w:tcPr>
          <w:p w14:paraId="78326A83" w14:textId="77777777" w:rsidR="008670C1" w:rsidRPr="004F5553" w:rsidRDefault="008670C1" w:rsidP="006B204A">
            <w:pPr>
              <w:spacing w:line="360" w:lineRule="auto"/>
              <w:jc w:val="center"/>
            </w:pPr>
            <w:r w:rsidRPr="004F5553">
              <w:t>01</w:t>
            </w:r>
          </w:p>
        </w:tc>
      </w:tr>
      <w:tr w:rsidR="008670C1" w:rsidRPr="004F5553" w14:paraId="21C47579" w14:textId="77777777">
        <w:trPr>
          <w:trHeight w:val="360"/>
          <w:jc w:val="center"/>
        </w:trPr>
        <w:tc>
          <w:tcPr>
            <w:tcW w:w="4390" w:type="dxa"/>
            <w:shd w:val="clear" w:color="auto" w:fill="auto"/>
            <w:hideMark/>
          </w:tcPr>
          <w:p w14:paraId="7C07F163" w14:textId="77777777" w:rsidR="008670C1" w:rsidRPr="004F5553" w:rsidRDefault="008670C1" w:rsidP="006B204A">
            <w:pPr>
              <w:spacing w:line="360" w:lineRule="auto"/>
              <w:rPr>
                <w:b/>
                <w:bCs/>
              </w:rPr>
            </w:pPr>
            <w:r w:rsidRPr="004F5553">
              <w:rPr>
                <w:b/>
                <w:bCs/>
              </w:rPr>
              <w:t xml:space="preserve">Unidad </w:t>
            </w:r>
            <w:proofErr w:type="spellStart"/>
            <w:r w:rsidRPr="004F5553">
              <w:rPr>
                <w:b/>
                <w:bCs/>
              </w:rPr>
              <w:t>Ejecutora</w:t>
            </w:r>
            <w:proofErr w:type="spellEnd"/>
          </w:p>
        </w:tc>
        <w:tc>
          <w:tcPr>
            <w:tcW w:w="3520" w:type="dxa"/>
            <w:shd w:val="clear" w:color="auto" w:fill="auto"/>
            <w:noWrap/>
            <w:vAlign w:val="bottom"/>
            <w:hideMark/>
          </w:tcPr>
          <w:p w14:paraId="57C45382" w14:textId="77777777" w:rsidR="008670C1" w:rsidRPr="004F5553" w:rsidRDefault="008670C1" w:rsidP="006B204A">
            <w:pPr>
              <w:spacing w:line="360" w:lineRule="auto"/>
              <w:jc w:val="center"/>
            </w:pPr>
            <w:r w:rsidRPr="004F5553">
              <w:t>0001</w:t>
            </w:r>
          </w:p>
        </w:tc>
      </w:tr>
      <w:tr w:rsidR="008670C1" w:rsidRPr="004F5553" w14:paraId="6BB85E16" w14:textId="77777777">
        <w:trPr>
          <w:trHeight w:val="330"/>
          <w:jc w:val="center"/>
        </w:trPr>
        <w:tc>
          <w:tcPr>
            <w:tcW w:w="4390" w:type="dxa"/>
            <w:shd w:val="clear" w:color="auto" w:fill="auto"/>
            <w:hideMark/>
          </w:tcPr>
          <w:p w14:paraId="08DB753B" w14:textId="77777777" w:rsidR="008670C1" w:rsidRPr="004F5553" w:rsidRDefault="008670C1" w:rsidP="006B204A">
            <w:pPr>
              <w:spacing w:line="360" w:lineRule="auto"/>
              <w:rPr>
                <w:b/>
                <w:bCs/>
              </w:rPr>
            </w:pPr>
            <w:r w:rsidRPr="004F5553">
              <w:rPr>
                <w:b/>
                <w:bCs/>
              </w:rPr>
              <w:t xml:space="preserve">Unidad De </w:t>
            </w:r>
            <w:proofErr w:type="spellStart"/>
            <w:r w:rsidRPr="004F5553">
              <w:rPr>
                <w:b/>
                <w:bCs/>
              </w:rPr>
              <w:t>Compra</w:t>
            </w:r>
            <w:proofErr w:type="spellEnd"/>
          </w:p>
        </w:tc>
        <w:tc>
          <w:tcPr>
            <w:tcW w:w="3520" w:type="dxa"/>
            <w:shd w:val="clear" w:color="auto" w:fill="auto"/>
            <w:noWrap/>
            <w:vAlign w:val="bottom"/>
            <w:hideMark/>
          </w:tcPr>
          <w:p w14:paraId="662D1CD7" w14:textId="77777777" w:rsidR="008670C1" w:rsidRPr="004F5553" w:rsidRDefault="008670C1" w:rsidP="006B204A">
            <w:pPr>
              <w:spacing w:line="360" w:lineRule="auto"/>
              <w:jc w:val="center"/>
            </w:pPr>
            <w:proofErr w:type="spellStart"/>
            <w:r w:rsidRPr="004F5553">
              <w:t>Superintendencia</w:t>
            </w:r>
            <w:proofErr w:type="spellEnd"/>
            <w:r w:rsidRPr="004F5553">
              <w:t xml:space="preserve"> de </w:t>
            </w:r>
            <w:proofErr w:type="spellStart"/>
            <w:r w:rsidRPr="004F5553">
              <w:t>Bancos</w:t>
            </w:r>
            <w:proofErr w:type="spellEnd"/>
          </w:p>
        </w:tc>
      </w:tr>
      <w:tr w:rsidR="008670C1" w:rsidRPr="004F5553" w14:paraId="4E86C82F" w14:textId="77777777">
        <w:trPr>
          <w:trHeight w:val="53"/>
          <w:jc w:val="center"/>
        </w:trPr>
        <w:tc>
          <w:tcPr>
            <w:tcW w:w="4390" w:type="dxa"/>
            <w:shd w:val="clear" w:color="auto" w:fill="auto"/>
            <w:hideMark/>
          </w:tcPr>
          <w:p w14:paraId="1AFE671C" w14:textId="77777777" w:rsidR="008670C1" w:rsidRPr="004F5553" w:rsidRDefault="008670C1" w:rsidP="006B204A">
            <w:pPr>
              <w:spacing w:line="360" w:lineRule="auto"/>
              <w:rPr>
                <w:b/>
                <w:bCs/>
              </w:rPr>
            </w:pPr>
            <w:r w:rsidRPr="004F5553">
              <w:rPr>
                <w:b/>
                <w:bCs/>
              </w:rPr>
              <w:t>Año Fiscal</w:t>
            </w:r>
          </w:p>
        </w:tc>
        <w:tc>
          <w:tcPr>
            <w:tcW w:w="3520" w:type="dxa"/>
            <w:shd w:val="clear" w:color="auto" w:fill="auto"/>
            <w:noWrap/>
            <w:vAlign w:val="bottom"/>
            <w:hideMark/>
          </w:tcPr>
          <w:p w14:paraId="2CC64D0D" w14:textId="77777777" w:rsidR="008670C1" w:rsidRPr="004F5553" w:rsidRDefault="008670C1" w:rsidP="006B204A">
            <w:pPr>
              <w:spacing w:line="360" w:lineRule="auto"/>
              <w:jc w:val="center"/>
            </w:pPr>
            <w:r w:rsidRPr="004F5553">
              <w:t>2023</w:t>
            </w:r>
          </w:p>
        </w:tc>
      </w:tr>
      <w:tr w:rsidR="008670C1" w:rsidRPr="004F5553" w14:paraId="32468E83" w14:textId="77777777">
        <w:trPr>
          <w:trHeight w:val="330"/>
          <w:jc w:val="center"/>
        </w:trPr>
        <w:tc>
          <w:tcPr>
            <w:tcW w:w="4390" w:type="dxa"/>
            <w:shd w:val="clear" w:color="auto" w:fill="auto"/>
            <w:hideMark/>
          </w:tcPr>
          <w:p w14:paraId="23BA9276" w14:textId="77777777" w:rsidR="008670C1" w:rsidRPr="004F5553" w:rsidRDefault="008670C1" w:rsidP="006B204A">
            <w:pPr>
              <w:spacing w:line="360" w:lineRule="auto"/>
              <w:rPr>
                <w:b/>
                <w:bCs/>
              </w:rPr>
            </w:pPr>
            <w:proofErr w:type="spellStart"/>
            <w:r w:rsidRPr="004F5553">
              <w:rPr>
                <w:b/>
                <w:bCs/>
              </w:rPr>
              <w:t>Fecha</w:t>
            </w:r>
            <w:proofErr w:type="spellEnd"/>
            <w:r w:rsidRPr="004F5553">
              <w:rPr>
                <w:b/>
                <w:bCs/>
              </w:rPr>
              <w:t xml:space="preserve"> </w:t>
            </w:r>
            <w:proofErr w:type="spellStart"/>
            <w:r w:rsidRPr="004F5553">
              <w:rPr>
                <w:b/>
                <w:bCs/>
              </w:rPr>
              <w:t>Aprobación</w:t>
            </w:r>
            <w:proofErr w:type="spellEnd"/>
          </w:p>
        </w:tc>
        <w:tc>
          <w:tcPr>
            <w:tcW w:w="3520" w:type="dxa"/>
            <w:shd w:val="clear" w:color="auto" w:fill="auto"/>
            <w:noWrap/>
            <w:hideMark/>
          </w:tcPr>
          <w:p w14:paraId="4791751C" w14:textId="77777777" w:rsidR="008670C1" w:rsidRPr="004F5553" w:rsidRDefault="008670C1" w:rsidP="006B204A">
            <w:pPr>
              <w:spacing w:line="360" w:lineRule="auto"/>
              <w:jc w:val="center"/>
            </w:pPr>
            <w:r w:rsidRPr="004F5553">
              <w:t>17/01/2023</w:t>
            </w:r>
          </w:p>
        </w:tc>
      </w:tr>
      <w:tr w:rsidR="008670C1" w:rsidRPr="00274E67" w14:paraId="4711C10B" w14:textId="77777777">
        <w:trPr>
          <w:trHeight w:val="300"/>
          <w:jc w:val="center"/>
        </w:trPr>
        <w:tc>
          <w:tcPr>
            <w:tcW w:w="0" w:type="auto"/>
            <w:gridSpan w:val="2"/>
            <w:shd w:val="clear" w:color="auto" w:fill="003876"/>
            <w:hideMark/>
          </w:tcPr>
          <w:p w14:paraId="57D5FB2D" w14:textId="77777777" w:rsidR="008670C1" w:rsidRPr="004F5553" w:rsidRDefault="008670C1" w:rsidP="006B204A">
            <w:pPr>
              <w:spacing w:after="0" w:line="360" w:lineRule="auto"/>
              <w:jc w:val="center"/>
              <w:rPr>
                <w:color w:val="FFFFFF"/>
                <w:lang w:val="es-DO"/>
              </w:rPr>
            </w:pPr>
            <w:r w:rsidRPr="004F5553">
              <w:rPr>
                <w:color w:val="FFFFFF"/>
                <w:lang w:val="es-DO"/>
              </w:rPr>
              <w:t>Montos Estimados según Objeto De Contratación</w:t>
            </w:r>
          </w:p>
        </w:tc>
      </w:tr>
      <w:tr w:rsidR="008670C1" w:rsidRPr="004F5553" w14:paraId="7B41EEE8" w14:textId="77777777">
        <w:trPr>
          <w:trHeight w:val="300"/>
          <w:jc w:val="center"/>
        </w:trPr>
        <w:tc>
          <w:tcPr>
            <w:tcW w:w="4390" w:type="dxa"/>
            <w:shd w:val="clear" w:color="auto" w:fill="auto"/>
            <w:hideMark/>
          </w:tcPr>
          <w:p w14:paraId="0F2798B8" w14:textId="77777777" w:rsidR="008670C1" w:rsidRPr="004F5553" w:rsidRDefault="008670C1" w:rsidP="006B204A">
            <w:pPr>
              <w:spacing w:line="360" w:lineRule="auto"/>
              <w:rPr>
                <w:b/>
                <w:bCs/>
              </w:rPr>
            </w:pPr>
            <w:proofErr w:type="spellStart"/>
            <w:r w:rsidRPr="004F5553">
              <w:rPr>
                <w:b/>
                <w:bCs/>
              </w:rPr>
              <w:t>Bienes</w:t>
            </w:r>
            <w:proofErr w:type="spellEnd"/>
          </w:p>
        </w:tc>
        <w:tc>
          <w:tcPr>
            <w:tcW w:w="3520" w:type="dxa"/>
            <w:shd w:val="clear" w:color="auto" w:fill="auto"/>
            <w:noWrap/>
            <w:hideMark/>
          </w:tcPr>
          <w:p w14:paraId="7D1A7686" w14:textId="77777777" w:rsidR="008670C1" w:rsidRPr="004F5553" w:rsidRDefault="008670C1" w:rsidP="006B204A">
            <w:pPr>
              <w:spacing w:line="360" w:lineRule="auto"/>
              <w:jc w:val="center"/>
            </w:pPr>
            <w:r w:rsidRPr="004F5553">
              <w:t xml:space="preserve"> RD$171,446,970.00 </w:t>
            </w:r>
          </w:p>
        </w:tc>
      </w:tr>
      <w:tr w:rsidR="008670C1" w:rsidRPr="004F5553" w14:paraId="3A40A2EC" w14:textId="77777777">
        <w:trPr>
          <w:trHeight w:val="300"/>
          <w:jc w:val="center"/>
        </w:trPr>
        <w:tc>
          <w:tcPr>
            <w:tcW w:w="4390" w:type="dxa"/>
            <w:shd w:val="clear" w:color="auto" w:fill="auto"/>
            <w:hideMark/>
          </w:tcPr>
          <w:p w14:paraId="2B7740C7" w14:textId="77777777" w:rsidR="008670C1" w:rsidRPr="004F5553" w:rsidRDefault="008670C1" w:rsidP="006B204A">
            <w:pPr>
              <w:spacing w:line="360" w:lineRule="auto"/>
              <w:rPr>
                <w:b/>
                <w:bCs/>
              </w:rPr>
            </w:pPr>
            <w:proofErr w:type="spellStart"/>
            <w:r w:rsidRPr="004F5553">
              <w:rPr>
                <w:b/>
                <w:bCs/>
              </w:rPr>
              <w:t>Obras</w:t>
            </w:r>
            <w:proofErr w:type="spellEnd"/>
          </w:p>
        </w:tc>
        <w:tc>
          <w:tcPr>
            <w:tcW w:w="3520" w:type="dxa"/>
            <w:shd w:val="clear" w:color="auto" w:fill="auto"/>
            <w:noWrap/>
            <w:hideMark/>
          </w:tcPr>
          <w:p w14:paraId="18FCEDEF" w14:textId="77777777" w:rsidR="008670C1" w:rsidRPr="004F5553" w:rsidRDefault="008670C1" w:rsidP="006B204A">
            <w:pPr>
              <w:spacing w:line="360" w:lineRule="auto"/>
              <w:jc w:val="center"/>
            </w:pPr>
            <w:r w:rsidRPr="004F5553">
              <w:t xml:space="preserve"> RD$166,502,378.13 </w:t>
            </w:r>
          </w:p>
        </w:tc>
      </w:tr>
      <w:tr w:rsidR="008670C1" w:rsidRPr="004F5553" w14:paraId="2E26F550" w14:textId="77777777">
        <w:trPr>
          <w:trHeight w:val="300"/>
          <w:jc w:val="center"/>
        </w:trPr>
        <w:tc>
          <w:tcPr>
            <w:tcW w:w="4390" w:type="dxa"/>
            <w:shd w:val="clear" w:color="auto" w:fill="auto"/>
            <w:hideMark/>
          </w:tcPr>
          <w:p w14:paraId="5CB6FAF2" w14:textId="77777777" w:rsidR="008670C1" w:rsidRPr="004F5553" w:rsidRDefault="008670C1" w:rsidP="006B204A">
            <w:pPr>
              <w:spacing w:line="360" w:lineRule="auto"/>
              <w:rPr>
                <w:b/>
                <w:bCs/>
              </w:rPr>
            </w:pPr>
            <w:proofErr w:type="spellStart"/>
            <w:r w:rsidRPr="004F5553">
              <w:rPr>
                <w:b/>
                <w:bCs/>
              </w:rPr>
              <w:t>Servicios</w:t>
            </w:r>
            <w:proofErr w:type="spellEnd"/>
          </w:p>
        </w:tc>
        <w:tc>
          <w:tcPr>
            <w:tcW w:w="3520" w:type="dxa"/>
            <w:shd w:val="clear" w:color="auto" w:fill="auto"/>
            <w:noWrap/>
            <w:hideMark/>
          </w:tcPr>
          <w:p w14:paraId="72C5ED21" w14:textId="77777777" w:rsidR="008670C1" w:rsidRPr="004F5553" w:rsidRDefault="008670C1" w:rsidP="006B204A">
            <w:pPr>
              <w:spacing w:line="360" w:lineRule="auto"/>
              <w:jc w:val="center"/>
            </w:pPr>
            <w:r w:rsidRPr="004F5553">
              <w:t xml:space="preserve"> RD$378,497,385.35 </w:t>
            </w:r>
          </w:p>
        </w:tc>
      </w:tr>
      <w:tr w:rsidR="008670C1" w:rsidRPr="004F5553" w14:paraId="6E4CAA3D" w14:textId="77777777">
        <w:trPr>
          <w:trHeight w:val="300"/>
          <w:jc w:val="center"/>
        </w:trPr>
        <w:tc>
          <w:tcPr>
            <w:tcW w:w="4390" w:type="dxa"/>
            <w:shd w:val="clear" w:color="auto" w:fill="auto"/>
            <w:hideMark/>
          </w:tcPr>
          <w:p w14:paraId="279DCE50" w14:textId="77777777" w:rsidR="008670C1" w:rsidRPr="004F5553" w:rsidRDefault="008670C1" w:rsidP="006B204A">
            <w:pPr>
              <w:spacing w:line="360" w:lineRule="auto"/>
              <w:rPr>
                <w:b/>
                <w:bCs/>
              </w:rPr>
            </w:pPr>
            <w:proofErr w:type="spellStart"/>
            <w:r w:rsidRPr="004F5553">
              <w:rPr>
                <w:b/>
                <w:bCs/>
              </w:rPr>
              <w:t>Servicios</w:t>
            </w:r>
            <w:proofErr w:type="spellEnd"/>
            <w:r w:rsidRPr="004F5553">
              <w:rPr>
                <w:b/>
                <w:bCs/>
              </w:rPr>
              <w:t xml:space="preserve">: </w:t>
            </w:r>
            <w:proofErr w:type="spellStart"/>
            <w:r w:rsidRPr="004F5553">
              <w:rPr>
                <w:b/>
                <w:bCs/>
              </w:rPr>
              <w:t>Consultoría</w:t>
            </w:r>
            <w:proofErr w:type="spellEnd"/>
          </w:p>
        </w:tc>
        <w:tc>
          <w:tcPr>
            <w:tcW w:w="3520" w:type="dxa"/>
            <w:shd w:val="clear" w:color="auto" w:fill="auto"/>
            <w:noWrap/>
            <w:hideMark/>
          </w:tcPr>
          <w:p w14:paraId="6C009B24" w14:textId="77777777" w:rsidR="008670C1" w:rsidRPr="004F5553" w:rsidRDefault="008670C1" w:rsidP="006B204A">
            <w:pPr>
              <w:spacing w:line="360" w:lineRule="auto"/>
              <w:jc w:val="center"/>
            </w:pPr>
            <w:r w:rsidRPr="004F5553">
              <w:t xml:space="preserve"> RD$32,667,000.00 </w:t>
            </w:r>
          </w:p>
        </w:tc>
      </w:tr>
      <w:tr w:rsidR="008670C1" w:rsidRPr="004F5553" w14:paraId="16344F9A" w14:textId="77777777">
        <w:trPr>
          <w:trHeight w:val="300"/>
          <w:jc w:val="center"/>
        </w:trPr>
        <w:tc>
          <w:tcPr>
            <w:tcW w:w="4390" w:type="dxa"/>
            <w:shd w:val="clear" w:color="auto" w:fill="auto"/>
            <w:hideMark/>
          </w:tcPr>
          <w:p w14:paraId="0E2BD13C" w14:textId="77777777" w:rsidR="008670C1" w:rsidRPr="004F5553" w:rsidRDefault="008670C1" w:rsidP="006B204A">
            <w:pPr>
              <w:spacing w:line="360" w:lineRule="auto"/>
              <w:rPr>
                <w:b/>
                <w:bCs/>
                <w:lang w:val="es-DO"/>
              </w:rPr>
            </w:pPr>
            <w:r w:rsidRPr="004F5553">
              <w:rPr>
                <w:b/>
                <w:bCs/>
                <w:lang w:val="es-DO"/>
              </w:rPr>
              <w:t>Servicios: Consultoría basada en la calidad de los servicios</w:t>
            </w:r>
          </w:p>
        </w:tc>
        <w:tc>
          <w:tcPr>
            <w:tcW w:w="3520" w:type="dxa"/>
            <w:shd w:val="clear" w:color="auto" w:fill="auto"/>
            <w:noWrap/>
            <w:vAlign w:val="bottom"/>
            <w:hideMark/>
          </w:tcPr>
          <w:p w14:paraId="4206B401" w14:textId="77777777" w:rsidR="008670C1" w:rsidRPr="004F5553" w:rsidRDefault="008670C1" w:rsidP="006B204A">
            <w:pPr>
              <w:spacing w:line="360" w:lineRule="auto"/>
              <w:jc w:val="center"/>
            </w:pPr>
            <w:r w:rsidRPr="004F5553">
              <w:rPr>
                <w:lang w:val="es-DO"/>
              </w:rPr>
              <w:t xml:space="preserve"> </w:t>
            </w:r>
            <w:r w:rsidRPr="004F5553">
              <w:t xml:space="preserve">RD$                                                                                      -   </w:t>
            </w:r>
          </w:p>
        </w:tc>
      </w:tr>
      <w:tr w:rsidR="008670C1" w:rsidRPr="00274E67" w14:paraId="4419DDC5" w14:textId="77777777">
        <w:trPr>
          <w:trHeight w:val="300"/>
          <w:jc w:val="center"/>
        </w:trPr>
        <w:tc>
          <w:tcPr>
            <w:tcW w:w="0" w:type="auto"/>
            <w:gridSpan w:val="2"/>
            <w:shd w:val="clear" w:color="auto" w:fill="003876"/>
            <w:hideMark/>
          </w:tcPr>
          <w:p w14:paraId="6FDE7420" w14:textId="77777777" w:rsidR="008670C1" w:rsidRPr="004F5553" w:rsidRDefault="008670C1" w:rsidP="006B204A">
            <w:pPr>
              <w:spacing w:after="0" w:line="360" w:lineRule="auto"/>
              <w:jc w:val="center"/>
              <w:rPr>
                <w:color w:val="FFFFFF" w:themeColor="background1"/>
                <w:lang w:val="es-DO"/>
              </w:rPr>
            </w:pPr>
            <w:r w:rsidRPr="004F5553">
              <w:rPr>
                <w:color w:val="FFFFFF" w:themeColor="background1"/>
                <w:lang w:val="es-DO"/>
              </w:rPr>
              <w:t>Montos Estimados según Clasificación MIPYME</w:t>
            </w:r>
          </w:p>
        </w:tc>
      </w:tr>
      <w:tr w:rsidR="008670C1" w:rsidRPr="004F5553" w14:paraId="4B7DDDA8" w14:textId="77777777">
        <w:trPr>
          <w:trHeight w:val="300"/>
          <w:jc w:val="center"/>
        </w:trPr>
        <w:tc>
          <w:tcPr>
            <w:tcW w:w="4390" w:type="dxa"/>
            <w:shd w:val="clear" w:color="auto" w:fill="auto"/>
            <w:hideMark/>
          </w:tcPr>
          <w:p w14:paraId="2F5DA902" w14:textId="77777777" w:rsidR="008670C1" w:rsidRPr="004F5553" w:rsidRDefault="008670C1" w:rsidP="006B204A">
            <w:pPr>
              <w:spacing w:line="360" w:lineRule="auto"/>
              <w:rPr>
                <w:b/>
                <w:bCs/>
              </w:rPr>
            </w:pPr>
            <w:r w:rsidRPr="004F5553">
              <w:rPr>
                <w:b/>
                <w:bCs/>
              </w:rPr>
              <w:t>MIPYME</w:t>
            </w:r>
          </w:p>
        </w:tc>
        <w:tc>
          <w:tcPr>
            <w:tcW w:w="3520" w:type="dxa"/>
            <w:shd w:val="clear" w:color="auto" w:fill="auto"/>
            <w:noWrap/>
            <w:hideMark/>
          </w:tcPr>
          <w:p w14:paraId="37296E6B" w14:textId="77777777" w:rsidR="008670C1" w:rsidRPr="004F5553" w:rsidRDefault="008670C1" w:rsidP="006B204A">
            <w:pPr>
              <w:spacing w:line="360" w:lineRule="auto"/>
              <w:jc w:val="center"/>
            </w:pPr>
            <w:r w:rsidRPr="004F5553">
              <w:t xml:space="preserve"> RD$147,389,567.60 </w:t>
            </w:r>
          </w:p>
        </w:tc>
      </w:tr>
      <w:tr w:rsidR="008670C1" w:rsidRPr="004F5553" w14:paraId="209F548A" w14:textId="77777777">
        <w:trPr>
          <w:trHeight w:val="300"/>
          <w:jc w:val="center"/>
        </w:trPr>
        <w:tc>
          <w:tcPr>
            <w:tcW w:w="4390" w:type="dxa"/>
            <w:shd w:val="clear" w:color="auto" w:fill="auto"/>
            <w:hideMark/>
          </w:tcPr>
          <w:p w14:paraId="36AD4741" w14:textId="77777777" w:rsidR="008670C1" w:rsidRPr="004F5553" w:rsidRDefault="008670C1" w:rsidP="006B204A">
            <w:pPr>
              <w:spacing w:line="360" w:lineRule="auto"/>
              <w:rPr>
                <w:b/>
                <w:bCs/>
              </w:rPr>
            </w:pPr>
            <w:r w:rsidRPr="004F5553">
              <w:rPr>
                <w:b/>
                <w:bCs/>
              </w:rPr>
              <w:t xml:space="preserve">MIPYME </w:t>
            </w:r>
            <w:proofErr w:type="spellStart"/>
            <w:r w:rsidRPr="004F5553">
              <w:rPr>
                <w:b/>
                <w:bCs/>
              </w:rPr>
              <w:t>Mujer</w:t>
            </w:r>
            <w:proofErr w:type="spellEnd"/>
          </w:p>
        </w:tc>
        <w:tc>
          <w:tcPr>
            <w:tcW w:w="3520" w:type="dxa"/>
            <w:shd w:val="clear" w:color="auto" w:fill="auto"/>
            <w:noWrap/>
            <w:hideMark/>
          </w:tcPr>
          <w:p w14:paraId="30935E8F" w14:textId="77777777" w:rsidR="008670C1" w:rsidRPr="004F5553" w:rsidRDefault="008670C1" w:rsidP="006B204A">
            <w:pPr>
              <w:spacing w:line="360" w:lineRule="auto"/>
              <w:jc w:val="center"/>
            </w:pPr>
            <w:r w:rsidRPr="004F5553">
              <w:t xml:space="preserve"> RD$12,822,750.00 </w:t>
            </w:r>
          </w:p>
        </w:tc>
      </w:tr>
      <w:tr w:rsidR="008670C1" w:rsidRPr="004F5553" w14:paraId="25189C37" w14:textId="77777777">
        <w:trPr>
          <w:trHeight w:val="300"/>
          <w:jc w:val="center"/>
        </w:trPr>
        <w:tc>
          <w:tcPr>
            <w:tcW w:w="4390" w:type="dxa"/>
            <w:shd w:val="clear" w:color="auto" w:fill="auto"/>
            <w:hideMark/>
          </w:tcPr>
          <w:p w14:paraId="1B7AFBA4" w14:textId="77777777" w:rsidR="008670C1" w:rsidRPr="004F5553" w:rsidRDefault="008670C1" w:rsidP="006B204A">
            <w:pPr>
              <w:spacing w:line="360" w:lineRule="auto"/>
              <w:rPr>
                <w:b/>
                <w:bCs/>
              </w:rPr>
            </w:pPr>
            <w:r w:rsidRPr="004F5553">
              <w:rPr>
                <w:b/>
                <w:bCs/>
              </w:rPr>
              <w:t>No MIPYME</w:t>
            </w:r>
          </w:p>
        </w:tc>
        <w:tc>
          <w:tcPr>
            <w:tcW w:w="3520" w:type="dxa"/>
            <w:shd w:val="clear" w:color="auto" w:fill="auto"/>
            <w:noWrap/>
            <w:hideMark/>
          </w:tcPr>
          <w:p w14:paraId="58147D52" w14:textId="77777777" w:rsidR="008670C1" w:rsidRPr="004F5553" w:rsidRDefault="008670C1" w:rsidP="006B204A">
            <w:pPr>
              <w:spacing w:line="360" w:lineRule="auto"/>
              <w:jc w:val="center"/>
            </w:pPr>
            <w:r w:rsidRPr="004F5553">
              <w:t xml:space="preserve"> RD$588,901,415.88 </w:t>
            </w:r>
          </w:p>
        </w:tc>
      </w:tr>
    </w:tbl>
    <w:p w14:paraId="3C2DB343" w14:textId="77777777" w:rsidR="008670C1" w:rsidRPr="004F5553" w:rsidRDefault="008670C1" w:rsidP="006B204A">
      <w:pPr>
        <w:spacing w:line="36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3520"/>
      </w:tblGrid>
      <w:tr w:rsidR="008670C1" w:rsidRPr="00274E67" w14:paraId="2942E1E4" w14:textId="77777777" w:rsidTr="008670C1">
        <w:trPr>
          <w:trHeight w:val="300"/>
          <w:tblHeader/>
          <w:jc w:val="center"/>
        </w:trPr>
        <w:tc>
          <w:tcPr>
            <w:tcW w:w="0" w:type="auto"/>
            <w:gridSpan w:val="2"/>
            <w:shd w:val="clear" w:color="auto" w:fill="003876"/>
            <w:vAlign w:val="center"/>
            <w:hideMark/>
          </w:tcPr>
          <w:p w14:paraId="6039ECEB" w14:textId="77777777" w:rsidR="008670C1" w:rsidRPr="007763A3" w:rsidRDefault="008670C1" w:rsidP="006B204A">
            <w:pPr>
              <w:spacing w:after="0" w:line="360" w:lineRule="auto"/>
              <w:jc w:val="center"/>
              <w:rPr>
                <w:b/>
                <w:bCs/>
                <w:color w:val="FFFFFF"/>
                <w:lang w:val="es-DO"/>
              </w:rPr>
            </w:pPr>
            <w:r w:rsidRPr="007763A3">
              <w:rPr>
                <w:b/>
                <w:bCs/>
                <w:color w:val="FFFFFF"/>
                <w:lang w:val="es-DO"/>
              </w:rPr>
              <w:lastRenderedPageBreak/>
              <w:t>Montos Estimados según Tipo De Procedimiento</w:t>
            </w:r>
          </w:p>
        </w:tc>
      </w:tr>
      <w:tr w:rsidR="008670C1" w:rsidRPr="004F5553" w14:paraId="0E95E59F" w14:textId="77777777" w:rsidTr="008670C1">
        <w:trPr>
          <w:trHeight w:val="300"/>
          <w:jc w:val="center"/>
        </w:trPr>
        <w:tc>
          <w:tcPr>
            <w:tcW w:w="4390" w:type="dxa"/>
            <w:shd w:val="clear" w:color="auto" w:fill="auto"/>
            <w:vAlign w:val="center"/>
            <w:hideMark/>
          </w:tcPr>
          <w:p w14:paraId="05E0BE99" w14:textId="77777777" w:rsidR="008670C1" w:rsidRPr="004F5553" w:rsidRDefault="008670C1" w:rsidP="006B204A">
            <w:pPr>
              <w:spacing w:line="360" w:lineRule="auto"/>
              <w:rPr>
                <w:b/>
                <w:bCs/>
                <w:lang w:val="es-DO"/>
              </w:rPr>
            </w:pPr>
            <w:r w:rsidRPr="004F5553">
              <w:rPr>
                <w:b/>
                <w:bCs/>
                <w:lang w:val="es-DO"/>
              </w:rPr>
              <w:t>Compras por debajo del umbral</w:t>
            </w:r>
          </w:p>
        </w:tc>
        <w:tc>
          <w:tcPr>
            <w:tcW w:w="3520" w:type="dxa"/>
            <w:shd w:val="clear" w:color="auto" w:fill="auto"/>
            <w:noWrap/>
            <w:vAlign w:val="center"/>
            <w:hideMark/>
          </w:tcPr>
          <w:p w14:paraId="19FCB419" w14:textId="52CA8A79" w:rsidR="008670C1" w:rsidRPr="00516CA4" w:rsidRDefault="008670C1" w:rsidP="006B204A">
            <w:pPr>
              <w:spacing w:line="360" w:lineRule="auto"/>
              <w:jc w:val="center"/>
              <w:rPr>
                <w:lang w:val="es-DO"/>
              </w:rPr>
            </w:pPr>
            <w:r w:rsidRPr="00516CA4">
              <w:rPr>
                <w:lang w:val="es-DO"/>
              </w:rPr>
              <w:t>RD$8,563,245.80</w:t>
            </w:r>
          </w:p>
        </w:tc>
      </w:tr>
      <w:tr w:rsidR="008670C1" w:rsidRPr="004F5553" w14:paraId="51821D26" w14:textId="77777777" w:rsidTr="008670C1">
        <w:trPr>
          <w:trHeight w:val="300"/>
          <w:jc w:val="center"/>
        </w:trPr>
        <w:tc>
          <w:tcPr>
            <w:tcW w:w="4390" w:type="dxa"/>
            <w:shd w:val="clear" w:color="auto" w:fill="auto"/>
            <w:vAlign w:val="center"/>
            <w:hideMark/>
          </w:tcPr>
          <w:p w14:paraId="2796C3A1" w14:textId="77777777" w:rsidR="008670C1" w:rsidRPr="00516CA4" w:rsidRDefault="008670C1" w:rsidP="006B204A">
            <w:pPr>
              <w:spacing w:line="360" w:lineRule="auto"/>
              <w:rPr>
                <w:b/>
                <w:lang w:val="es-DO"/>
              </w:rPr>
            </w:pPr>
            <w:r w:rsidRPr="00516CA4">
              <w:rPr>
                <w:b/>
                <w:lang w:val="es-DO"/>
              </w:rPr>
              <w:t>Compra Menor</w:t>
            </w:r>
          </w:p>
        </w:tc>
        <w:tc>
          <w:tcPr>
            <w:tcW w:w="3520" w:type="dxa"/>
            <w:shd w:val="clear" w:color="auto" w:fill="auto"/>
            <w:noWrap/>
            <w:vAlign w:val="center"/>
            <w:hideMark/>
          </w:tcPr>
          <w:p w14:paraId="5DDBBA2C" w14:textId="10686C53" w:rsidR="008670C1" w:rsidRPr="00516CA4" w:rsidRDefault="008670C1" w:rsidP="006B204A">
            <w:pPr>
              <w:spacing w:line="360" w:lineRule="auto"/>
              <w:jc w:val="center"/>
              <w:rPr>
                <w:lang w:val="es-DO"/>
              </w:rPr>
            </w:pPr>
            <w:r w:rsidRPr="00516CA4">
              <w:rPr>
                <w:lang w:val="es-DO"/>
              </w:rPr>
              <w:t>RD$101,173,719.20</w:t>
            </w:r>
          </w:p>
        </w:tc>
      </w:tr>
      <w:tr w:rsidR="008670C1" w:rsidRPr="004F5553" w14:paraId="665F0B41" w14:textId="77777777" w:rsidTr="008670C1">
        <w:trPr>
          <w:trHeight w:val="300"/>
          <w:jc w:val="center"/>
        </w:trPr>
        <w:tc>
          <w:tcPr>
            <w:tcW w:w="4390" w:type="dxa"/>
            <w:shd w:val="clear" w:color="auto" w:fill="auto"/>
            <w:vAlign w:val="center"/>
            <w:hideMark/>
          </w:tcPr>
          <w:p w14:paraId="07A51B9E" w14:textId="77777777" w:rsidR="008670C1" w:rsidRPr="00516CA4" w:rsidRDefault="008670C1" w:rsidP="006B204A">
            <w:pPr>
              <w:spacing w:line="360" w:lineRule="auto"/>
              <w:rPr>
                <w:b/>
                <w:lang w:val="es-DO"/>
              </w:rPr>
            </w:pPr>
            <w:r w:rsidRPr="00516CA4">
              <w:rPr>
                <w:b/>
                <w:lang w:val="es-DO"/>
              </w:rPr>
              <w:t>Comparación de Precios</w:t>
            </w:r>
          </w:p>
        </w:tc>
        <w:tc>
          <w:tcPr>
            <w:tcW w:w="3520" w:type="dxa"/>
            <w:shd w:val="clear" w:color="auto" w:fill="auto"/>
            <w:noWrap/>
            <w:vAlign w:val="center"/>
            <w:hideMark/>
          </w:tcPr>
          <w:p w14:paraId="64212396" w14:textId="3C56D37B" w:rsidR="008670C1" w:rsidRPr="00516CA4" w:rsidRDefault="008670C1" w:rsidP="006B204A">
            <w:pPr>
              <w:spacing w:line="360" w:lineRule="auto"/>
              <w:jc w:val="center"/>
              <w:rPr>
                <w:lang w:val="es-DO"/>
              </w:rPr>
            </w:pPr>
            <w:r w:rsidRPr="00516CA4">
              <w:rPr>
                <w:lang w:val="es-DO"/>
              </w:rPr>
              <w:t>RD$241,303,393.13</w:t>
            </w:r>
          </w:p>
        </w:tc>
      </w:tr>
      <w:tr w:rsidR="008670C1" w:rsidRPr="004F5553" w14:paraId="66A58C0E" w14:textId="77777777" w:rsidTr="008670C1">
        <w:trPr>
          <w:trHeight w:val="300"/>
          <w:jc w:val="center"/>
        </w:trPr>
        <w:tc>
          <w:tcPr>
            <w:tcW w:w="4390" w:type="dxa"/>
            <w:shd w:val="clear" w:color="auto" w:fill="auto"/>
            <w:vAlign w:val="center"/>
            <w:hideMark/>
          </w:tcPr>
          <w:p w14:paraId="673FADAE" w14:textId="77777777" w:rsidR="008670C1" w:rsidRPr="00516CA4" w:rsidRDefault="008670C1" w:rsidP="006B204A">
            <w:pPr>
              <w:spacing w:line="360" w:lineRule="auto"/>
              <w:rPr>
                <w:b/>
                <w:lang w:val="es-DO"/>
              </w:rPr>
            </w:pPr>
            <w:r w:rsidRPr="00516CA4">
              <w:rPr>
                <w:b/>
                <w:lang w:val="es-DO"/>
              </w:rPr>
              <w:t>Licitación Pública</w:t>
            </w:r>
          </w:p>
        </w:tc>
        <w:tc>
          <w:tcPr>
            <w:tcW w:w="3520" w:type="dxa"/>
            <w:shd w:val="clear" w:color="auto" w:fill="auto"/>
            <w:noWrap/>
            <w:vAlign w:val="center"/>
            <w:hideMark/>
          </w:tcPr>
          <w:p w14:paraId="10F6C9BA" w14:textId="7EC7F461" w:rsidR="008670C1" w:rsidRPr="00516CA4" w:rsidRDefault="008670C1" w:rsidP="006B204A">
            <w:pPr>
              <w:spacing w:line="360" w:lineRule="auto"/>
              <w:jc w:val="center"/>
              <w:rPr>
                <w:lang w:val="es-DO"/>
              </w:rPr>
            </w:pPr>
            <w:r w:rsidRPr="00516CA4">
              <w:rPr>
                <w:lang w:val="es-DO"/>
              </w:rPr>
              <w:t>RD$277,353,489.53</w:t>
            </w:r>
          </w:p>
        </w:tc>
      </w:tr>
      <w:tr w:rsidR="008670C1" w:rsidRPr="004F5553" w14:paraId="08647378" w14:textId="77777777" w:rsidTr="008670C1">
        <w:trPr>
          <w:trHeight w:val="300"/>
          <w:jc w:val="center"/>
        </w:trPr>
        <w:tc>
          <w:tcPr>
            <w:tcW w:w="4390" w:type="dxa"/>
            <w:shd w:val="clear" w:color="auto" w:fill="auto"/>
            <w:vAlign w:val="center"/>
            <w:hideMark/>
          </w:tcPr>
          <w:p w14:paraId="77FAEAB8" w14:textId="77777777" w:rsidR="008670C1" w:rsidRPr="00516CA4" w:rsidRDefault="008670C1" w:rsidP="006B204A">
            <w:pPr>
              <w:spacing w:line="360" w:lineRule="auto"/>
              <w:rPr>
                <w:b/>
                <w:lang w:val="es-DO"/>
              </w:rPr>
            </w:pPr>
            <w:r w:rsidRPr="00516CA4">
              <w:rPr>
                <w:b/>
                <w:lang w:val="es-DO"/>
              </w:rPr>
              <w:t>Licitación Pública Internacional</w:t>
            </w:r>
          </w:p>
        </w:tc>
        <w:tc>
          <w:tcPr>
            <w:tcW w:w="3520" w:type="dxa"/>
            <w:shd w:val="clear" w:color="auto" w:fill="auto"/>
            <w:noWrap/>
            <w:vAlign w:val="center"/>
            <w:hideMark/>
          </w:tcPr>
          <w:p w14:paraId="700B9BC9" w14:textId="3D5E1ED7" w:rsidR="008670C1" w:rsidRPr="00516CA4" w:rsidRDefault="008670C1" w:rsidP="006B204A">
            <w:pPr>
              <w:spacing w:line="360" w:lineRule="auto"/>
              <w:jc w:val="center"/>
              <w:rPr>
                <w:lang w:val="es-DO"/>
              </w:rPr>
            </w:pPr>
            <w:r w:rsidRPr="00516CA4">
              <w:rPr>
                <w:lang w:val="es-DO"/>
              </w:rPr>
              <w:t>RD$-</w:t>
            </w:r>
          </w:p>
        </w:tc>
      </w:tr>
      <w:tr w:rsidR="008670C1" w:rsidRPr="004F5553" w14:paraId="505F42CC" w14:textId="77777777" w:rsidTr="008670C1">
        <w:trPr>
          <w:trHeight w:val="70"/>
          <w:jc w:val="center"/>
        </w:trPr>
        <w:tc>
          <w:tcPr>
            <w:tcW w:w="4390" w:type="dxa"/>
            <w:shd w:val="clear" w:color="auto" w:fill="auto"/>
            <w:vAlign w:val="center"/>
            <w:hideMark/>
          </w:tcPr>
          <w:p w14:paraId="10AE8967" w14:textId="77777777" w:rsidR="008670C1" w:rsidRPr="00516CA4" w:rsidRDefault="008670C1" w:rsidP="006B204A">
            <w:pPr>
              <w:spacing w:line="360" w:lineRule="auto"/>
              <w:rPr>
                <w:b/>
                <w:lang w:val="es-DO"/>
              </w:rPr>
            </w:pPr>
            <w:r w:rsidRPr="00516CA4">
              <w:rPr>
                <w:b/>
                <w:lang w:val="es-DO"/>
              </w:rPr>
              <w:t>Licitación Restringida</w:t>
            </w:r>
          </w:p>
        </w:tc>
        <w:tc>
          <w:tcPr>
            <w:tcW w:w="3520" w:type="dxa"/>
            <w:shd w:val="clear" w:color="auto" w:fill="auto"/>
            <w:noWrap/>
            <w:vAlign w:val="center"/>
            <w:hideMark/>
          </w:tcPr>
          <w:p w14:paraId="12DA00D9" w14:textId="37167C9D" w:rsidR="008670C1" w:rsidRPr="00516CA4" w:rsidRDefault="008670C1" w:rsidP="006B204A">
            <w:pPr>
              <w:spacing w:line="360" w:lineRule="auto"/>
              <w:jc w:val="center"/>
              <w:rPr>
                <w:lang w:val="es-DO"/>
              </w:rPr>
            </w:pPr>
            <w:r w:rsidRPr="00516CA4">
              <w:rPr>
                <w:lang w:val="es-DO"/>
              </w:rPr>
              <w:t>RD$-</w:t>
            </w:r>
          </w:p>
        </w:tc>
      </w:tr>
      <w:tr w:rsidR="008670C1" w:rsidRPr="004F5553" w14:paraId="36DFE99B" w14:textId="77777777" w:rsidTr="008670C1">
        <w:trPr>
          <w:trHeight w:val="70"/>
          <w:jc w:val="center"/>
        </w:trPr>
        <w:tc>
          <w:tcPr>
            <w:tcW w:w="4390" w:type="dxa"/>
            <w:shd w:val="clear" w:color="auto" w:fill="auto"/>
            <w:vAlign w:val="center"/>
            <w:hideMark/>
          </w:tcPr>
          <w:p w14:paraId="71926E43" w14:textId="77777777" w:rsidR="008670C1" w:rsidRPr="00516CA4" w:rsidRDefault="008670C1" w:rsidP="006B204A">
            <w:pPr>
              <w:spacing w:line="360" w:lineRule="auto"/>
              <w:rPr>
                <w:b/>
                <w:lang w:val="es-DO"/>
              </w:rPr>
            </w:pPr>
            <w:r w:rsidRPr="00516CA4">
              <w:rPr>
                <w:b/>
                <w:lang w:val="es-DO"/>
              </w:rPr>
              <w:t>Sorteo de Obras</w:t>
            </w:r>
          </w:p>
        </w:tc>
        <w:tc>
          <w:tcPr>
            <w:tcW w:w="3520" w:type="dxa"/>
            <w:shd w:val="clear" w:color="auto" w:fill="auto"/>
            <w:noWrap/>
            <w:vAlign w:val="center"/>
            <w:hideMark/>
          </w:tcPr>
          <w:p w14:paraId="199CFE99" w14:textId="3BB90078" w:rsidR="008670C1" w:rsidRPr="00516CA4" w:rsidRDefault="008670C1" w:rsidP="006B204A">
            <w:pPr>
              <w:spacing w:line="360" w:lineRule="auto"/>
              <w:jc w:val="center"/>
              <w:rPr>
                <w:lang w:val="es-DO"/>
              </w:rPr>
            </w:pPr>
            <w:r w:rsidRPr="00516CA4">
              <w:rPr>
                <w:lang w:val="es-DO"/>
              </w:rPr>
              <w:t>RD$-</w:t>
            </w:r>
          </w:p>
        </w:tc>
      </w:tr>
      <w:tr w:rsidR="008670C1" w:rsidRPr="004F5553" w14:paraId="6A901DC9" w14:textId="77777777" w:rsidTr="008670C1">
        <w:trPr>
          <w:trHeight w:val="70"/>
          <w:jc w:val="center"/>
        </w:trPr>
        <w:tc>
          <w:tcPr>
            <w:tcW w:w="4390" w:type="dxa"/>
            <w:shd w:val="clear" w:color="auto" w:fill="auto"/>
            <w:vAlign w:val="center"/>
            <w:hideMark/>
          </w:tcPr>
          <w:p w14:paraId="4711B7B9" w14:textId="77777777" w:rsidR="008670C1" w:rsidRPr="004F5553" w:rsidRDefault="008670C1" w:rsidP="006B204A">
            <w:pPr>
              <w:spacing w:line="360" w:lineRule="auto"/>
              <w:rPr>
                <w:b/>
                <w:bCs/>
                <w:lang w:val="es-DO"/>
              </w:rPr>
            </w:pPr>
            <w:r w:rsidRPr="004F5553">
              <w:rPr>
                <w:b/>
                <w:bCs/>
                <w:lang w:val="es-DO"/>
              </w:rPr>
              <w:t>Excepción - bienes o servicios con exclusividad</w:t>
            </w:r>
          </w:p>
        </w:tc>
        <w:tc>
          <w:tcPr>
            <w:tcW w:w="3520" w:type="dxa"/>
            <w:shd w:val="clear" w:color="auto" w:fill="auto"/>
            <w:noWrap/>
            <w:vAlign w:val="center"/>
            <w:hideMark/>
          </w:tcPr>
          <w:p w14:paraId="0DC21AF0" w14:textId="032CC99F" w:rsidR="008670C1" w:rsidRPr="00516CA4" w:rsidRDefault="008670C1" w:rsidP="006B204A">
            <w:pPr>
              <w:spacing w:line="360" w:lineRule="auto"/>
              <w:jc w:val="center"/>
              <w:rPr>
                <w:lang w:val="es-DO"/>
              </w:rPr>
            </w:pPr>
            <w:r w:rsidRPr="00516CA4">
              <w:rPr>
                <w:lang w:val="es-DO"/>
              </w:rPr>
              <w:t>RD$40,890,483.21</w:t>
            </w:r>
          </w:p>
        </w:tc>
      </w:tr>
      <w:tr w:rsidR="008670C1" w:rsidRPr="004F5553" w14:paraId="4AF94DF6" w14:textId="77777777" w:rsidTr="008670C1">
        <w:trPr>
          <w:trHeight w:val="600"/>
          <w:jc w:val="center"/>
        </w:trPr>
        <w:tc>
          <w:tcPr>
            <w:tcW w:w="4390" w:type="dxa"/>
            <w:shd w:val="clear" w:color="auto" w:fill="auto"/>
            <w:vAlign w:val="center"/>
            <w:hideMark/>
          </w:tcPr>
          <w:p w14:paraId="35D3957E" w14:textId="77777777" w:rsidR="008670C1" w:rsidRPr="004F5553" w:rsidRDefault="008670C1" w:rsidP="006B204A">
            <w:pPr>
              <w:spacing w:line="360" w:lineRule="auto"/>
              <w:rPr>
                <w:b/>
                <w:bCs/>
                <w:lang w:val="es-DO"/>
              </w:rPr>
            </w:pPr>
            <w:r w:rsidRPr="004F5553">
              <w:rPr>
                <w:b/>
                <w:bCs/>
                <w:lang w:val="es-DO"/>
              </w:rPr>
              <w:t>Excepción - construcción, instalación o adquisición de oficinas para el servicio exterior</w:t>
            </w:r>
          </w:p>
        </w:tc>
        <w:tc>
          <w:tcPr>
            <w:tcW w:w="3520" w:type="dxa"/>
            <w:shd w:val="clear" w:color="auto" w:fill="auto"/>
            <w:noWrap/>
            <w:vAlign w:val="center"/>
            <w:hideMark/>
          </w:tcPr>
          <w:p w14:paraId="111AC4B7" w14:textId="6647B09D" w:rsidR="008670C1" w:rsidRPr="00516CA4" w:rsidRDefault="008670C1" w:rsidP="006B204A">
            <w:pPr>
              <w:spacing w:line="360" w:lineRule="auto"/>
              <w:jc w:val="center"/>
              <w:rPr>
                <w:lang w:val="es-DO"/>
              </w:rPr>
            </w:pPr>
            <w:r w:rsidRPr="00516CA4">
              <w:rPr>
                <w:lang w:val="es-DO"/>
              </w:rPr>
              <w:t>RD$-</w:t>
            </w:r>
          </w:p>
        </w:tc>
      </w:tr>
      <w:tr w:rsidR="008670C1" w:rsidRPr="004F5553" w14:paraId="3DB9372A" w14:textId="77777777" w:rsidTr="008670C1">
        <w:trPr>
          <w:trHeight w:val="600"/>
          <w:jc w:val="center"/>
        </w:trPr>
        <w:tc>
          <w:tcPr>
            <w:tcW w:w="4390" w:type="dxa"/>
            <w:shd w:val="clear" w:color="auto" w:fill="auto"/>
            <w:vAlign w:val="center"/>
            <w:hideMark/>
          </w:tcPr>
          <w:p w14:paraId="5930BA05" w14:textId="77777777" w:rsidR="008670C1" w:rsidRPr="004F5553" w:rsidRDefault="008670C1" w:rsidP="006B204A">
            <w:pPr>
              <w:spacing w:line="360" w:lineRule="auto"/>
              <w:rPr>
                <w:b/>
                <w:bCs/>
                <w:lang w:val="es-DO"/>
              </w:rPr>
            </w:pPr>
            <w:r w:rsidRPr="004F5553">
              <w:rPr>
                <w:b/>
                <w:bCs/>
                <w:lang w:val="es-DO"/>
              </w:rPr>
              <w:t>Excepción - contratación de publicidad a través de medios de comunicación social</w:t>
            </w:r>
          </w:p>
        </w:tc>
        <w:tc>
          <w:tcPr>
            <w:tcW w:w="3520" w:type="dxa"/>
            <w:shd w:val="clear" w:color="auto" w:fill="auto"/>
            <w:noWrap/>
            <w:vAlign w:val="center"/>
            <w:hideMark/>
          </w:tcPr>
          <w:p w14:paraId="3D5D41FC" w14:textId="69C188D4" w:rsidR="008670C1" w:rsidRPr="00516CA4" w:rsidRDefault="008670C1" w:rsidP="006B204A">
            <w:pPr>
              <w:spacing w:line="360" w:lineRule="auto"/>
              <w:jc w:val="center"/>
              <w:rPr>
                <w:lang w:val="es-DO"/>
              </w:rPr>
            </w:pPr>
            <w:r w:rsidRPr="00516CA4">
              <w:rPr>
                <w:lang w:val="es-DO"/>
              </w:rPr>
              <w:t>RD$700,000.00</w:t>
            </w:r>
          </w:p>
        </w:tc>
      </w:tr>
      <w:tr w:rsidR="008670C1" w:rsidRPr="004F5553" w14:paraId="76303ED0" w14:textId="77777777" w:rsidTr="008670C1">
        <w:trPr>
          <w:trHeight w:val="600"/>
          <w:jc w:val="center"/>
        </w:trPr>
        <w:tc>
          <w:tcPr>
            <w:tcW w:w="4390" w:type="dxa"/>
            <w:shd w:val="clear" w:color="auto" w:fill="auto"/>
            <w:vAlign w:val="center"/>
            <w:hideMark/>
          </w:tcPr>
          <w:p w14:paraId="05861F34" w14:textId="77777777" w:rsidR="008670C1" w:rsidRPr="004F5553" w:rsidRDefault="008670C1" w:rsidP="006B204A">
            <w:pPr>
              <w:spacing w:line="360" w:lineRule="auto"/>
              <w:rPr>
                <w:b/>
                <w:bCs/>
                <w:lang w:val="es-DO"/>
              </w:rPr>
            </w:pPr>
            <w:r w:rsidRPr="004F5553">
              <w:rPr>
                <w:b/>
                <w:bCs/>
                <w:lang w:val="es-DO"/>
              </w:rPr>
              <w:t>Excepción - obras científicas, técnicas, artísticas, o restauración de monumentos históricos</w:t>
            </w:r>
          </w:p>
        </w:tc>
        <w:tc>
          <w:tcPr>
            <w:tcW w:w="3520" w:type="dxa"/>
            <w:shd w:val="clear" w:color="auto" w:fill="auto"/>
            <w:noWrap/>
            <w:vAlign w:val="center"/>
            <w:hideMark/>
          </w:tcPr>
          <w:p w14:paraId="0567B24F" w14:textId="7F158FFD" w:rsidR="008670C1" w:rsidRPr="00516CA4" w:rsidRDefault="008670C1" w:rsidP="006B204A">
            <w:pPr>
              <w:spacing w:line="360" w:lineRule="auto"/>
              <w:jc w:val="center"/>
              <w:rPr>
                <w:lang w:val="es-DO"/>
              </w:rPr>
            </w:pPr>
            <w:r w:rsidRPr="00516CA4">
              <w:rPr>
                <w:lang w:val="es-DO"/>
              </w:rPr>
              <w:t>RD$27,416,100.00</w:t>
            </w:r>
          </w:p>
        </w:tc>
      </w:tr>
      <w:tr w:rsidR="008670C1" w:rsidRPr="004F5553" w14:paraId="3F4CE546" w14:textId="77777777" w:rsidTr="008670C1">
        <w:trPr>
          <w:trHeight w:val="300"/>
          <w:jc w:val="center"/>
        </w:trPr>
        <w:tc>
          <w:tcPr>
            <w:tcW w:w="4390" w:type="dxa"/>
            <w:shd w:val="clear" w:color="auto" w:fill="auto"/>
            <w:vAlign w:val="center"/>
            <w:hideMark/>
          </w:tcPr>
          <w:p w14:paraId="33E6A1A8" w14:textId="77777777" w:rsidR="008670C1" w:rsidRPr="00516CA4" w:rsidRDefault="008670C1" w:rsidP="006B204A">
            <w:pPr>
              <w:spacing w:line="360" w:lineRule="auto"/>
              <w:rPr>
                <w:b/>
                <w:lang w:val="es-DO"/>
              </w:rPr>
            </w:pPr>
            <w:r w:rsidRPr="00516CA4">
              <w:rPr>
                <w:b/>
                <w:lang w:val="es-DO"/>
              </w:rPr>
              <w:t>excepción - proveedor único</w:t>
            </w:r>
          </w:p>
        </w:tc>
        <w:tc>
          <w:tcPr>
            <w:tcW w:w="3520" w:type="dxa"/>
            <w:shd w:val="clear" w:color="auto" w:fill="auto"/>
            <w:noWrap/>
            <w:vAlign w:val="center"/>
            <w:hideMark/>
          </w:tcPr>
          <w:p w14:paraId="31D479AE" w14:textId="70FCFA23" w:rsidR="008670C1" w:rsidRPr="00516CA4" w:rsidRDefault="008670C1" w:rsidP="006B204A">
            <w:pPr>
              <w:spacing w:line="360" w:lineRule="auto"/>
              <w:jc w:val="center"/>
              <w:rPr>
                <w:lang w:val="es-DO"/>
              </w:rPr>
            </w:pPr>
            <w:r w:rsidRPr="00516CA4">
              <w:rPr>
                <w:lang w:val="es-DO"/>
              </w:rPr>
              <w:t>RD$51,713,302.61</w:t>
            </w:r>
          </w:p>
        </w:tc>
      </w:tr>
      <w:tr w:rsidR="008670C1" w:rsidRPr="004F5553" w14:paraId="1DD04693" w14:textId="77777777" w:rsidTr="008670C1">
        <w:trPr>
          <w:trHeight w:val="600"/>
          <w:jc w:val="center"/>
        </w:trPr>
        <w:tc>
          <w:tcPr>
            <w:tcW w:w="4390" w:type="dxa"/>
            <w:shd w:val="clear" w:color="auto" w:fill="auto"/>
            <w:vAlign w:val="center"/>
            <w:hideMark/>
          </w:tcPr>
          <w:p w14:paraId="040478D6" w14:textId="77777777" w:rsidR="008670C1" w:rsidRPr="004F5553" w:rsidRDefault="008670C1" w:rsidP="006B204A">
            <w:pPr>
              <w:spacing w:line="360" w:lineRule="auto"/>
              <w:rPr>
                <w:b/>
                <w:bCs/>
                <w:lang w:val="es-DO"/>
              </w:rPr>
            </w:pPr>
            <w:r w:rsidRPr="004F5553">
              <w:rPr>
                <w:b/>
                <w:bCs/>
                <w:lang w:val="es-DO"/>
              </w:rPr>
              <w:t xml:space="preserve">Excepción - rescisión de contratos cuya terminación no exceda el </w:t>
            </w:r>
            <w:r w:rsidRPr="004F5553">
              <w:rPr>
                <w:b/>
                <w:bCs/>
                <w:lang w:val="es-DO"/>
              </w:rPr>
              <w:lastRenderedPageBreak/>
              <w:t>40% del monto total del proyecto, obra o servicio</w:t>
            </w:r>
          </w:p>
        </w:tc>
        <w:tc>
          <w:tcPr>
            <w:tcW w:w="3520" w:type="dxa"/>
            <w:shd w:val="clear" w:color="auto" w:fill="auto"/>
            <w:noWrap/>
            <w:vAlign w:val="center"/>
            <w:hideMark/>
          </w:tcPr>
          <w:p w14:paraId="3A9C6B61" w14:textId="23CD006F" w:rsidR="008670C1" w:rsidRPr="00516CA4" w:rsidRDefault="008670C1" w:rsidP="006B204A">
            <w:pPr>
              <w:spacing w:line="360" w:lineRule="auto"/>
              <w:jc w:val="center"/>
              <w:rPr>
                <w:lang w:val="es-DO"/>
              </w:rPr>
            </w:pPr>
            <w:r w:rsidRPr="00516CA4">
              <w:rPr>
                <w:lang w:val="es-DO"/>
              </w:rPr>
              <w:lastRenderedPageBreak/>
              <w:t>RD$-</w:t>
            </w:r>
          </w:p>
        </w:tc>
      </w:tr>
      <w:tr w:rsidR="008670C1" w:rsidRPr="004F5553" w14:paraId="4B3CF228" w14:textId="77777777" w:rsidTr="008670C1">
        <w:trPr>
          <w:trHeight w:val="559"/>
          <w:jc w:val="center"/>
        </w:trPr>
        <w:tc>
          <w:tcPr>
            <w:tcW w:w="4390" w:type="dxa"/>
            <w:shd w:val="clear" w:color="auto" w:fill="auto"/>
            <w:vAlign w:val="center"/>
            <w:hideMark/>
          </w:tcPr>
          <w:p w14:paraId="5A30432D" w14:textId="77777777" w:rsidR="008670C1" w:rsidRPr="004F5553" w:rsidRDefault="008670C1" w:rsidP="006B204A">
            <w:pPr>
              <w:spacing w:line="360" w:lineRule="auto"/>
              <w:rPr>
                <w:b/>
                <w:bCs/>
                <w:lang w:val="es-DO"/>
              </w:rPr>
            </w:pPr>
            <w:r w:rsidRPr="004F5553">
              <w:rPr>
                <w:b/>
                <w:bCs/>
                <w:lang w:val="es-DO"/>
              </w:rPr>
              <w:t>Excepción - resolución 15-08 sobre compra y contratación de pasaje aéreo, combustible y reparación de vehículos de motor</w:t>
            </w:r>
          </w:p>
        </w:tc>
        <w:tc>
          <w:tcPr>
            <w:tcW w:w="3520" w:type="dxa"/>
            <w:shd w:val="clear" w:color="auto" w:fill="auto"/>
            <w:noWrap/>
            <w:vAlign w:val="center"/>
            <w:hideMark/>
          </w:tcPr>
          <w:p w14:paraId="088E0405" w14:textId="49265470" w:rsidR="008670C1" w:rsidRPr="004F5553" w:rsidRDefault="008670C1" w:rsidP="006B204A">
            <w:pPr>
              <w:spacing w:line="360" w:lineRule="auto"/>
              <w:jc w:val="center"/>
            </w:pPr>
            <w:r w:rsidRPr="004F5553">
              <w:t>RD$-</w:t>
            </w:r>
          </w:p>
        </w:tc>
      </w:tr>
    </w:tbl>
    <w:p w14:paraId="7C22C72A" w14:textId="77777777" w:rsidR="008670C1" w:rsidRPr="004F5553" w:rsidRDefault="008670C1" w:rsidP="006B204A">
      <w:pPr>
        <w:spacing w:after="0" w:line="360" w:lineRule="auto"/>
        <w:jc w:val="center"/>
        <w:rPr>
          <w:b/>
          <w:bCs/>
        </w:rPr>
      </w:pPr>
      <w:r w:rsidRPr="004F5553">
        <w:fldChar w:fldCharType="end"/>
      </w:r>
      <w:r w:rsidRPr="004F5553">
        <w:rPr>
          <w:b/>
          <w:bCs/>
        </w:rPr>
        <w:t xml:space="preserve"> </w:t>
      </w:r>
    </w:p>
    <w:tbl>
      <w:tblPr>
        <w:tblW w:w="7938" w:type="dxa"/>
        <w:jc w:val="center"/>
        <w:tblCellMar>
          <w:left w:w="70" w:type="dxa"/>
          <w:right w:w="70" w:type="dxa"/>
        </w:tblCellMar>
        <w:tblLook w:val="04A0" w:firstRow="1" w:lastRow="0" w:firstColumn="1" w:lastColumn="0" w:noHBand="0" w:noVBand="1"/>
      </w:tblPr>
      <w:tblGrid>
        <w:gridCol w:w="3876"/>
        <w:gridCol w:w="4062"/>
      </w:tblGrid>
      <w:tr w:rsidR="008670C1" w:rsidRPr="00516CA4" w14:paraId="681AC59D" w14:textId="77777777" w:rsidTr="009630FD">
        <w:trPr>
          <w:trHeight w:val="312"/>
          <w:tblHeader/>
          <w:jc w:val="center"/>
        </w:trPr>
        <w:tc>
          <w:tcPr>
            <w:tcW w:w="7938" w:type="dxa"/>
            <w:gridSpan w:val="2"/>
            <w:tcBorders>
              <w:top w:val="single" w:sz="8" w:space="0" w:color="auto"/>
              <w:left w:val="single" w:sz="8" w:space="0" w:color="auto"/>
              <w:bottom w:val="single" w:sz="8" w:space="0" w:color="auto"/>
              <w:right w:val="single" w:sz="8" w:space="0" w:color="000000"/>
            </w:tcBorders>
            <w:shd w:val="clear" w:color="000000" w:fill="003876"/>
            <w:vAlign w:val="center"/>
            <w:hideMark/>
          </w:tcPr>
          <w:p w14:paraId="5D3F7FE8" w14:textId="77777777" w:rsidR="008670C1" w:rsidRPr="00E90EB4" w:rsidRDefault="008670C1" w:rsidP="00E90EB4">
            <w:pPr>
              <w:spacing w:after="0" w:line="360" w:lineRule="auto"/>
              <w:jc w:val="center"/>
              <w:rPr>
                <w:rFonts w:eastAsia="Times New Roman"/>
                <w:b/>
                <w:bCs/>
                <w:color w:val="FFFFFF"/>
                <w:lang w:val="es-DO" w:eastAsia="es-DO"/>
              </w:rPr>
            </w:pPr>
            <w:r w:rsidRPr="00E90EB4">
              <w:rPr>
                <w:rFonts w:eastAsia="Times New Roman"/>
                <w:b/>
                <w:bCs/>
                <w:color w:val="FFFFFF"/>
                <w:lang w:val="es-DO" w:eastAsia="es-DO"/>
              </w:rPr>
              <w:t>Ejecución</w:t>
            </w:r>
            <w:r w:rsidRPr="00E90EB4">
              <w:rPr>
                <w:rFonts w:eastAsia="Times New Roman"/>
                <w:b/>
                <w:color w:val="FFFFFF"/>
                <w:lang w:val="es-DO" w:eastAsia="es-DO"/>
              </w:rPr>
              <w:t xml:space="preserve"> al 30 de noviembre 2023</w:t>
            </w:r>
          </w:p>
        </w:tc>
      </w:tr>
      <w:tr w:rsidR="008670C1" w:rsidRPr="00516CA4" w14:paraId="2C030560" w14:textId="77777777" w:rsidTr="008670C1">
        <w:trPr>
          <w:trHeight w:val="312"/>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661C0C2C" w14:textId="77777777" w:rsidR="008670C1" w:rsidRPr="00E90EB4" w:rsidRDefault="008670C1" w:rsidP="00E90EB4">
            <w:pPr>
              <w:spacing w:after="0" w:line="360" w:lineRule="auto"/>
              <w:rPr>
                <w:rFonts w:eastAsia="Times New Roman"/>
                <w:b/>
                <w:bCs/>
                <w:lang w:val="es-DO" w:eastAsia="es-DO"/>
              </w:rPr>
            </w:pPr>
            <w:r w:rsidRPr="00E90EB4">
              <w:rPr>
                <w:rFonts w:eastAsia="Times New Roman"/>
                <w:b/>
                <w:lang w:val="es-DO" w:eastAsia="es-DO"/>
              </w:rPr>
              <w:t>Monto Publicado Total</w:t>
            </w:r>
          </w:p>
        </w:tc>
        <w:tc>
          <w:tcPr>
            <w:tcW w:w="4062" w:type="dxa"/>
            <w:tcBorders>
              <w:top w:val="nil"/>
              <w:left w:val="nil"/>
              <w:bottom w:val="single" w:sz="8" w:space="0" w:color="auto"/>
              <w:right w:val="single" w:sz="8" w:space="0" w:color="auto"/>
            </w:tcBorders>
            <w:shd w:val="clear" w:color="auto" w:fill="auto"/>
            <w:vAlign w:val="center"/>
            <w:hideMark/>
          </w:tcPr>
          <w:p w14:paraId="5D0BE2A7" w14:textId="77777777" w:rsidR="008670C1" w:rsidRPr="00E90EB4" w:rsidRDefault="008670C1" w:rsidP="00E90EB4">
            <w:pPr>
              <w:spacing w:after="0" w:line="360" w:lineRule="auto"/>
              <w:jc w:val="center"/>
              <w:rPr>
                <w:rFonts w:eastAsia="Times New Roman"/>
                <w:color w:val="808080"/>
                <w:lang w:val="es-DO" w:eastAsia="es-DO"/>
              </w:rPr>
            </w:pPr>
            <w:r w:rsidRPr="00E90EB4">
              <w:rPr>
                <w:rFonts w:eastAsia="Times New Roman"/>
                <w:color w:val="808080"/>
                <w:lang w:val="es-DO" w:eastAsia="es-DO"/>
              </w:rPr>
              <w:t>RD$ 708,575,286.59</w:t>
            </w:r>
          </w:p>
        </w:tc>
      </w:tr>
      <w:tr w:rsidR="008670C1" w:rsidRPr="00274E67" w14:paraId="7DFD3116" w14:textId="77777777" w:rsidTr="008670C1">
        <w:trPr>
          <w:trHeight w:val="312"/>
          <w:jc w:val="center"/>
        </w:trPr>
        <w:tc>
          <w:tcPr>
            <w:tcW w:w="7938" w:type="dxa"/>
            <w:gridSpan w:val="2"/>
            <w:tcBorders>
              <w:top w:val="single" w:sz="8" w:space="0" w:color="auto"/>
              <w:left w:val="single" w:sz="8" w:space="0" w:color="auto"/>
              <w:bottom w:val="single" w:sz="8" w:space="0" w:color="auto"/>
              <w:right w:val="single" w:sz="8" w:space="0" w:color="000000"/>
            </w:tcBorders>
            <w:shd w:val="clear" w:color="000000" w:fill="003876"/>
            <w:vAlign w:val="center"/>
            <w:hideMark/>
          </w:tcPr>
          <w:p w14:paraId="0AF1EC26" w14:textId="77777777" w:rsidR="008670C1" w:rsidRPr="00E90EB4" w:rsidRDefault="008670C1" w:rsidP="00E90EB4">
            <w:pPr>
              <w:spacing w:after="0" w:line="360" w:lineRule="auto"/>
              <w:jc w:val="center"/>
              <w:rPr>
                <w:rFonts w:eastAsia="Times New Roman"/>
                <w:b/>
                <w:bCs/>
                <w:color w:val="FFFFFF"/>
                <w:lang w:val="es-DO" w:eastAsia="es-DO"/>
              </w:rPr>
            </w:pPr>
            <w:r w:rsidRPr="00E90EB4">
              <w:rPr>
                <w:rFonts w:eastAsia="Times New Roman"/>
                <w:b/>
                <w:bCs/>
                <w:color w:val="FFFFFF"/>
                <w:lang w:val="es-DO" w:eastAsia="es-DO"/>
              </w:rPr>
              <w:t>Montos Convocados según Objeto De Contratación</w:t>
            </w:r>
          </w:p>
        </w:tc>
      </w:tr>
      <w:tr w:rsidR="008670C1" w:rsidRPr="00516CA4" w14:paraId="14601CBD" w14:textId="77777777" w:rsidTr="008670C1">
        <w:trPr>
          <w:trHeight w:val="312"/>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75511D8A" w14:textId="77777777" w:rsidR="008670C1" w:rsidRPr="00E90EB4" w:rsidRDefault="008670C1" w:rsidP="00E90EB4">
            <w:pPr>
              <w:spacing w:after="0" w:line="360" w:lineRule="auto"/>
              <w:rPr>
                <w:rFonts w:eastAsia="Times New Roman"/>
                <w:b/>
                <w:bCs/>
                <w:lang w:val="es-DO" w:eastAsia="es-DO"/>
              </w:rPr>
            </w:pPr>
            <w:r w:rsidRPr="00E90EB4">
              <w:rPr>
                <w:rFonts w:eastAsia="Times New Roman"/>
                <w:b/>
                <w:lang w:val="es-DO" w:eastAsia="es-DO"/>
              </w:rPr>
              <w:t>Bienes</w:t>
            </w:r>
          </w:p>
        </w:tc>
        <w:tc>
          <w:tcPr>
            <w:tcW w:w="4062" w:type="dxa"/>
            <w:tcBorders>
              <w:top w:val="nil"/>
              <w:left w:val="nil"/>
              <w:bottom w:val="single" w:sz="8" w:space="0" w:color="auto"/>
              <w:right w:val="single" w:sz="8" w:space="0" w:color="auto"/>
            </w:tcBorders>
            <w:shd w:val="clear" w:color="auto" w:fill="auto"/>
            <w:hideMark/>
          </w:tcPr>
          <w:p w14:paraId="43E71D69" w14:textId="77777777" w:rsidR="008670C1" w:rsidRPr="00E90EB4" w:rsidRDefault="008670C1" w:rsidP="00E90EB4">
            <w:pPr>
              <w:spacing w:after="0" w:line="360" w:lineRule="auto"/>
              <w:jc w:val="center"/>
              <w:rPr>
                <w:rFonts w:eastAsia="Times New Roman"/>
                <w:color w:val="808080"/>
                <w:lang w:val="es-DO" w:eastAsia="es-DO"/>
              </w:rPr>
            </w:pPr>
            <w:r w:rsidRPr="00E90EB4">
              <w:rPr>
                <w:rFonts w:eastAsia="Times New Roman"/>
                <w:color w:val="808080"/>
                <w:lang w:val="es-DO" w:eastAsia="es-DO"/>
              </w:rPr>
              <w:t>RD$64,710,891.02</w:t>
            </w:r>
          </w:p>
        </w:tc>
      </w:tr>
      <w:tr w:rsidR="008670C1" w:rsidRPr="00516CA4" w14:paraId="4B055070" w14:textId="77777777" w:rsidTr="008670C1">
        <w:trPr>
          <w:trHeight w:val="312"/>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463B3F19" w14:textId="77777777" w:rsidR="008670C1" w:rsidRPr="00E90EB4" w:rsidRDefault="008670C1" w:rsidP="00E90EB4">
            <w:pPr>
              <w:spacing w:after="0" w:line="360" w:lineRule="auto"/>
              <w:rPr>
                <w:rFonts w:eastAsia="Times New Roman"/>
                <w:b/>
                <w:bCs/>
                <w:lang w:val="es-DO" w:eastAsia="es-DO"/>
              </w:rPr>
            </w:pPr>
            <w:r w:rsidRPr="00E90EB4">
              <w:rPr>
                <w:rFonts w:eastAsia="Times New Roman"/>
                <w:b/>
                <w:lang w:val="es-DO" w:eastAsia="es-DO"/>
              </w:rPr>
              <w:t>Obras</w:t>
            </w:r>
          </w:p>
        </w:tc>
        <w:tc>
          <w:tcPr>
            <w:tcW w:w="4062" w:type="dxa"/>
            <w:tcBorders>
              <w:top w:val="nil"/>
              <w:left w:val="nil"/>
              <w:bottom w:val="single" w:sz="8" w:space="0" w:color="auto"/>
              <w:right w:val="single" w:sz="8" w:space="0" w:color="auto"/>
            </w:tcBorders>
            <w:shd w:val="clear" w:color="auto" w:fill="auto"/>
            <w:hideMark/>
          </w:tcPr>
          <w:p w14:paraId="69F08403" w14:textId="77777777" w:rsidR="008670C1" w:rsidRPr="00E90EB4" w:rsidRDefault="008670C1" w:rsidP="00E90EB4">
            <w:pPr>
              <w:spacing w:after="0" w:line="360" w:lineRule="auto"/>
              <w:jc w:val="center"/>
              <w:rPr>
                <w:rFonts w:eastAsia="Times New Roman"/>
                <w:color w:val="808080"/>
                <w:lang w:val="es-DO" w:eastAsia="es-DO"/>
              </w:rPr>
            </w:pPr>
            <w:r w:rsidRPr="00E90EB4">
              <w:rPr>
                <w:rFonts w:eastAsia="Times New Roman"/>
                <w:color w:val="808080"/>
                <w:lang w:val="es-DO" w:eastAsia="es-DO"/>
              </w:rPr>
              <w:t>RD$202,573,551.71</w:t>
            </w:r>
          </w:p>
        </w:tc>
      </w:tr>
      <w:tr w:rsidR="008670C1" w:rsidRPr="00516CA4" w14:paraId="3EE04A39" w14:textId="77777777" w:rsidTr="008670C1">
        <w:trPr>
          <w:trHeight w:val="312"/>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25EBC15D" w14:textId="77777777" w:rsidR="008670C1" w:rsidRPr="00E90EB4" w:rsidRDefault="008670C1" w:rsidP="00E90EB4">
            <w:pPr>
              <w:spacing w:after="0" w:line="360" w:lineRule="auto"/>
              <w:rPr>
                <w:rFonts w:eastAsia="Times New Roman"/>
                <w:b/>
                <w:bCs/>
                <w:lang w:val="es-DO" w:eastAsia="es-DO"/>
              </w:rPr>
            </w:pPr>
            <w:r w:rsidRPr="00E90EB4">
              <w:rPr>
                <w:rFonts w:eastAsia="Times New Roman"/>
                <w:b/>
                <w:lang w:val="es-DO" w:eastAsia="es-DO"/>
              </w:rPr>
              <w:t>Servicios</w:t>
            </w:r>
          </w:p>
        </w:tc>
        <w:tc>
          <w:tcPr>
            <w:tcW w:w="4062" w:type="dxa"/>
            <w:tcBorders>
              <w:top w:val="nil"/>
              <w:left w:val="nil"/>
              <w:bottom w:val="single" w:sz="8" w:space="0" w:color="auto"/>
              <w:right w:val="single" w:sz="8" w:space="0" w:color="auto"/>
            </w:tcBorders>
            <w:shd w:val="clear" w:color="auto" w:fill="auto"/>
            <w:hideMark/>
          </w:tcPr>
          <w:p w14:paraId="6065DD1B" w14:textId="77777777" w:rsidR="008670C1" w:rsidRPr="00E90EB4" w:rsidRDefault="008670C1" w:rsidP="00E90EB4">
            <w:pPr>
              <w:spacing w:after="0" w:line="360" w:lineRule="auto"/>
              <w:jc w:val="center"/>
              <w:rPr>
                <w:rFonts w:eastAsia="Times New Roman"/>
                <w:color w:val="808080"/>
                <w:lang w:val="es-DO" w:eastAsia="es-DO"/>
              </w:rPr>
            </w:pPr>
            <w:r w:rsidRPr="00E90EB4">
              <w:rPr>
                <w:rFonts w:eastAsia="Times New Roman"/>
                <w:color w:val="808080"/>
                <w:lang w:val="es-DO" w:eastAsia="es-DO"/>
              </w:rPr>
              <w:t>RD$383,007,728.36</w:t>
            </w:r>
          </w:p>
        </w:tc>
      </w:tr>
      <w:tr w:rsidR="008670C1" w:rsidRPr="00516CA4" w14:paraId="2D851F76" w14:textId="77777777" w:rsidTr="008670C1">
        <w:trPr>
          <w:trHeight w:val="312"/>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3D8C3863" w14:textId="77777777" w:rsidR="008670C1" w:rsidRPr="00E90EB4" w:rsidRDefault="008670C1" w:rsidP="00E90EB4">
            <w:pPr>
              <w:spacing w:after="0" w:line="360" w:lineRule="auto"/>
              <w:rPr>
                <w:rFonts w:eastAsia="Times New Roman"/>
                <w:b/>
                <w:bCs/>
                <w:lang w:val="es-DO" w:eastAsia="es-DO"/>
              </w:rPr>
            </w:pPr>
            <w:r w:rsidRPr="00E90EB4">
              <w:rPr>
                <w:rFonts w:eastAsia="Times New Roman"/>
                <w:b/>
                <w:lang w:val="es-DO" w:eastAsia="es-DO"/>
              </w:rPr>
              <w:t>Servicios: Consultoría</w:t>
            </w:r>
          </w:p>
        </w:tc>
        <w:tc>
          <w:tcPr>
            <w:tcW w:w="4062" w:type="dxa"/>
            <w:tcBorders>
              <w:top w:val="nil"/>
              <w:left w:val="nil"/>
              <w:bottom w:val="single" w:sz="8" w:space="0" w:color="auto"/>
              <w:right w:val="single" w:sz="8" w:space="0" w:color="auto"/>
            </w:tcBorders>
            <w:shd w:val="clear" w:color="auto" w:fill="auto"/>
            <w:hideMark/>
          </w:tcPr>
          <w:p w14:paraId="475BF2F9" w14:textId="77777777" w:rsidR="008670C1" w:rsidRPr="00E90EB4" w:rsidRDefault="008670C1" w:rsidP="00E90EB4">
            <w:pPr>
              <w:spacing w:after="0" w:line="360" w:lineRule="auto"/>
              <w:jc w:val="center"/>
              <w:rPr>
                <w:rFonts w:eastAsia="Times New Roman"/>
                <w:color w:val="808080"/>
                <w:lang w:val="es-DO" w:eastAsia="es-DO"/>
              </w:rPr>
            </w:pPr>
            <w:r w:rsidRPr="00E90EB4">
              <w:rPr>
                <w:rFonts w:eastAsia="Times New Roman"/>
                <w:color w:val="808080"/>
                <w:lang w:val="es-DO" w:eastAsia="es-DO"/>
              </w:rPr>
              <w:t>RD$58,283,114.50</w:t>
            </w:r>
          </w:p>
        </w:tc>
      </w:tr>
      <w:tr w:rsidR="008670C1" w:rsidRPr="00274E67" w14:paraId="22FD3A42" w14:textId="77777777" w:rsidTr="008670C1">
        <w:trPr>
          <w:trHeight w:val="312"/>
          <w:jc w:val="center"/>
        </w:trPr>
        <w:tc>
          <w:tcPr>
            <w:tcW w:w="7938" w:type="dxa"/>
            <w:gridSpan w:val="2"/>
            <w:tcBorders>
              <w:top w:val="single" w:sz="8" w:space="0" w:color="auto"/>
              <w:left w:val="single" w:sz="8" w:space="0" w:color="auto"/>
              <w:bottom w:val="single" w:sz="8" w:space="0" w:color="auto"/>
              <w:right w:val="single" w:sz="8" w:space="0" w:color="000000"/>
            </w:tcBorders>
            <w:shd w:val="clear" w:color="000000" w:fill="003876"/>
            <w:vAlign w:val="center"/>
            <w:hideMark/>
          </w:tcPr>
          <w:p w14:paraId="6714C602" w14:textId="77777777" w:rsidR="008670C1" w:rsidRPr="00E90EB4" w:rsidRDefault="008670C1" w:rsidP="00E90EB4">
            <w:pPr>
              <w:spacing w:after="0" w:line="360" w:lineRule="auto"/>
              <w:jc w:val="center"/>
              <w:rPr>
                <w:rFonts w:eastAsia="Times New Roman"/>
                <w:color w:val="FFFFFF"/>
                <w:lang w:val="es-DO" w:eastAsia="es-DO"/>
              </w:rPr>
            </w:pPr>
            <w:r w:rsidRPr="00E90EB4">
              <w:rPr>
                <w:rFonts w:eastAsia="Times New Roman"/>
                <w:color w:val="FFFFFF"/>
                <w:lang w:val="es-DO" w:eastAsia="es-DO"/>
              </w:rPr>
              <w:t>Montos Adjudicados según Clasificación MIPYME</w:t>
            </w:r>
          </w:p>
        </w:tc>
      </w:tr>
      <w:tr w:rsidR="008670C1" w:rsidRPr="00516CA4" w14:paraId="77A4806C" w14:textId="77777777" w:rsidTr="008670C1">
        <w:trPr>
          <w:trHeight w:val="312"/>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67B0AF4B" w14:textId="77777777" w:rsidR="008670C1" w:rsidRPr="00E90EB4" w:rsidRDefault="008670C1" w:rsidP="00E90EB4">
            <w:pPr>
              <w:spacing w:after="0" w:line="360" w:lineRule="auto"/>
              <w:rPr>
                <w:rFonts w:eastAsia="Times New Roman"/>
                <w:b/>
                <w:bCs/>
                <w:lang w:val="es-DO" w:eastAsia="es-DO"/>
              </w:rPr>
            </w:pPr>
            <w:r w:rsidRPr="00E90EB4">
              <w:rPr>
                <w:rFonts w:eastAsia="Times New Roman"/>
                <w:b/>
                <w:lang w:val="es-DO" w:eastAsia="es-DO"/>
              </w:rPr>
              <w:t>MIPYME</w:t>
            </w:r>
          </w:p>
        </w:tc>
        <w:tc>
          <w:tcPr>
            <w:tcW w:w="4062" w:type="dxa"/>
            <w:tcBorders>
              <w:top w:val="nil"/>
              <w:left w:val="nil"/>
              <w:bottom w:val="single" w:sz="8" w:space="0" w:color="auto"/>
              <w:right w:val="single" w:sz="8" w:space="0" w:color="auto"/>
            </w:tcBorders>
            <w:shd w:val="clear" w:color="auto" w:fill="auto"/>
            <w:hideMark/>
          </w:tcPr>
          <w:p w14:paraId="0041CEBB" w14:textId="77777777" w:rsidR="008670C1" w:rsidRPr="00E90EB4" w:rsidRDefault="008670C1" w:rsidP="00E90EB4">
            <w:pPr>
              <w:spacing w:after="0" w:line="360" w:lineRule="auto"/>
              <w:jc w:val="center"/>
              <w:rPr>
                <w:rFonts w:eastAsia="Times New Roman"/>
                <w:color w:val="808080"/>
                <w:lang w:val="es-DO" w:eastAsia="es-DO"/>
              </w:rPr>
            </w:pPr>
            <w:r w:rsidRPr="00E90EB4">
              <w:rPr>
                <w:lang w:val="es-DO"/>
              </w:rPr>
              <w:t>RD$273,992,186.17</w:t>
            </w:r>
          </w:p>
        </w:tc>
      </w:tr>
      <w:tr w:rsidR="008670C1" w:rsidRPr="00516CA4" w14:paraId="4A824F57" w14:textId="77777777" w:rsidTr="008670C1">
        <w:trPr>
          <w:trHeight w:val="312"/>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7CDF9AAE" w14:textId="77777777" w:rsidR="008670C1" w:rsidRPr="00E90EB4" w:rsidRDefault="008670C1" w:rsidP="00E90EB4">
            <w:pPr>
              <w:spacing w:after="0" w:line="360" w:lineRule="auto"/>
              <w:rPr>
                <w:rFonts w:eastAsia="Times New Roman"/>
                <w:b/>
                <w:bCs/>
                <w:lang w:val="es-DO" w:eastAsia="es-DO"/>
              </w:rPr>
            </w:pPr>
            <w:r w:rsidRPr="00E90EB4">
              <w:rPr>
                <w:rFonts w:eastAsia="Times New Roman"/>
                <w:b/>
                <w:lang w:val="es-DO" w:eastAsia="es-DO"/>
              </w:rPr>
              <w:t>MIPYME Mujer</w:t>
            </w:r>
          </w:p>
        </w:tc>
        <w:tc>
          <w:tcPr>
            <w:tcW w:w="4062" w:type="dxa"/>
            <w:tcBorders>
              <w:top w:val="nil"/>
              <w:left w:val="nil"/>
              <w:bottom w:val="single" w:sz="8" w:space="0" w:color="auto"/>
              <w:right w:val="single" w:sz="8" w:space="0" w:color="auto"/>
            </w:tcBorders>
            <w:shd w:val="clear" w:color="auto" w:fill="auto"/>
            <w:hideMark/>
          </w:tcPr>
          <w:p w14:paraId="293DFF92" w14:textId="77777777" w:rsidR="008670C1" w:rsidRPr="00E90EB4" w:rsidRDefault="008670C1" w:rsidP="00E90EB4">
            <w:pPr>
              <w:spacing w:after="0" w:line="360" w:lineRule="auto"/>
              <w:jc w:val="center"/>
              <w:rPr>
                <w:rFonts w:eastAsia="Times New Roman"/>
                <w:color w:val="808080"/>
                <w:lang w:val="es-DO" w:eastAsia="es-DO"/>
              </w:rPr>
            </w:pPr>
            <w:r w:rsidRPr="00E90EB4">
              <w:rPr>
                <w:lang w:val="es-DO"/>
              </w:rPr>
              <w:t>RD$51,940,384.14</w:t>
            </w:r>
          </w:p>
        </w:tc>
      </w:tr>
      <w:tr w:rsidR="008670C1" w:rsidRPr="00516CA4" w14:paraId="10AF11A9" w14:textId="77777777" w:rsidTr="008670C1">
        <w:trPr>
          <w:trHeight w:val="312"/>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042AAB81" w14:textId="77777777" w:rsidR="008670C1" w:rsidRPr="00E90EB4" w:rsidRDefault="008670C1" w:rsidP="00E90EB4">
            <w:pPr>
              <w:spacing w:after="0" w:line="360" w:lineRule="auto"/>
              <w:rPr>
                <w:rFonts w:eastAsia="Times New Roman"/>
                <w:b/>
                <w:bCs/>
                <w:lang w:val="es-DO" w:eastAsia="es-DO"/>
              </w:rPr>
            </w:pPr>
            <w:r w:rsidRPr="00E90EB4">
              <w:rPr>
                <w:rFonts w:eastAsia="Times New Roman"/>
                <w:b/>
                <w:lang w:val="es-DO" w:eastAsia="es-DO"/>
              </w:rPr>
              <w:t>No MIPYME</w:t>
            </w:r>
          </w:p>
        </w:tc>
        <w:tc>
          <w:tcPr>
            <w:tcW w:w="4062" w:type="dxa"/>
            <w:tcBorders>
              <w:top w:val="nil"/>
              <w:left w:val="nil"/>
              <w:bottom w:val="single" w:sz="8" w:space="0" w:color="auto"/>
              <w:right w:val="single" w:sz="8" w:space="0" w:color="auto"/>
            </w:tcBorders>
            <w:shd w:val="clear" w:color="auto" w:fill="auto"/>
            <w:vAlign w:val="center"/>
            <w:hideMark/>
          </w:tcPr>
          <w:p w14:paraId="740220BE" w14:textId="77777777" w:rsidR="008670C1" w:rsidRPr="00E90EB4" w:rsidRDefault="008670C1" w:rsidP="00E90EB4">
            <w:pPr>
              <w:spacing w:after="0" w:line="360" w:lineRule="auto"/>
              <w:jc w:val="center"/>
              <w:rPr>
                <w:rFonts w:eastAsia="Times New Roman"/>
                <w:color w:val="808080"/>
                <w:lang w:val="es-DO" w:eastAsia="es-DO"/>
              </w:rPr>
            </w:pPr>
            <w:r w:rsidRPr="00E90EB4">
              <w:rPr>
                <w:rFonts w:eastAsia="Times New Roman"/>
                <w:color w:val="808080"/>
                <w:lang w:val="es-DO" w:eastAsia="es-DO"/>
              </w:rPr>
              <w:t>RD$324,059,326.22</w:t>
            </w:r>
          </w:p>
        </w:tc>
      </w:tr>
      <w:tr w:rsidR="008670C1" w:rsidRPr="00274E67" w14:paraId="27732633" w14:textId="77777777" w:rsidTr="008670C1">
        <w:trPr>
          <w:trHeight w:val="312"/>
          <w:jc w:val="center"/>
        </w:trPr>
        <w:tc>
          <w:tcPr>
            <w:tcW w:w="7938" w:type="dxa"/>
            <w:gridSpan w:val="2"/>
            <w:tcBorders>
              <w:top w:val="single" w:sz="8" w:space="0" w:color="auto"/>
              <w:left w:val="single" w:sz="8" w:space="0" w:color="auto"/>
              <w:bottom w:val="single" w:sz="8" w:space="0" w:color="auto"/>
              <w:right w:val="single" w:sz="8" w:space="0" w:color="000000"/>
            </w:tcBorders>
            <w:shd w:val="clear" w:color="000000" w:fill="003876"/>
            <w:vAlign w:val="center"/>
            <w:hideMark/>
          </w:tcPr>
          <w:p w14:paraId="274544F5" w14:textId="77777777" w:rsidR="008670C1" w:rsidRPr="00E90EB4" w:rsidRDefault="008670C1" w:rsidP="00E90EB4">
            <w:pPr>
              <w:spacing w:after="0" w:line="360" w:lineRule="auto"/>
              <w:jc w:val="center"/>
              <w:rPr>
                <w:rFonts w:eastAsia="Times New Roman"/>
                <w:color w:val="FFFFFF"/>
                <w:lang w:val="es-DO" w:eastAsia="es-DO"/>
              </w:rPr>
            </w:pPr>
            <w:r w:rsidRPr="00E90EB4">
              <w:rPr>
                <w:rFonts w:eastAsia="Times New Roman"/>
                <w:color w:val="FFFFFF"/>
                <w:lang w:val="es-DO" w:eastAsia="es-DO"/>
              </w:rPr>
              <w:t>Montos Convocados según Tipo De Procedimiento</w:t>
            </w:r>
          </w:p>
        </w:tc>
      </w:tr>
      <w:tr w:rsidR="008670C1" w:rsidRPr="00516CA4" w14:paraId="425230E3" w14:textId="77777777" w:rsidTr="008670C1">
        <w:trPr>
          <w:trHeight w:val="60"/>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078D390A" w14:textId="77777777" w:rsidR="008670C1" w:rsidRPr="00E90EB4" w:rsidRDefault="008670C1" w:rsidP="00E90EB4">
            <w:pPr>
              <w:spacing w:after="0" w:line="360" w:lineRule="auto"/>
              <w:rPr>
                <w:rFonts w:eastAsia="Times New Roman"/>
                <w:b/>
                <w:bCs/>
                <w:lang w:val="es-DO" w:eastAsia="es-DO"/>
              </w:rPr>
            </w:pPr>
            <w:r w:rsidRPr="00E90EB4">
              <w:rPr>
                <w:rFonts w:eastAsia="Times New Roman"/>
                <w:b/>
                <w:bCs/>
                <w:lang w:val="es-DO" w:eastAsia="es-DO"/>
              </w:rPr>
              <w:t>Compras por debajo del umbral</w:t>
            </w:r>
          </w:p>
        </w:tc>
        <w:tc>
          <w:tcPr>
            <w:tcW w:w="4062" w:type="dxa"/>
            <w:tcBorders>
              <w:top w:val="nil"/>
              <w:left w:val="nil"/>
              <w:bottom w:val="single" w:sz="8" w:space="0" w:color="auto"/>
              <w:right w:val="single" w:sz="8" w:space="0" w:color="auto"/>
            </w:tcBorders>
            <w:shd w:val="clear" w:color="auto" w:fill="auto"/>
            <w:vAlign w:val="center"/>
            <w:hideMark/>
          </w:tcPr>
          <w:p w14:paraId="4FD1E530" w14:textId="77777777" w:rsidR="008670C1" w:rsidRPr="00E90EB4" w:rsidRDefault="008670C1" w:rsidP="00E90EB4">
            <w:pPr>
              <w:spacing w:after="0" w:line="360" w:lineRule="auto"/>
              <w:jc w:val="center"/>
              <w:rPr>
                <w:rFonts w:eastAsia="Times New Roman"/>
                <w:color w:val="808080"/>
                <w:lang w:val="es-DO" w:eastAsia="es-DO"/>
              </w:rPr>
            </w:pPr>
            <w:r w:rsidRPr="00E90EB4">
              <w:rPr>
                <w:rFonts w:eastAsia="Times New Roman"/>
                <w:color w:val="808080"/>
                <w:lang w:val="es-DO" w:eastAsia="es-DO"/>
              </w:rPr>
              <w:t>RD$20,502,408.45</w:t>
            </w:r>
          </w:p>
        </w:tc>
      </w:tr>
      <w:tr w:rsidR="008670C1" w:rsidRPr="00516CA4" w14:paraId="6E15422A" w14:textId="77777777" w:rsidTr="008670C1">
        <w:trPr>
          <w:trHeight w:val="312"/>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662A551F" w14:textId="77777777" w:rsidR="008670C1" w:rsidRPr="00E90EB4" w:rsidRDefault="008670C1" w:rsidP="00E90EB4">
            <w:pPr>
              <w:spacing w:after="0" w:line="360" w:lineRule="auto"/>
              <w:rPr>
                <w:rFonts w:eastAsia="Times New Roman"/>
                <w:b/>
                <w:bCs/>
                <w:lang w:val="es-DO" w:eastAsia="es-DO"/>
              </w:rPr>
            </w:pPr>
            <w:r w:rsidRPr="00E90EB4">
              <w:rPr>
                <w:rFonts w:eastAsia="Times New Roman"/>
                <w:b/>
                <w:lang w:val="es-DO" w:eastAsia="es-DO"/>
              </w:rPr>
              <w:t>Compra Menor</w:t>
            </w:r>
          </w:p>
        </w:tc>
        <w:tc>
          <w:tcPr>
            <w:tcW w:w="4062" w:type="dxa"/>
            <w:tcBorders>
              <w:top w:val="nil"/>
              <w:left w:val="nil"/>
              <w:bottom w:val="single" w:sz="8" w:space="0" w:color="auto"/>
              <w:right w:val="single" w:sz="8" w:space="0" w:color="auto"/>
            </w:tcBorders>
            <w:shd w:val="clear" w:color="auto" w:fill="auto"/>
            <w:vAlign w:val="center"/>
            <w:hideMark/>
          </w:tcPr>
          <w:p w14:paraId="01106C3E" w14:textId="77777777" w:rsidR="008670C1" w:rsidRPr="00E90EB4" w:rsidRDefault="008670C1" w:rsidP="00E90EB4">
            <w:pPr>
              <w:spacing w:after="0" w:line="360" w:lineRule="auto"/>
              <w:jc w:val="center"/>
              <w:rPr>
                <w:rFonts w:eastAsia="Times New Roman"/>
                <w:color w:val="808080"/>
                <w:lang w:val="es-DO" w:eastAsia="es-DO"/>
              </w:rPr>
            </w:pPr>
            <w:r w:rsidRPr="00E90EB4">
              <w:rPr>
                <w:rFonts w:eastAsia="Times New Roman"/>
                <w:color w:val="808080"/>
                <w:lang w:val="es-DO" w:eastAsia="es-DO"/>
              </w:rPr>
              <w:t>RD$77,647,855.52</w:t>
            </w:r>
          </w:p>
        </w:tc>
      </w:tr>
      <w:tr w:rsidR="008670C1" w:rsidRPr="00516CA4" w14:paraId="49230FA8" w14:textId="77777777" w:rsidTr="008670C1">
        <w:trPr>
          <w:trHeight w:val="312"/>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40983594" w14:textId="77777777" w:rsidR="008670C1" w:rsidRPr="00E90EB4" w:rsidRDefault="008670C1" w:rsidP="00E90EB4">
            <w:pPr>
              <w:spacing w:after="0" w:line="360" w:lineRule="auto"/>
              <w:rPr>
                <w:rFonts w:eastAsia="Times New Roman"/>
                <w:b/>
                <w:bCs/>
                <w:lang w:val="es-DO" w:eastAsia="es-DO"/>
              </w:rPr>
            </w:pPr>
            <w:r w:rsidRPr="00E90EB4">
              <w:rPr>
                <w:rFonts w:eastAsia="Times New Roman"/>
                <w:b/>
                <w:lang w:val="es-DO" w:eastAsia="es-DO"/>
              </w:rPr>
              <w:t>Comparación de Precios</w:t>
            </w:r>
          </w:p>
        </w:tc>
        <w:tc>
          <w:tcPr>
            <w:tcW w:w="4062" w:type="dxa"/>
            <w:tcBorders>
              <w:top w:val="nil"/>
              <w:left w:val="nil"/>
              <w:bottom w:val="single" w:sz="8" w:space="0" w:color="auto"/>
              <w:right w:val="single" w:sz="8" w:space="0" w:color="auto"/>
            </w:tcBorders>
            <w:shd w:val="clear" w:color="auto" w:fill="auto"/>
            <w:vAlign w:val="center"/>
            <w:hideMark/>
          </w:tcPr>
          <w:p w14:paraId="2A4C3892" w14:textId="77777777" w:rsidR="008670C1" w:rsidRPr="00E90EB4" w:rsidRDefault="008670C1" w:rsidP="00E90EB4">
            <w:pPr>
              <w:spacing w:after="0" w:line="360" w:lineRule="auto"/>
              <w:jc w:val="center"/>
              <w:rPr>
                <w:rFonts w:eastAsia="Times New Roman"/>
                <w:color w:val="808080"/>
                <w:lang w:val="es-DO" w:eastAsia="es-DO"/>
              </w:rPr>
            </w:pPr>
            <w:r w:rsidRPr="00E90EB4">
              <w:rPr>
                <w:rFonts w:eastAsia="Times New Roman"/>
                <w:color w:val="808080"/>
                <w:lang w:val="es-DO" w:eastAsia="es-DO"/>
              </w:rPr>
              <w:t>RD$246,247,029.70</w:t>
            </w:r>
          </w:p>
        </w:tc>
      </w:tr>
      <w:tr w:rsidR="008670C1" w:rsidRPr="00516CA4" w14:paraId="383DE947" w14:textId="77777777" w:rsidTr="008670C1">
        <w:trPr>
          <w:trHeight w:val="312"/>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611C78F8" w14:textId="77777777" w:rsidR="008670C1" w:rsidRPr="00E90EB4" w:rsidRDefault="008670C1" w:rsidP="00E90EB4">
            <w:pPr>
              <w:spacing w:after="0" w:line="360" w:lineRule="auto"/>
              <w:rPr>
                <w:rFonts w:eastAsia="Times New Roman"/>
                <w:b/>
                <w:bCs/>
                <w:lang w:val="es-DO" w:eastAsia="es-DO"/>
              </w:rPr>
            </w:pPr>
            <w:r w:rsidRPr="00E90EB4">
              <w:rPr>
                <w:rFonts w:eastAsia="Times New Roman"/>
                <w:b/>
                <w:lang w:val="es-DO" w:eastAsia="es-DO"/>
              </w:rPr>
              <w:t>Licitación Pública</w:t>
            </w:r>
          </w:p>
        </w:tc>
        <w:tc>
          <w:tcPr>
            <w:tcW w:w="4062" w:type="dxa"/>
            <w:tcBorders>
              <w:top w:val="nil"/>
              <w:left w:val="nil"/>
              <w:bottom w:val="single" w:sz="8" w:space="0" w:color="auto"/>
              <w:right w:val="single" w:sz="8" w:space="0" w:color="auto"/>
            </w:tcBorders>
            <w:shd w:val="clear" w:color="auto" w:fill="auto"/>
            <w:vAlign w:val="center"/>
            <w:hideMark/>
          </w:tcPr>
          <w:p w14:paraId="1C59B33D" w14:textId="77777777" w:rsidR="008670C1" w:rsidRPr="00E90EB4" w:rsidRDefault="008670C1" w:rsidP="00E90EB4">
            <w:pPr>
              <w:spacing w:after="0" w:line="360" w:lineRule="auto"/>
              <w:jc w:val="center"/>
              <w:rPr>
                <w:rFonts w:eastAsia="Times New Roman"/>
                <w:color w:val="808080"/>
                <w:lang w:val="es-DO" w:eastAsia="es-DO"/>
              </w:rPr>
            </w:pPr>
            <w:r w:rsidRPr="00E90EB4">
              <w:rPr>
                <w:rFonts w:eastAsia="Times New Roman"/>
                <w:color w:val="808080"/>
                <w:lang w:val="es-DO" w:eastAsia="es-DO"/>
              </w:rPr>
              <w:t>RD$127,489,687.50</w:t>
            </w:r>
          </w:p>
        </w:tc>
      </w:tr>
      <w:tr w:rsidR="008670C1" w:rsidRPr="00516CA4" w14:paraId="3DFF6994" w14:textId="77777777" w:rsidTr="008670C1">
        <w:trPr>
          <w:trHeight w:val="610"/>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3A2B1286" w14:textId="77777777" w:rsidR="008670C1" w:rsidRPr="00E90EB4" w:rsidRDefault="008670C1" w:rsidP="00E90EB4">
            <w:pPr>
              <w:spacing w:after="0" w:line="360" w:lineRule="auto"/>
              <w:rPr>
                <w:rFonts w:eastAsia="Times New Roman"/>
                <w:b/>
                <w:bCs/>
                <w:lang w:val="es-DO" w:eastAsia="es-DO"/>
              </w:rPr>
            </w:pPr>
            <w:r w:rsidRPr="00E90EB4">
              <w:rPr>
                <w:rFonts w:eastAsia="Times New Roman"/>
                <w:b/>
                <w:bCs/>
                <w:lang w:val="es-DO" w:eastAsia="es-DO"/>
              </w:rPr>
              <w:t>Excepción - bienes o servicios con exclusividad</w:t>
            </w:r>
          </w:p>
        </w:tc>
        <w:tc>
          <w:tcPr>
            <w:tcW w:w="4062" w:type="dxa"/>
            <w:tcBorders>
              <w:top w:val="nil"/>
              <w:left w:val="nil"/>
              <w:bottom w:val="single" w:sz="8" w:space="0" w:color="auto"/>
              <w:right w:val="single" w:sz="8" w:space="0" w:color="auto"/>
            </w:tcBorders>
            <w:shd w:val="clear" w:color="auto" w:fill="auto"/>
            <w:vAlign w:val="center"/>
            <w:hideMark/>
          </w:tcPr>
          <w:p w14:paraId="21726E55" w14:textId="77777777" w:rsidR="008670C1" w:rsidRPr="00E90EB4" w:rsidRDefault="008670C1" w:rsidP="00E90EB4">
            <w:pPr>
              <w:spacing w:after="0" w:line="360" w:lineRule="auto"/>
              <w:jc w:val="center"/>
              <w:rPr>
                <w:rFonts w:eastAsia="Times New Roman"/>
                <w:color w:val="808080"/>
                <w:lang w:val="es-DO" w:eastAsia="es-DO"/>
              </w:rPr>
            </w:pPr>
            <w:r w:rsidRPr="00E90EB4">
              <w:rPr>
                <w:rFonts w:eastAsia="Times New Roman"/>
                <w:color w:val="808080"/>
                <w:lang w:val="es-DO" w:eastAsia="es-DO"/>
              </w:rPr>
              <w:t>RD$63,729,199.22</w:t>
            </w:r>
          </w:p>
        </w:tc>
      </w:tr>
      <w:tr w:rsidR="008670C1" w:rsidRPr="00516CA4" w14:paraId="42F3CC19" w14:textId="77777777" w:rsidTr="008670C1">
        <w:trPr>
          <w:trHeight w:val="60"/>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0A821D2C" w14:textId="77777777" w:rsidR="008670C1" w:rsidRPr="00E90EB4" w:rsidRDefault="008670C1" w:rsidP="006B204A">
            <w:pPr>
              <w:spacing w:after="0" w:line="360" w:lineRule="auto"/>
              <w:rPr>
                <w:rFonts w:eastAsia="Times New Roman"/>
                <w:b/>
                <w:bCs/>
                <w:lang w:val="es-DO" w:eastAsia="es-DO"/>
              </w:rPr>
            </w:pPr>
            <w:r w:rsidRPr="00E90EB4">
              <w:rPr>
                <w:rFonts w:eastAsia="Times New Roman"/>
                <w:b/>
                <w:bCs/>
                <w:lang w:val="es-DO" w:eastAsia="es-DO"/>
              </w:rPr>
              <w:lastRenderedPageBreak/>
              <w:t>Excepción - contratación de publicidad a través de medios de comunicación social</w:t>
            </w:r>
          </w:p>
        </w:tc>
        <w:tc>
          <w:tcPr>
            <w:tcW w:w="4062" w:type="dxa"/>
            <w:tcBorders>
              <w:top w:val="nil"/>
              <w:left w:val="nil"/>
              <w:bottom w:val="single" w:sz="8" w:space="0" w:color="auto"/>
              <w:right w:val="single" w:sz="8" w:space="0" w:color="auto"/>
            </w:tcBorders>
            <w:shd w:val="clear" w:color="auto" w:fill="auto"/>
            <w:vAlign w:val="center"/>
            <w:hideMark/>
          </w:tcPr>
          <w:p w14:paraId="3CA5E29F" w14:textId="77777777" w:rsidR="008670C1" w:rsidRPr="00E90EB4" w:rsidRDefault="008670C1" w:rsidP="006B204A">
            <w:pPr>
              <w:spacing w:after="0" w:line="360" w:lineRule="auto"/>
              <w:jc w:val="center"/>
              <w:rPr>
                <w:rFonts w:eastAsia="Times New Roman"/>
                <w:color w:val="808080"/>
                <w:lang w:val="es-DO" w:eastAsia="es-DO"/>
              </w:rPr>
            </w:pPr>
            <w:r w:rsidRPr="00E90EB4">
              <w:rPr>
                <w:rFonts w:eastAsia="Times New Roman"/>
                <w:color w:val="808080"/>
                <w:lang w:val="es-DO" w:eastAsia="es-DO"/>
              </w:rPr>
              <w:t>RD$1,000,000.00</w:t>
            </w:r>
          </w:p>
        </w:tc>
      </w:tr>
      <w:tr w:rsidR="008670C1" w:rsidRPr="00516CA4" w14:paraId="1AB13DC7" w14:textId="77777777" w:rsidTr="008670C1">
        <w:trPr>
          <w:trHeight w:val="60"/>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1DE9A8DC" w14:textId="77777777" w:rsidR="008670C1" w:rsidRPr="00E90EB4" w:rsidRDefault="008670C1" w:rsidP="006B204A">
            <w:pPr>
              <w:spacing w:after="0" w:line="360" w:lineRule="auto"/>
              <w:rPr>
                <w:rFonts w:eastAsia="Times New Roman"/>
                <w:b/>
                <w:bCs/>
                <w:lang w:val="es-DO" w:eastAsia="es-DO"/>
              </w:rPr>
            </w:pPr>
            <w:r w:rsidRPr="00E90EB4">
              <w:rPr>
                <w:rFonts w:eastAsia="Times New Roman"/>
                <w:b/>
                <w:bCs/>
                <w:lang w:val="es-DO" w:eastAsia="es-DO"/>
              </w:rPr>
              <w:t>Excepción - obras científicas, técnicas, artísticas, o restauración de monumentos históricos</w:t>
            </w:r>
          </w:p>
        </w:tc>
        <w:tc>
          <w:tcPr>
            <w:tcW w:w="4062" w:type="dxa"/>
            <w:tcBorders>
              <w:top w:val="nil"/>
              <w:left w:val="nil"/>
              <w:bottom w:val="single" w:sz="8" w:space="0" w:color="auto"/>
              <w:right w:val="single" w:sz="8" w:space="0" w:color="auto"/>
            </w:tcBorders>
            <w:shd w:val="clear" w:color="auto" w:fill="auto"/>
            <w:vAlign w:val="center"/>
            <w:hideMark/>
          </w:tcPr>
          <w:p w14:paraId="27FFC83B" w14:textId="77777777" w:rsidR="008670C1" w:rsidRPr="00E90EB4" w:rsidRDefault="008670C1" w:rsidP="006B204A">
            <w:pPr>
              <w:spacing w:after="0" w:line="360" w:lineRule="auto"/>
              <w:jc w:val="center"/>
              <w:rPr>
                <w:rFonts w:eastAsia="Times New Roman"/>
                <w:color w:val="808080"/>
                <w:lang w:val="es-DO" w:eastAsia="es-DO"/>
              </w:rPr>
            </w:pPr>
            <w:r w:rsidRPr="00E90EB4">
              <w:rPr>
                <w:rFonts w:eastAsia="Times New Roman"/>
                <w:color w:val="808080"/>
                <w:lang w:val="es-DO" w:eastAsia="es-DO"/>
              </w:rPr>
              <w:t>RD$40,470,851.51</w:t>
            </w:r>
          </w:p>
        </w:tc>
      </w:tr>
      <w:tr w:rsidR="008670C1" w:rsidRPr="00516CA4" w14:paraId="0BADAF8E" w14:textId="77777777" w:rsidTr="008670C1">
        <w:trPr>
          <w:trHeight w:val="60"/>
          <w:jc w:val="center"/>
        </w:trPr>
        <w:tc>
          <w:tcPr>
            <w:tcW w:w="3876" w:type="dxa"/>
            <w:tcBorders>
              <w:top w:val="nil"/>
              <w:left w:val="single" w:sz="8" w:space="0" w:color="auto"/>
              <w:bottom w:val="single" w:sz="8" w:space="0" w:color="auto"/>
              <w:right w:val="single" w:sz="8" w:space="0" w:color="auto"/>
            </w:tcBorders>
            <w:shd w:val="clear" w:color="auto" w:fill="auto"/>
            <w:vAlign w:val="center"/>
            <w:hideMark/>
          </w:tcPr>
          <w:p w14:paraId="1C9BB391" w14:textId="77777777" w:rsidR="008670C1" w:rsidRPr="00E90EB4" w:rsidRDefault="008670C1" w:rsidP="006B204A">
            <w:pPr>
              <w:spacing w:after="0" w:line="360" w:lineRule="auto"/>
              <w:rPr>
                <w:rFonts w:eastAsia="Times New Roman"/>
                <w:b/>
                <w:bCs/>
                <w:lang w:val="es-DO" w:eastAsia="es-DO"/>
              </w:rPr>
            </w:pPr>
            <w:r w:rsidRPr="00E90EB4">
              <w:rPr>
                <w:rFonts w:eastAsia="Times New Roman"/>
                <w:b/>
                <w:lang w:val="es-DO" w:eastAsia="es-DO"/>
              </w:rPr>
              <w:t>Excepción - proveedor único</w:t>
            </w:r>
          </w:p>
        </w:tc>
        <w:tc>
          <w:tcPr>
            <w:tcW w:w="4062" w:type="dxa"/>
            <w:tcBorders>
              <w:top w:val="nil"/>
              <w:left w:val="nil"/>
              <w:bottom w:val="single" w:sz="8" w:space="0" w:color="auto"/>
              <w:right w:val="single" w:sz="8" w:space="0" w:color="auto"/>
            </w:tcBorders>
            <w:shd w:val="clear" w:color="auto" w:fill="auto"/>
            <w:vAlign w:val="center"/>
            <w:hideMark/>
          </w:tcPr>
          <w:p w14:paraId="1C4484F7" w14:textId="77777777" w:rsidR="008670C1" w:rsidRPr="00E90EB4" w:rsidRDefault="008670C1" w:rsidP="006B204A">
            <w:pPr>
              <w:spacing w:after="0" w:line="360" w:lineRule="auto"/>
              <w:jc w:val="center"/>
              <w:rPr>
                <w:rFonts w:eastAsia="Times New Roman"/>
                <w:color w:val="808080"/>
                <w:lang w:val="es-DO" w:eastAsia="es-DO"/>
              </w:rPr>
            </w:pPr>
            <w:r w:rsidRPr="00E90EB4">
              <w:rPr>
                <w:rFonts w:eastAsia="Times New Roman"/>
                <w:color w:val="808080"/>
                <w:lang w:val="es-DO" w:eastAsia="es-DO"/>
              </w:rPr>
              <w:t>RD$131,488,253.69</w:t>
            </w:r>
          </w:p>
        </w:tc>
      </w:tr>
    </w:tbl>
    <w:p w14:paraId="21349A6D" w14:textId="56FAEE66" w:rsidR="008670C1" w:rsidRPr="002533A9" w:rsidRDefault="00E90EB4" w:rsidP="002533A9">
      <w:pPr>
        <w:spacing w:line="360" w:lineRule="auto"/>
        <w:jc w:val="center"/>
        <w:rPr>
          <w:lang w:val="es-DO"/>
        </w:rPr>
      </w:pPr>
      <w:r w:rsidRPr="007B7853">
        <w:rPr>
          <w:b/>
          <w:bCs/>
          <w:lang w:val="es-DO"/>
        </w:rPr>
        <w:t>Fuente</w:t>
      </w:r>
      <w:r w:rsidRPr="00C865B6">
        <w:rPr>
          <w:lang w:val="es-DO"/>
        </w:rPr>
        <w:t xml:space="preserve">: </w:t>
      </w:r>
      <w:r w:rsidRPr="007B7853">
        <w:rPr>
          <w:lang w:val="es-DO"/>
        </w:rPr>
        <w:t>Departamento Administrativo</w:t>
      </w:r>
      <w:r>
        <w:rPr>
          <w:lang w:val="es-DO"/>
        </w:rPr>
        <w:t xml:space="preserve"> y</w:t>
      </w:r>
      <w:r w:rsidRPr="007B7853">
        <w:rPr>
          <w:lang w:val="es-DO"/>
        </w:rPr>
        <w:t xml:space="preserve"> Financiero. Superintendencia de Bancos de la República Dominicana, 202</w:t>
      </w:r>
      <w:r>
        <w:rPr>
          <w:lang w:val="es-DO"/>
        </w:rPr>
        <w:t>3.</w:t>
      </w:r>
    </w:p>
    <w:p w14:paraId="3400D1E3" w14:textId="7A151824" w:rsidR="005401B3" w:rsidRPr="00E90EB4" w:rsidRDefault="005401B3" w:rsidP="006B204A">
      <w:pPr>
        <w:spacing w:line="360" w:lineRule="auto"/>
        <w:ind w:left="360"/>
        <w:jc w:val="center"/>
        <w:rPr>
          <w:b/>
          <w:bCs/>
          <w:lang w:val="es-DO"/>
        </w:rPr>
      </w:pPr>
    </w:p>
    <w:bookmarkEnd w:id="108"/>
    <w:p w14:paraId="0398CEAB" w14:textId="6F131A8F" w:rsidR="006409CE" w:rsidRPr="00C865B6" w:rsidRDefault="006409CE" w:rsidP="006409CE">
      <w:pPr>
        <w:spacing w:after="0" w:line="240" w:lineRule="auto"/>
        <w:jc w:val="center"/>
        <w:rPr>
          <w:b/>
          <w:bCs/>
          <w:lang w:val="es-DO"/>
        </w:rPr>
      </w:pPr>
      <w:r w:rsidRPr="00C865B6">
        <w:rPr>
          <w:b/>
          <w:bCs/>
          <w:lang w:val="es-DO"/>
        </w:rPr>
        <w:t xml:space="preserve">Anexo </w:t>
      </w:r>
      <w:r w:rsidR="002533A9">
        <w:rPr>
          <w:b/>
          <w:bCs/>
          <w:lang w:val="es-DO"/>
        </w:rPr>
        <w:t>3</w:t>
      </w:r>
      <w:r w:rsidRPr="00C865B6">
        <w:rPr>
          <w:b/>
          <w:bCs/>
          <w:lang w:val="es-DO"/>
        </w:rPr>
        <w:t xml:space="preserve">. </w:t>
      </w:r>
      <w:r w:rsidR="0005607E">
        <w:rPr>
          <w:b/>
          <w:bCs/>
          <w:lang w:val="es-DO"/>
        </w:rPr>
        <w:t>Gráfico</w:t>
      </w:r>
      <w:r w:rsidR="00203D55">
        <w:rPr>
          <w:b/>
          <w:bCs/>
          <w:lang w:val="es-DO"/>
        </w:rPr>
        <w:t xml:space="preserve"> </w:t>
      </w:r>
      <w:r w:rsidR="00394BBB">
        <w:rPr>
          <w:b/>
          <w:bCs/>
          <w:lang w:val="es-DO"/>
        </w:rPr>
        <w:t>– Cantidad de Ahorristas y Monto promedio devuelto al 2023</w:t>
      </w:r>
    </w:p>
    <w:p w14:paraId="630A4B6C" w14:textId="77777777" w:rsidR="006409CE" w:rsidRPr="007B7853" w:rsidRDefault="006409CE" w:rsidP="007B7853">
      <w:pPr>
        <w:spacing w:line="360" w:lineRule="auto"/>
        <w:rPr>
          <w:lang w:val="es-DO"/>
        </w:rPr>
      </w:pPr>
    </w:p>
    <w:p w14:paraId="71DFF948" w14:textId="4B47A1C9" w:rsidR="00E52ED4" w:rsidRDefault="0058691A" w:rsidP="006409CE">
      <w:pPr>
        <w:pStyle w:val="paragraph"/>
        <w:spacing w:before="0" w:beforeAutospacing="0" w:after="0" w:afterAutospacing="0" w:line="360" w:lineRule="auto"/>
        <w:ind w:left="720" w:hanging="720"/>
        <w:jc w:val="center"/>
        <w:textAlignment w:val="baseline"/>
        <w:rPr>
          <w:sz w:val="18"/>
          <w:szCs w:val="18"/>
        </w:rPr>
      </w:pPr>
      <w:r>
        <w:rPr>
          <w:noProof/>
          <w:sz w:val="18"/>
          <w:szCs w:val="18"/>
        </w:rPr>
        <w:drawing>
          <wp:inline distT="0" distB="0" distL="0" distR="0" wp14:anchorId="7C4E6B4F" wp14:editId="061E5085">
            <wp:extent cx="5025390" cy="2623820"/>
            <wp:effectExtent l="0" t="0" r="3810" b="5080"/>
            <wp:docPr id="1636385635" name="Imagen 1636385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25390" cy="2623820"/>
                    </a:xfrm>
                    <a:prstGeom prst="rect">
                      <a:avLst/>
                    </a:prstGeom>
                    <a:noFill/>
                    <a:ln>
                      <a:noFill/>
                    </a:ln>
                  </pic:spPr>
                </pic:pic>
              </a:graphicData>
            </a:graphic>
          </wp:inline>
        </w:drawing>
      </w:r>
    </w:p>
    <w:p w14:paraId="3AD00763" w14:textId="77777777" w:rsidR="000D6CBF" w:rsidRDefault="000D6CBF" w:rsidP="006B204A">
      <w:pPr>
        <w:pStyle w:val="paragraph"/>
        <w:spacing w:before="0" w:beforeAutospacing="0" w:after="0" w:afterAutospacing="0" w:line="360" w:lineRule="auto"/>
        <w:jc w:val="both"/>
        <w:textAlignment w:val="baseline"/>
        <w:rPr>
          <w:sz w:val="18"/>
          <w:szCs w:val="18"/>
        </w:rPr>
      </w:pPr>
    </w:p>
    <w:p w14:paraId="7FDE4832" w14:textId="3C83E9E8" w:rsidR="00217269" w:rsidRPr="000C6843" w:rsidRDefault="000C6843" w:rsidP="000C6843">
      <w:pPr>
        <w:spacing w:line="360" w:lineRule="auto"/>
        <w:jc w:val="center"/>
        <w:rPr>
          <w:lang w:val="es-DO"/>
        </w:rPr>
      </w:pPr>
      <w:r w:rsidRPr="007B7853">
        <w:rPr>
          <w:b/>
          <w:bCs/>
          <w:lang w:val="es-DO"/>
        </w:rPr>
        <w:t>Fuente</w:t>
      </w:r>
      <w:r w:rsidRPr="00C865B6">
        <w:rPr>
          <w:lang w:val="es-DO"/>
        </w:rPr>
        <w:t xml:space="preserve">: </w:t>
      </w:r>
      <w:r>
        <w:rPr>
          <w:lang w:val="es-DO"/>
        </w:rPr>
        <w:t>Programa de Instituciones Financiera Intervenidas y en Liquidación (IFIL)</w:t>
      </w:r>
      <w:r w:rsidRPr="007B7853">
        <w:rPr>
          <w:lang w:val="es-DO"/>
        </w:rPr>
        <w:t>. Superintendencia de Bancos de la República Dominicana, 202</w:t>
      </w:r>
      <w:r>
        <w:rPr>
          <w:lang w:val="es-DO"/>
        </w:rPr>
        <w:t>3.</w:t>
      </w:r>
    </w:p>
    <w:p w14:paraId="0EF4B196" w14:textId="6227ADBE" w:rsidR="00217269" w:rsidRPr="00C865B6" w:rsidRDefault="00217269" w:rsidP="00217269">
      <w:pPr>
        <w:spacing w:after="0" w:line="240" w:lineRule="auto"/>
        <w:jc w:val="center"/>
        <w:rPr>
          <w:b/>
          <w:bCs/>
          <w:lang w:val="es-DO"/>
        </w:rPr>
      </w:pPr>
      <w:r w:rsidRPr="00C865B6">
        <w:rPr>
          <w:b/>
          <w:bCs/>
          <w:lang w:val="es-DO"/>
        </w:rPr>
        <w:lastRenderedPageBreak/>
        <w:t xml:space="preserve">Anexo </w:t>
      </w:r>
      <w:r>
        <w:rPr>
          <w:b/>
          <w:bCs/>
          <w:lang w:val="es-DO"/>
        </w:rPr>
        <w:t>4</w:t>
      </w:r>
      <w:r w:rsidRPr="00C865B6">
        <w:rPr>
          <w:b/>
          <w:bCs/>
          <w:lang w:val="es-DO"/>
        </w:rPr>
        <w:t xml:space="preserve">. </w:t>
      </w:r>
      <w:r>
        <w:rPr>
          <w:b/>
          <w:bCs/>
          <w:lang w:val="es-DO"/>
        </w:rPr>
        <w:t xml:space="preserve">Gráfico – </w:t>
      </w:r>
      <w:r w:rsidR="00EC7BBB" w:rsidRPr="00EC7BBB">
        <w:rPr>
          <w:b/>
          <w:bCs/>
          <w:lang w:val="es-DO"/>
        </w:rPr>
        <w:t xml:space="preserve">Matriz </w:t>
      </w:r>
      <w:r w:rsidR="001B42AF">
        <w:rPr>
          <w:b/>
          <w:bCs/>
          <w:lang w:val="es-DO"/>
        </w:rPr>
        <w:t>d</w:t>
      </w:r>
      <w:r w:rsidR="00EC7BBB" w:rsidRPr="00EC7BBB">
        <w:rPr>
          <w:b/>
          <w:bCs/>
          <w:lang w:val="es-DO"/>
        </w:rPr>
        <w:t xml:space="preserve">e Principales Indicadores </w:t>
      </w:r>
      <w:r w:rsidR="00714A54">
        <w:rPr>
          <w:b/>
          <w:bCs/>
          <w:lang w:val="es-DO"/>
        </w:rPr>
        <w:t>d</w:t>
      </w:r>
      <w:r w:rsidR="00EC7BBB" w:rsidRPr="00EC7BBB">
        <w:rPr>
          <w:b/>
          <w:bCs/>
          <w:lang w:val="es-DO"/>
        </w:rPr>
        <w:t>el Plan Operativo Anual (POA)</w:t>
      </w:r>
    </w:p>
    <w:p w14:paraId="510DCEE0" w14:textId="77777777" w:rsidR="00217269" w:rsidRDefault="00217269" w:rsidP="006B204A">
      <w:pPr>
        <w:pStyle w:val="paragraph"/>
        <w:spacing w:before="0" w:beforeAutospacing="0" w:after="0" w:afterAutospacing="0" w:line="360" w:lineRule="auto"/>
        <w:jc w:val="both"/>
        <w:textAlignment w:val="baseline"/>
        <w:rPr>
          <w:sz w:val="18"/>
          <w:szCs w:val="18"/>
        </w:rPr>
      </w:pPr>
    </w:p>
    <w:p w14:paraId="774FB38E" w14:textId="77777777" w:rsidR="00757CDC" w:rsidRDefault="00757CDC" w:rsidP="006B204A">
      <w:pPr>
        <w:pStyle w:val="paragraph"/>
        <w:spacing w:before="0" w:beforeAutospacing="0" w:after="0" w:afterAutospacing="0" w:line="360" w:lineRule="auto"/>
        <w:jc w:val="both"/>
        <w:textAlignment w:val="baseline"/>
        <w:rPr>
          <w:sz w:val="18"/>
          <w:szCs w:val="18"/>
        </w:rPr>
      </w:pPr>
    </w:p>
    <w:tbl>
      <w:tblPr>
        <w:tblpPr w:leftFromText="141" w:rightFromText="141" w:vertAnchor="text" w:tblpY="1"/>
        <w:tblOverlap w:val="never"/>
        <w:tblW w:w="0" w:type="auto"/>
        <w:tblCellMar>
          <w:left w:w="70" w:type="dxa"/>
          <w:right w:w="70" w:type="dxa"/>
        </w:tblCellMar>
        <w:tblLook w:val="04A0" w:firstRow="1" w:lastRow="0" w:firstColumn="1" w:lastColumn="0" w:noHBand="0" w:noVBand="1"/>
      </w:tblPr>
      <w:tblGrid>
        <w:gridCol w:w="378"/>
        <w:gridCol w:w="1341"/>
        <w:gridCol w:w="1280"/>
        <w:gridCol w:w="1159"/>
        <w:gridCol w:w="924"/>
        <w:gridCol w:w="513"/>
        <w:gridCol w:w="506"/>
        <w:gridCol w:w="872"/>
        <w:gridCol w:w="937"/>
      </w:tblGrid>
      <w:tr w:rsidR="00106EFB" w:rsidRPr="00106EFB" w14:paraId="30C24D49" w14:textId="77777777" w:rsidTr="00860016">
        <w:trPr>
          <w:trHeight w:val="930"/>
          <w:tblHeader/>
        </w:trPr>
        <w:tc>
          <w:tcPr>
            <w:tcW w:w="505" w:type="dxa"/>
            <w:tcBorders>
              <w:top w:val="single" w:sz="4" w:space="0" w:color="auto"/>
              <w:left w:val="single" w:sz="4" w:space="0" w:color="auto"/>
              <w:bottom w:val="single" w:sz="4" w:space="0" w:color="auto"/>
              <w:right w:val="single" w:sz="4" w:space="0" w:color="auto"/>
            </w:tcBorders>
            <w:shd w:val="clear" w:color="auto" w:fill="003876"/>
            <w:vAlign w:val="center"/>
            <w:hideMark/>
          </w:tcPr>
          <w:p w14:paraId="725970A7" w14:textId="77777777" w:rsidR="00106EFB" w:rsidRPr="00106EFB" w:rsidRDefault="00106EFB" w:rsidP="00860016">
            <w:pPr>
              <w:spacing w:after="0" w:line="240" w:lineRule="auto"/>
              <w:jc w:val="center"/>
              <w:rPr>
                <w:rFonts w:eastAsia="Times New Roman"/>
                <w:b/>
                <w:bCs/>
                <w:color w:val="FFFFFF"/>
                <w:spacing w:val="0"/>
                <w:sz w:val="18"/>
                <w:szCs w:val="18"/>
                <w:lang w:val="es-DO" w:eastAsia="es-DO"/>
              </w:rPr>
            </w:pPr>
            <w:r w:rsidRPr="00106EFB">
              <w:rPr>
                <w:rFonts w:eastAsia="Times New Roman"/>
                <w:b/>
                <w:bCs/>
                <w:color w:val="FFFFFF"/>
                <w:spacing w:val="0"/>
                <w:sz w:val="18"/>
                <w:szCs w:val="18"/>
                <w:lang w:val="es-DO" w:eastAsia="es-DO"/>
              </w:rPr>
              <w:t>NO.</w:t>
            </w:r>
          </w:p>
        </w:tc>
        <w:tc>
          <w:tcPr>
            <w:tcW w:w="1319" w:type="dxa"/>
            <w:tcBorders>
              <w:top w:val="single" w:sz="4" w:space="0" w:color="auto"/>
              <w:left w:val="nil"/>
              <w:bottom w:val="single" w:sz="4" w:space="0" w:color="auto"/>
              <w:right w:val="single" w:sz="4" w:space="0" w:color="auto"/>
            </w:tcBorders>
            <w:shd w:val="clear" w:color="auto" w:fill="003876"/>
            <w:vAlign w:val="center"/>
            <w:hideMark/>
          </w:tcPr>
          <w:p w14:paraId="6C43A124" w14:textId="77777777" w:rsidR="00106EFB" w:rsidRPr="00106EFB" w:rsidRDefault="00106EFB" w:rsidP="00860016">
            <w:pPr>
              <w:spacing w:after="0" w:line="240" w:lineRule="auto"/>
              <w:jc w:val="center"/>
              <w:rPr>
                <w:rFonts w:eastAsia="Times New Roman"/>
                <w:b/>
                <w:bCs/>
                <w:color w:val="FFFFFF"/>
                <w:spacing w:val="0"/>
                <w:sz w:val="18"/>
                <w:szCs w:val="18"/>
                <w:lang w:val="es-DO" w:eastAsia="es-DO"/>
              </w:rPr>
            </w:pPr>
            <w:r w:rsidRPr="00106EFB">
              <w:rPr>
                <w:rFonts w:eastAsia="Times New Roman"/>
                <w:b/>
                <w:bCs/>
                <w:color w:val="FFFFFF"/>
                <w:spacing w:val="0"/>
                <w:sz w:val="18"/>
                <w:szCs w:val="18"/>
                <w:lang w:val="es-DO" w:eastAsia="es-DO"/>
              </w:rPr>
              <w:t>ÁREA</w:t>
            </w:r>
          </w:p>
        </w:tc>
        <w:tc>
          <w:tcPr>
            <w:tcW w:w="0" w:type="auto"/>
            <w:tcBorders>
              <w:top w:val="single" w:sz="4" w:space="0" w:color="auto"/>
              <w:left w:val="nil"/>
              <w:bottom w:val="single" w:sz="4" w:space="0" w:color="auto"/>
              <w:right w:val="single" w:sz="4" w:space="0" w:color="auto"/>
            </w:tcBorders>
            <w:shd w:val="clear" w:color="auto" w:fill="003876"/>
            <w:vAlign w:val="center"/>
            <w:hideMark/>
          </w:tcPr>
          <w:p w14:paraId="7989C043" w14:textId="77777777" w:rsidR="00106EFB" w:rsidRPr="00106EFB" w:rsidRDefault="00106EFB" w:rsidP="00860016">
            <w:pPr>
              <w:spacing w:after="0" w:line="240" w:lineRule="auto"/>
              <w:jc w:val="center"/>
              <w:rPr>
                <w:rFonts w:eastAsia="Times New Roman"/>
                <w:b/>
                <w:bCs/>
                <w:color w:val="FFFFFF"/>
                <w:spacing w:val="0"/>
                <w:sz w:val="18"/>
                <w:szCs w:val="18"/>
                <w:lang w:val="es-DO" w:eastAsia="es-DO"/>
              </w:rPr>
            </w:pPr>
            <w:r w:rsidRPr="00106EFB">
              <w:rPr>
                <w:rFonts w:eastAsia="Times New Roman"/>
                <w:b/>
                <w:bCs/>
                <w:color w:val="FFFFFF"/>
                <w:spacing w:val="0"/>
                <w:sz w:val="18"/>
                <w:szCs w:val="18"/>
                <w:lang w:val="es-DO" w:eastAsia="es-DO"/>
              </w:rPr>
              <w:t>PRODUCTO</w:t>
            </w:r>
          </w:p>
        </w:tc>
        <w:tc>
          <w:tcPr>
            <w:tcW w:w="0" w:type="auto"/>
            <w:tcBorders>
              <w:top w:val="single" w:sz="4" w:space="0" w:color="auto"/>
              <w:left w:val="nil"/>
              <w:bottom w:val="single" w:sz="4" w:space="0" w:color="auto"/>
              <w:right w:val="single" w:sz="4" w:space="0" w:color="auto"/>
            </w:tcBorders>
            <w:shd w:val="clear" w:color="auto" w:fill="003876"/>
            <w:vAlign w:val="center"/>
            <w:hideMark/>
          </w:tcPr>
          <w:p w14:paraId="34A1B09E" w14:textId="77777777" w:rsidR="00106EFB" w:rsidRPr="00106EFB" w:rsidRDefault="00106EFB" w:rsidP="00860016">
            <w:pPr>
              <w:spacing w:after="0" w:line="240" w:lineRule="auto"/>
              <w:jc w:val="center"/>
              <w:rPr>
                <w:rFonts w:eastAsia="Times New Roman"/>
                <w:b/>
                <w:bCs/>
                <w:color w:val="FFFFFF"/>
                <w:spacing w:val="0"/>
                <w:sz w:val="18"/>
                <w:szCs w:val="18"/>
                <w:lang w:val="es-DO" w:eastAsia="es-DO"/>
              </w:rPr>
            </w:pPr>
            <w:r w:rsidRPr="00106EFB">
              <w:rPr>
                <w:rFonts w:eastAsia="Times New Roman"/>
                <w:b/>
                <w:bCs/>
                <w:color w:val="FFFFFF"/>
                <w:spacing w:val="0"/>
                <w:sz w:val="18"/>
                <w:szCs w:val="18"/>
                <w:lang w:val="es-DO" w:eastAsia="es-DO"/>
              </w:rPr>
              <w:t>NOMBRE DEL INDICADOR</w:t>
            </w:r>
          </w:p>
        </w:tc>
        <w:tc>
          <w:tcPr>
            <w:tcW w:w="0" w:type="auto"/>
            <w:tcBorders>
              <w:top w:val="single" w:sz="4" w:space="0" w:color="auto"/>
              <w:left w:val="nil"/>
              <w:bottom w:val="single" w:sz="4" w:space="0" w:color="auto"/>
              <w:right w:val="single" w:sz="4" w:space="0" w:color="auto"/>
            </w:tcBorders>
            <w:shd w:val="clear" w:color="auto" w:fill="003876"/>
            <w:vAlign w:val="center"/>
            <w:hideMark/>
          </w:tcPr>
          <w:p w14:paraId="3A0174FE" w14:textId="77777777" w:rsidR="00106EFB" w:rsidRPr="00106EFB" w:rsidRDefault="00106EFB" w:rsidP="00860016">
            <w:pPr>
              <w:spacing w:after="0" w:line="240" w:lineRule="auto"/>
              <w:jc w:val="center"/>
              <w:rPr>
                <w:rFonts w:eastAsia="Times New Roman"/>
                <w:b/>
                <w:bCs/>
                <w:color w:val="FFFFFF"/>
                <w:spacing w:val="0"/>
                <w:sz w:val="18"/>
                <w:szCs w:val="18"/>
                <w:lang w:val="es-DO" w:eastAsia="es-DO"/>
              </w:rPr>
            </w:pPr>
            <w:r w:rsidRPr="00106EFB">
              <w:rPr>
                <w:rFonts w:eastAsia="Times New Roman"/>
                <w:b/>
                <w:bCs/>
                <w:color w:val="FFFFFF"/>
                <w:spacing w:val="0"/>
                <w:sz w:val="18"/>
                <w:szCs w:val="18"/>
                <w:lang w:val="es-DO" w:eastAsia="es-DO"/>
              </w:rPr>
              <w:t>FRECUENCIA</w:t>
            </w:r>
          </w:p>
        </w:tc>
        <w:tc>
          <w:tcPr>
            <w:tcW w:w="0" w:type="auto"/>
            <w:tcBorders>
              <w:top w:val="single" w:sz="4" w:space="0" w:color="auto"/>
              <w:left w:val="nil"/>
              <w:bottom w:val="single" w:sz="4" w:space="0" w:color="auto"/>
              <w:right w:val="single" w:sz="4" w:space="0" w:color="auto"/>
            </w:tcBorders>
            <w:shd w:val="clear" w:color="auto" w:fill="003876"/>
            <w:vAlign w:val="center"/>
            <w:hideMark/>
          </w:tcPr>
          <w:p w14:paraId="64F1F4B6" w14:textId="77777777" w:rsidR="00106EFB" w:rsidRPr="00106EFB" w:rsidRDefault="00106EFB" w:rsidP="00860016">
            <w:pPr>
              <w:spacing w:after="0" w:line="240" w:lineRule="auto"/>
              <w:jc w:val="center"/>
              <w:rPr>
                <w:rFonts w:eastAsia="Times New Roman"/>
                <w:b/>
                <w:bCs/>
                <w:color w:val="FFFFFF"/>
                <w:spacing w:val="0"/>
                <w:sz w:val="18"/>
                <w:szCs w:val="18"/>
                <w:lang w:val="es-DO" w:eastAsia="es-DO"/>
              </w:rPr>
            </w:pPr>
            <w:r w:rsidRPr="00106EFB">
              <w:rPr>
                <w:rFonts w:eastAsia="Times New Roman"/>
                <w:b/>
                <w:bCs/>
                <w:color w:val="FFFFFF"/>
                <w:spacing w:val="0"/>
                <w:sz w:val="18"/>
                <w:szCs w:val="18"/>
                <w:lang w:val="es-DO" w:eastAsia="es-DO"/>
              </w:rPr>
              <w:t>LÍNEA BASE</w:t>
            </w:r>
          </w:p>
        </w:tc>
        <w:tc>
          <w:tcPr>
            <w:tcW w:w="0" w:type="auto"/>
            <w:tcBorders>
              <w:top w:val="single" w:sz="4" w:space="0" w:color="auto"/>
              <w:left w:val="nil"/>
              <w:bottom w:val="single" w:sz="4" w:space="0" w:color="auto"/>
              <w:right w:val="single" w:sz="4" w:space="0" w:color="auto"/>
            </w:tcBorders>
            <w:shd w:val="clear" w:color="auto" w:fill="003876"/>
            <w:vAlign w:val="center"/>
            <w:hideMark/>
          </w:tcPr>
          <w:p w14:paraId="3145CC0D" w14:textId="77777777" w:rsidR="00106EFB" w:rsidRPr="00106EFB" w:rsidRDefault="00106EFB" w:rsidP="00860016">
            <w:pPr>
              <w:spacing w:after="0" w:line="240" w:lineRule="auto"/>
              <w:jc w:val="center"/>
              <w:rPr>
                <w:rFonts w:eastAsia="Times New Roman"/>
                <w:b/>
                <w:bCs/>
                <w:color w:val="FFFFFF"/>
                <w:spacing w:val="0"/>
                <w:sz w:val="18"/>
                <w:szCs w:val="18"/>
                <w:lang w:val="es-DO" w:eastAsia="es-DO"/>
              </w:rPr>
            </w:pPr>
            <w:r w:rsidRPr="00106EFB">
              <w:rPr>
                <w:rFonts w:eastAsia="Times New Roman"/>
                <w:b/>
                <w:bCs/>
                <w:color w:val="FFFFFF"/>
                <w:spacing w:val="0"/>
                <w:sz w:val="18"/>
                <w:szCs w:val="18"/>
                <w:lang w:val="es-DO" w:eastAsia="es-DO"/>
              </w:rPr>
              <w:t>META</w:t>
            </w:r>
          </w:p>
        </w:tc>
        <w:tc>
          <w:tcPr>
            <w:tcW w:w="0" w:type="auto"/>
            <w:tcBorders>
              <w:top w:val="single" w:sz="4" w:space="0" w:color="auto"/>
              <w:left w:val="nil"/>
              <w:bottom w:val="single" w:sz="4" w:space="0" w:color="auto"/>
              <w:right w:val="single" w:sz="4" w:space="0" w:color="auto"/>
            </w:tcBorders>
            <w:shd w:val="clear" w:color="auto" w:fill="003876"/>
            <w:vAlign w:val="center"/>
            <w:hideMark/>
          </w:tcPr>
          <w:p w14:paraId="5DB1D1B5" w14:textId="77777777" w:rsidR="00106EFB" w:rsidRPr="00106EFB" w:rsidRDefault="00106EFB" w:rsidP="00860016">
            <w:pPr>
              <w:spacing w:after="0" w:line="240" w:lineRule="auto"/>
              <w:jc w:val="center"/>
              <w:rPr>
                <w:rFonts w:eastAsia="Times New Roman"/>
                <w:b/>
                <w:bCs/>
                <w:color w:val="FFFFFF"/>
                <w:spacing w:val="0"/>
                <w:sz w:val="18"/>
                <w:szCs w:val="18"/>
                <w:lang w:val="es-DO" w:eastAsia="es-DO"/>
              </w:rPr>
            </w:pPr>
            <w:r w:rsidRPr="00106EFB">
              <w:rPr>
                <w:rFonts w:eastAsia="Times New Roman"/>
                <w:b/>
                <w:bCs/>
                <w:color w:val="FFFFFF"/>
                <w:spacing w:val="0"/>
                <w:sz w:val="18"/>
                <w:szCs w:val="18"/>
                <w:lang w:val="es-DO" w:eastAsia="es-DO"/>
              </w:rPr>
              <w:t>RESULTADO</w:t>
            </w:r>
          </w:p>
        </w:tc>
        <w:tc>
          <w:tcPr>
            <w:tcW w:w="0" w:type="auto"/>
            <w:tcBorders>
              <w:top w:val="single" w:sz="4" w:space="0" w:color="auto"/>
              <w:left w:val="nil"/>
              <w:bottom w:val="single" w:sz="4" w:space="0" w:color="auto"/>
              <w:right w:val="single" w:sz="4" w:space="0" w:color="auto"/>
            </w:tcBorders>
            <w:shd w:val="clear" w:color="auto" w:fill="003876"/>
            <w:vAlign w:val="center"/>
            <w:hideMark/>
          </w:tcPr>
          <w:p w14:paraId="09C6F56F" w14:textId="77777777" w:rsidR="00106EFB" w:rsidRPr="00106EFB" w:rsidRDefault="00106EFB" w:rsidP="00860016">
            <w:pPr>
              <w:spacing w:after="0" w:line="240" w:lineRule="auto"/>
              <w:jc w:val="center"/>
              <w:rPr>
                <w:rFonts w:eastAsia="Times New Roman"/>
                <w:b/>
                <w:bCs/>
                <w:color w:val="FFFFFF"/>
                <w:spacing w:val="0"/>
                <w:sz w:val="18"/>
                <w:szCs w:val="18"/>
                <w:lang w:val="es-DO" w:eastAsia="es-DO"/>
              </w:rPr>
            </w:pPr>
            <w:r w:rsidRPr="00106EFB">
              <w:rPr>
                <w:rFonts w:eastAsia="Times New Roman"/>
                <w:b/>
                <w:bCs/>
                <w:color w:val="FFFFFF"/>
                <w:spacing w:val="0"/>
                <w:sz w:val="18"/>
                <w:szCs w:val="18"/>
                <w:lang w:val="es-DO" w:eastAsia="es-DO"/>
              </w:rPr>
              <w:t xml:space="preserve">PORCENTAJE DE AVANCE </w:t>
            </w:r>
          </w:p>
        </w:tc>
      </w:tr>
      <w:tr w:rsidR="00106EFB" w:rsidRPr="00106EFB" w14:paraId="76FC5436" w14:textId="77777777" w:rsidTr="00860016">
        <w:trPr>
          <w:trHeight w:val="7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291BB892"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w:t>
            </w:r>
          </w:p>
        </w:tc>
        <w:tc>
          <w:tcPr>
            <w:tcW w:w="1319" w:type="dxa"/>
            <w:tcBorders>
              <w:top w:val="nil"/>
              <w:left w:val="nil"/>
              <w:bottom w:val="single" w:sz="4" w:space="0" w:color="auto"/>
              <w:right w:val="single" w:sz="4" w:space="0" w:color="auto"/>
            </w:tcBorders>
            <w:shd w:val="clear" w:color="auto" w:fill="auto"/>
            <w:noWrap/>
            <w:vAlign w:val="center"/>
            <w:hideMark/>
          </w:tcPr>
          <w:p w14:paraId="278484B8"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Regulación</w:t>
            </w:r>
          </w:p>
        </w:tc>
        <w:tc>
          <w:tcPr>
            <w:tcW w:w="0" w:type="auto"/>
            <w:tcBorders>
              <w:top w:val="nil"/>
              <w:left w:val="nil"/>
              <w:bottom w:val="single" w:sz="4" w:space="0" w:color="auto"/>
              <w:right w:val="single" w:sz="4" w:space="0" w:color="auto"/>
            </w:tcBorders>
            <w:shd w:val="clear" w:color="auto" w:fill="auto"/>
            <w:vAlign w:val="center"/>
            <w:hideMark/>
          </w:tcPr>
          <w:p w14:paraId="21E44BDB"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Desarrollar el Plan de Acción para Implementar las Recomendaciones para Adopción de las NIIF</w:t>
            </w:r>
          </w:p>
        </w:tc>
        <w:tc>
          <w:tcPr>
            <w:tcW w:w="0" w:type="auto"/>
            <w:tcBorders>
              <w:top w:val="nil"/>
              <w:left w:val="nil"/>
              <w:bottom w:val="single" w:sz="4" w:space="0" w:color="auto"/>
              <w:right w:val="single" w:sz="4" w:space="0" w:color="auto"/>
            </w:tcBorders>
            <w:shd w:val="clear" w:color="auto" w:fill="auto"/>
            <w:vAlign w:val="center"/>
            <w:hideMark/>
          </w:tcPr>
          <w:p w14:paraId="4E3ECF3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avance </w:t>
            </w:r>
            <w:r w:rsidRPr="00106EFB">
              <w:rPr>
                <w:rFonts w:eastAsia="Times New Roman"/>
                <w:spacing w:val="0"/>
                <w:lang w:val="es-DO" w:eastAsia="es-DO"/>
              </w:rPr>
              <w:br/>
              <w:t>del proyecto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5A9FABAC"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3A89BEA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5163C5FD"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7BAF530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75%</w:t>
            </w:r>
          </w:p>
        </w:tc>
        <w:tc>
          <w:tcPr>
            <w:tcW w:w="0" w:type="auto"/>
            <w:tcBorders>
              <w:top w:val="nil"/>
              <w:left w:val="nil"/>
              <w:bottom w:val="single" w:sz="4" w:space="0" w:color="auto"/>
              <w:right w:val="single" w:sz="4" w:space="0" w:color="auto"/>
            </w:tcBorders>
            <w:shd w:val="clear" w:color="auto" w:fill="auto"/>
            <w:noWrap/>
            <w:vAlign w:val="center"/>
            <w:hideMark/>
          </w:tcPr>
          <w:p w14:paraId="1010FE6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75%</w:t>
            </w:r>
          </w:p>
        </w:tc>
      </w:tr>
      <w:tr w:rsidR="00106EFB" w:rsidRPr="00106EFB" w14:paraId="68A148E0" w14:textId="77777777" w:rsidTr="00860016">
        <w:trPr>
          <w:trHeight w:val="7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49378E8F"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2</w:t>
            </w:r>
          </w:p>
        </w:tc>
        <w:tc>
          <w:tcPr>
            <w:tcW w:w="1319" w:type="dxa"/>
            <w:tcBorders>
              <w:top w:val="nil"/>
              <w:left w:val="nil"/>
              <w:bottom w:val="single" w:sz="4" w:space="0" w:color="auto"/>
              <w:right w:val="single" w:sz="4" w:space="0" w:color="auto"/>
            </w:tcBorders>
            <w:shd w:val="clear" w:color="auto" w:fill="auto"/>
            <w:noWrap/>
            <w:vAlign w:val="center"/>
            <w:hideMark/>
          </w:tcPr>
          <w:p w14:paraId="7364D00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Estudios Económicos</w:t>
            </w:r>
          </w:p>
        </w:tc>
        <w:tc>
          <w:tcPr>
            <w:tcW w:w="0" w:type="auto"/>
            <w:tcBorders>
              <w:top w:val="nil"/>
              <w:left w:val="nil"/>
              <w:bottom w:val="single" w:sz="4" w:space="0" w:color="auto"/>
              <w:right w:val="single" w:sz="4" w:space="0" w:color="auto"/>
            </w:tcBorders>
            <w:shd w:val="clear" w:color="auto" w:fill="auto"/>
            <w:vAlign w:val="center"/>
            <w:hideMark/>
          </w:tcPr>
          <w:p w14:paraId="7D8C77D9"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Implementación </w:t>
            </w:r>
            <w:r w:rsidRPr="00106EFB">
              <w:rPr>
                <w:rFonts w:eastAsia="Times New Roman"/>
                <w:spacing w:val="0"/>
                <w:lang w:val="es-DO" w:eastAsia="es-DO"/>
              </w:rPr>
              <w:br/>
              <w:t xml:space="preserve">de Nuevas Funcionalidades </w:t>
            </w:r>
            <w:r w:rsidRPr="00106EFB">
              <w:rPr>
                <w:rFonts w:eastAsia="Times New Roman"/>
                <w:spacing w:val="0"/>
                <w:lang w:val="es-DO" w:eastAsia="es-DO"/>
              </w:rPr>
              <w:br/>
              <w:t>Analíticas y Módulo de Alerta</w:t>
            </w:r>
          </w:p>
        </w:tc>
        <w:tc>
          <w:tcPr>
            <w:tcW w:w="0" w:type="auto"/>
            <w:tcBorders>
              <w:top w:val="nil"/>
              <w:left w:val="nil"/>
              <w:bottom w:val="single" w:sz="4" w:space="0" w:color="auto"/>
              <w:right w:val="single" w:sz="4" w:space="0" w:color="auto"/>
            </w:tcBorders>
            <w:shd w:val="clear" w:color="auto" w:fill="auto"/>
            <w:vAlign w:val="center"/>
            <w:hideMark/>
          </w:tcPr>
          <w:p w14:paraId="10DEB6BF"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w:t>
            </w:r>
            <w:r w:rsidRPr="00106EFB">
              <w:rPr>
                <w:rFonts w:eastAsia="Times New Roman"/>
                <w:spacing w:val="0"/>
                <w:lang w:val="es-DO" w:eastAsia="es-DO"/>
              </w:rPr>
              <w:br/>
              <w:t xml:space="preserve">implementación según </w:t>
            </w:r>
            <w:r w:rsidRPr="00106EFB">
              <w:rPr>
                <w:rFonts w:eastAsia="Times New Roman"/>
                <w:spacing w:val="0"/>
                <w:lang w:val="es-DO" w:eastAsia="es-DO"/>
              </w:rPr>
              <w:br/>
              <w:t>hitos</w:t>
            </w:r>
          </w:p>
        </w:tc>
        <w:tc>
          <w:tcPr>
            <w:tcW w:w="0" w:type="auto"/>
            <w:tcBorders>
              <w:top w:val="nil"/>
              <w:left w:val="nil"/>
              <w:bottom w:val="single" w:sz="4" w:space="0" w:color="auto"/>
              <w:right w:val="single" w:sz="4" w:space="0" w:color="auto"/>
            </w:tcBorders>
            <w:shd w:val="clear" w:color="auto" w:fill="auto"/>
            <w:noWrap/>
            <w:vAlign w:val="center"/>
            <w:hideMark/>
          </w:tcPr>
          <w:p w14:paraId="4B157B0D"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121E8E5F"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3948948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3076B37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54D0C84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r>
      <w:tr w:rsidR="00106EFB" w:rsidRPr="00106EFB" w14:paraId="13265933" w14:textId="77777777" w:rsidTr="00860016">
        <w:trPr>
          <w:trHeight w:val="7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0E75B2D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3</w:t>
            </w:r>
          </w:p>
        </w:tc>
        <w:tc>
          <w:tcPr>
            <w:tcW w:w="1319" w:type="dxa"/>
            <w:tcBorders>
              <w:top w:val="nil"/>
              <w:left w:val="nil"/>
              <w:bottom w:val="single" w:sz="4" w:space="0" w:color="auto"/>
              <w:right w:val="single" w:sz="4" w:space="0" w:color="auto"/>
            </w:tcBorders>
            <w:shd w:val="clear" w:color="auto" w:fill="auto"/>
            <w:noWrap/>
            <w:vAlign w:val="center"/>
            <w:hideMark/>
          </w:tcPr>
          <w:p w14:paraId="545A801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Supervisión de Entidades Sistémicas</w:t>
            </w:r>
          </w:p>
        </w:tc>
        <w:tc>
          <w:tcPr>
            <w:tcW w:w="0" w:type="auto"/>
            <w:tcBorders>
              <w:top w:val="nil"/>
              <w:left w:val="nil"/>
              <w:bottom w:val="single" w:sz="4" w:space="0" w:color="auto"/>
              <w:right w:val="single" w:sz="4" w:space="0" w:color="auto"/>
            </w:tcBorders>
            <w:shd w:val="clear" w:color="auto" w:fill="auto"/>
            <w:vAlign w:val="center"/>
            <w:hideMark/>
          </w:tcPr>
          <w:p w14:paraId="2EF04BEB"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Supervisión Entidades </w:t>
            </w:r>
            <w:r w:rsidRPr="00106EFB">
              <w:rPr>
                <w:rFonts w:eastAsia="Times New Roman"/>
                <w:spacing w:val="0"/>
                <w:lang w:val="es-DO" w:eastAsia="es-DO"/>
              </w:rPr>
              <w:br/>
              <w:t xml:space="preserve">Sistémicas con Capital Extranjero - </w:t>
            </w:r>
            <w:r w:rsidRPr="00106EFB">
              <w:rPr>
                <w:rFonts w:eastAsia="Times New Roman"/>
                <w:spacing w:val="0"/>
                <w:lang w:val="es-DO" w:eastAsia="es-DO"/>
              </w:rPr>
              <w:br/>
              <w:t>Canasta 5</w:t>
            </w:r>
          </w:p>
        </w:tc>
        <w:tc>
          <w:tcPr>
            <w:tcW w:w="0" w:type="auto"/>
            <w:tcBorders>
              <w:top w:val="nil"/>
              <w:left w:val="nil"/>
              <w:bottom w:val="single" w:sz="4" w:space="0" w:color="auto"/>
              <w:right w:val="single" w:sz="4" w:space="0" w:color="auto"/>
            </w:tcBorders>
            <w:shd w:val="clear" w:color="auto" w:fill="auto"/>
            <w:vAlign w:val="center"/>
            <w:hideMark/>
          </w:tcPr>
          <w:p w14:paraId="539D493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avance en </w:t>
            </w:r>
            <w:r w:rsidRPr="00106EFB">
              <w:rPr>
                <w:rFonts w:eastAsia="Times New Roman"/>
                <w:spacing w:val="0"/>
                <w:lang w:val="es-DO" w:eastAsia="es-DO"/>
              </w:rPr>
              <w:br/>
              <w:t xml:space="preserve">supervisión según hitos </w:t>
            </w:r>
            <w:r w:rsidRPr="00106EFB">
              <w:rPr>
                <w:rFonts w:eastAsia="Times New Roman"/>
                <w:spacing w:val="0"/>
                <w:lang w:val="es-DO" w:eastAsia="es-DO"/>
              </w:rPr>
              <w:br/>
              <w:t>programados</w:t>
            </w:r>
          </w:p>
        </w:tc>
        <w:tc>
          <w:tcPr>
            <w:tcW w:w="0" w:type="auto"/>
            <w:tcBorders>
              <w:top w:val="nil"/>
              <w:left w:val="nil"/>
              <w:bottom w:val="single" w:sz="4" w:space="0" w:color="auto"/>
              <w:right w:val="single" w:sz="4" w:space="0" w:color="auto"/>
            </w:tcBorders>
            <w:shd w:val="clear" w:color="auto" w:fill="auto"/>
            <w:noWrap/>
            <w:vAlign w:val="center"/>
            <w:hideMark/>
          </w:tcPr>
          <w:p w14:paraId="540FA551"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7745ED7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50B2D9CC"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785A478A"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3A777092"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r>
      <w:tr w:rsidR="00106EFB" w:rsidRPr="00106EFB" w14:paraId="305BAB94" w14:textId="77777777" w:rsidTr="00860016">
        <w:trPr>
          <w:trHeight w:val="7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4138A9E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4</w:t>
            </w:r>
          </w:p>
        </w:tc>
        <w:tc>
          <w:tcPr>
            <w:tcW w:w="1319" w:type="dxa"/>
            <w:tcBorders>
              <w:top w:val="nil"/>
              <w:left w:val="nil"/>
              <w:bottom w:val="single" w:sz="4" w:space="0" w:color="auto"/>
              <w:right w:val="single" w:sz="4" w:space="0" w:color="auto"/>
            </w:tcBorders>
            <w:shd w:val="clear" w:color="auto" w:fill="auto"/>
            <w:noWrap/>
            <w:vAlign w:val="center"/>
            <w:hideMark/>
          </w:tcPr>
          <w:p w14:paraId="35DBF657"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Monitoreo de Riesgos</w:t>
            </w:r>
          </w:p>
        </w:tc>
        <w:tc>
          <w:tcPr>
            <w:tcW w:w="0" w:type="auto"/>
            <w:tcBorders>
              <w:top w:val="nil"/>
              <w:left w:val="nil"/>
              <w:bottom w:val="single" w:sz="4" w:space="0" w:color="auto"/>
              <w:right w:val="single" w:sz="4" w:space="0" w:color="auto"/>
            </w:tcBorders>
            <w:shd w:val="clear" w:color="auto" w:fill="auto"/>
            <w:vAlign w:val="center"/>
            <w:hideMark/>
          </w:tcPr>
          <w:p w14:paraId="52862A24"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Supervisión del Marco de </w:t>
            </w:r>
            <w:r w:rsidRPr="00106EFB">
              <w:rPr>
                <w:rFonts w:eastAsia="Times New Roman"/>
                <w:spacing w:val="0"/>
                <w:lang w:val="es-DO" w:eastAsia="es-DO"/>
              </w:rPr>
              <w:br/>
              <w:t>Gestión Integral de Riesgos de las EIF</w:t>
            </w:r>
          </w:p>
        </w:tc>
        <w:tc>
          <w:tcPr>
            <w:tcW w:w="0" w:type="auto"/>
            <w:tcBorders>
              <w:top w:val="nil"/>
              <w:left w:val="nil"/>
              <w:bottom w:val="single" w:sz="4" w:space="0" w:color="auto"/>
              <w:right w:val="single" w:sz="4" w:space="0" w:color="auto"/>
            </w:tcBorders>
            <w:shd w:val="clear" w:color="auto" w:fill="auto"/>
            <w:vAlign w:val="center"/>
            <w:hideMark/>
          </w:tcPr>
          <w:p w14:paraId="000B8C4F"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avance en </w:t>
            </w:r>
            <w:r w:rsidRPr="00106EFB">
              <w:rPr>
                <w:rFonts w:eastAsia="Times New Roman"/>
                <w:spacing w:val="0"/>
                <w:lang w:val="es-DO" w:eastAsia="es-DO"/>
              </w:rPr>
              <w:br/>
              <w:t xml:space="preserve">supervisión según hitos </w:t>
            </w:r>
            <w:r w:rsidRPr="00106EFB">
              <w:rPr>
                <w:rFonts w:eastAsia="Times New Roman"/>
                <w:spacing w:val="0"/>
                <w:lang w:val="es-DO" w:eastAsia="es-DO"/>
              </w:rPr>
              <w:br/>
              <w:t>programados</w:t>
            </w:r>
          </w:p>
        </w:tc>
        <w:tc>
          <w:tcPr>
            <w:tcW w:w="0" w:type="auto"/>
            <w:tcBorders>
              <w:top w:val="nil"/>
              <w:left w:val="nil"/>
              <w:bottom w:val="single" w:sz="4" w:space="0" w:color="auto"/>
              <w:right w:val="single" w:sz="4" w:space="0" w:color="auto"/>
            </w:tcBorders>
            <w:shd w:val="clear" w:color="auto" w:fill="auto"/>
            <w:noWrap/>
            <w:vAlign w:val="center"/>
            <w:hideMark/>
          </w:tcPr>
          <w:p w14:paraId="56127562"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1D2E23C5"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0E1F04A7"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5702241A"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082FE472"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r>
      <w:tr w:rsidR="00106EFB" w:rsidRPr="00106EFB" w14:paraId="5C14E44B" w14:textId="77777777" w:rsidTr="00860016">
        <w:trPr>
          <w:trHeight w:val="7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47D20F27"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5</w:t>
            </w:r>
          </w:p>
        </w:tc>
        <w:tc>
          <w:tcPr>
            <w:tcW w:w="1319" w:type="dxa"/>
            <w:tcBorders>
              <w:top w:val="nil"/>
              <w:left w:val="nil"/>
              <w:bottom w:val="single" w:sz="4" w:space="0" w:color="auto"/>
              <w:right w:val="single" w:sz="4" w:space="0" w:color="auto"/>
            </w:tcBorders>
            <w:shd w:val="clear" w:color="auto" w:fill="auto"/>
            <w:noWrap/>
            <w:vAlign w:val="center"/>
            <w:hideMark/>
          </w:tcPr>
          <w:p w14:paraId="609C2275"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Supervisión de </w:t>
            </w:r>
            <w:r w:rsidRPr="00106EFB">
              <w:rPr>
                <w:rFonts w:eastAsia="Times New Roman"/>
                <w:spacing w:val="0"/>
                <w:lang w:val="es-DO" w:eastAsia="es-DO"/>
              </w:rPr>
              <w:lastRenderedPageBreak/>
              <w:t xml:space="preserve">Entidades </w:t>
            </w:r>
            <w:r w:rsidRPr="00106EFB">
              <w:rPr>
                <w:rFonts w:eastAsia="Times New Roman"/>
                <w:spacing w:val="0"/>
                <w:lang w:val="es-DO" w:eastAsia="es-DO"/>
              </w:rPr>
              <w:br/>
              <w:t>Sistémicas</w:t>
            </w:r>
          </w:p>
        </w:tc>
        <w:tc>
          <w:tcPr>
            <w:tcW w:w="0" w:type="auto"/>
            <w:tcBorders>
              <w:top w:val="nil"/>
              <w:left w:val="nil"/>
              <w:bottom w:val="single" w:sz="4" w:space="0" w:color="auto"/>
              <w:right w:val="single" w:sz="4" w:space="0" w:color="auto"/>
            </w:tcBorders>
            <w:shd w:val="clear" w:color="auto" w:fill="auto"/>
            <w:vAlign w:val="center"/>
            <w:hideMark/>
          </w:tcPr>
          <w:p w14:paraId="60E2D3CB"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lastRenderedPageBreak/>
              <w:t xml:space="preserve">Supervisión de Entidades </w:t>
            </w:r>
            <w:r w:rsidRPr="00106EFB">
              <w:rPr>
                <w:rFonts w:eastAsia="Times New Roman"/>
                <w:spacing w:val="0"/>
                <w:lang w:val="es-DO" w:eastAsia="es-DO"/>
              </w:rPr>
              <w:br/>
            </w:r>
            <w:r w:rsidRPr="00106EFB">
              <w:rPr>
                <w:rFonts w:eastAsia="Times New Roman"/>
                <w:spacing w:val="0"/>
                <w:lang w:val="es-DO" w:eastAsia="es-DO"/>
              </w:rPr>
              <w:lastRenderedPageBreak/>
              <w:t>Sistémicas II</w:t>
            </w:r>
          </w:p>
        </w:tc>
        <w:tc>
          <w:tcPr>
            <w:tcW w:w="0" w:type="auto"/>
            <w:tcBorders>
              <w:top w:val="nil"/>
              <w:left w:val="nil"/>
              <w:bottom w:val="single" w:sz="4" w:space="0" w:color="auto"/>
              <w:right w:val="single" w:sz="4" w:space="0" w:color="auto"/>
            </w:tcBorders>
            <w:shd w:val="clear" w:color="auto" w:fill="auto"/>
            <w:vAlign w:val="center"/>
            <w:hideMark/>
          </w:tcPr>
          <w:p w14:paraId="78E40529"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lastRenderedPageBreak/>
              <w:t xml:space="preserve">Porcentaje de avance en </w:t>
            </w:r>
            <w:r w:rsidRPr="00106EFB">
              <w:rPr>
                <w:rFonts w:eastAsia="Times New Roman"/>
                <w:spacing w:val="0"/>
                <w:lang w:val="es-DO" w:eastAsia="es-DO"/>
              </w:rPr>
              <w:br/>
            </w:r>
            <w:r w:rsidRPr="00106EFB">
              <w:rPr>
                <w:rFonts w:eastAsia="Times New Roman"/>
                <w:spacing w:val="0"/>
                <w:lang w:val="es-DO" w:eastAsia="es-DO"/>
              </w:rPr>
              <w:lastRenderedPageBreak/>
              <w:t xml:space="preserve">supervisión según hitos </w:t>
            </w:r>
            <w:r w:rsidRPr="00106EFB">
              <w:rPr>
                <w:rFonts w:eastAsia="Times New Roman"/>
                <w:spacing w:val="0"/>
                <w:lang w:val="es-DO" w:eastAsia="es-DO"/>
              </w:rPr>
              <w:br/>
              <w:t>programados</w:t>
            </w:r>
          </w:p>
        </w:tc>
        <w:tc>
          <w:tcPr>
            <w:tcW w:w="0" w:type="auto"/>
            <w:tcBorders>
              <w:top w:val="nil"/>
              <w:left w:val="nil"/>
              <w:bottom w:val="single" w:sz="4" w:space="0" w:color="auto"/>
              <w:right w:val="single" w:sz="4" w:space="0" w:color="auto"/>
            </w:tcBorders>
            <w:shd w:val="clear" w:color="auto" w:fill="auto"/>
            <w:noWrap/>
            <w:vAlign w:val="center"/>
            <w:hideMark/>
          </w:tcPr>
          <w:p w14:paraId="5EA6DDB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lastRenderedPageBreak/>
              <w:t>Anual</w:t>
            </w:r>
          </w:p>
        </w:tc>
        <w:tc>
          <w:tcPr>
            <w:tcW w:w="0" w:type="auto"/>
            <w:tcBorders>
              <w:top w:val="nil"/>
              <w:left w:val="nil"/>
              <w:bottom w:val="single" w:sz="4" w:space="0" w:color="auto"/>
              <w:right w:val="single" w:sz="4" w:space="0" w:color="auto"/>
            </w:tcBorders>
            <w:shd w:val="clear" w:color="auto" w:fill="auto"/>
            <w:noWrap/>
            <w:vAlign w:val="center"/>
            <w:hideMark/>
          </w:tcPr>
          <w:p w14:paraId="4295B8EF"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04E48CC8"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4EF993F8"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57AE7D97"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r>
      <w:tr w:rsidR="00106EFB" w:rsidRPr="00106EFB" w14:paraId="1EA16D0C" w14:textId="77777777" w:rsidTr="00860016">
        <w:trPr>
          <w:trHeight w:val="48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2886F44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6</w:t>
            </w:r>
          </w:p>
        </w:tc>
        <w:tc>
          <w:tcPr>
            <w:tcW w:w="1319" w:type="dxa"/>
            <w:tcBorders>
              <w:top w:val="nil"/>
              <w:left w:val="nil"/>
              <w:bottom w:val="single" w:sz="4" w:space="0" w:color="auto"/>
              <w:right w:val="single" w:sz="4" w:space="0" w:color="auto"/>
            </w:tcBorders>
            <w:shd w:val="clear" w:color="auto" w:fill="auto"/>
            <w:noWrap/>
            <w:vAlign w:val="center"/>
            <w:hideMark/>
          </w:tcPr>
          <w:p w14:paraId="5C570CC1"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Subgerencia de Supervisión</w:t>
            </w:r>
          </w:p>
        </w:tc>
        <w:tc>
          <w:tcPr>
            <w:tcW w:w="0" w:type="auto"/>
            <w:tcBorders>
              <w:top w:val="nil"/>
              <w:left w:val="nil"/>
              <w:bottom w:val="single" w:sz="4" w:space="0" w:color="auto"/>
              <w:right w:val="single" w:sz="4" w:space="0" w:color="auto"/>
            </w:tcBorders>
            <w:shd w:val="clear" w:color="auto" w:fill="auto"/>
            <w:vAlign w:val="center"/>
            <w:hideMark/>
          </w:tcPr>
          <w:p w14:paraId="12913FB4"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Conformación de Unidad de </w:t>
            </w:r>
            <w:r w:rsidRPr="00106EFB">
              <w:rPr>
                <w:rFonts w:eastAsia="Times New Roman"/>
                <w:spacing w:val="0"/>
                <w:lang w:val="es-DO" w:eastAsia="es-DO"/>
              </w:rPr>
              <w:br/>
              <w:t>Supervisión de Fiduciarias</w:t>
            </w:r>
            <w:r w:rsidRPr="00106EFB">
              <w:rPr>
                <w:rFonts w:eastAsia="Times New Roman"/>
                <w:spacing w:val="0"/>
                <w:lang w:val="es-DO" w:eastAsia="es-DO"/>
              </w:rPr>
              <w:b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69458BF8"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avance </w:t>
            </w:r>
            <w:r w:rsidRPr="00106EFB">
              <w:rPr>
                <w:rFonts w:eastAsia="Times New Roman"/>
                <w:spacing w:val="0"/>
                <w:lang w:val="es-DO" w:eastAsia="es-DO"/>
              </w:rPr>
              <w:br/>
              <w:t>según hitos</w:t>
            </w:r>
          </w:p>
        </w:tc>
        <w:tc>
          <w:tcPr>
            <w:tcW w:w="0" w:type="auto"/>
            <w:tcBorders>
              <w:top w:val="nil"/>
              <w:left w:val="nil"/>
              <w:bottom w:val="single" w:sz="4" w:space="0" w:color="auto"/>
              <w:right w:val="single" w:sz="4" w:space="0" w:color="auto"/>
            </w:tcBorders>
            <w:shd w:val="clear" w:color="auto" w:fill="auto"/>
            <w:noWrap/>
            <w:vAlign w:val="center"/>
            <w:hideMark/>
          </w:tcPr>
          <w:p w14:paraId="2C17900C"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1EFDE5D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0D683065"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711555C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75%</w:t>
            </w:r>
          </w:p>
        </w:tc>
        <w:tc>
          <w:tcPr>
            <w:tcW w:w="0" w:type="auto"/>
            <w:tcBorders>
              <w:top w:val="nil"/>
              <w:left w:val="nil"/>
              <w:bottom w:val="single" w:sz="4" w:space="0" w:color="auto"/>
              <w:right w:val="single" w:sz="4" w:space="0" w:color="auto"/>
            </w:tcBorders>
            <w:shd w:val="clear" w:color="auto" w:fill="auto"/>
            <w:noWrap/>
            <w:vAlign w:val="center"/>
            <w:hideMark/>
          </w:tcPr>
          <w:p w14:paraId="5A879664"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75%</w:t>
            </w:r>
          </w:p>
        </w:tc>
      </w:tr>
      <w:tr w:rsidR="00106EFB" w:rsidRPr="00106EFB" w14:paraId="1CD5EF63" w14:textId="77777777" w:rsidTr="00860016">
        <w:trPr>
          <w:trHeight w:val="7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31E11C5C"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7</w:t>
            </w:r>
          </w:p>
        </w:tc>
        <w:tc>
          <w:tcPr>
            <w:tcW w:w="1319" w:type="dxa"/>
            <w:tcBorders>
              <w:top w:val="nil"/>
              <w:left w:val="nil"/>
              <w:bottom w:val="single" w:sz="4" w:space="0" w:color="auto"/>
              <w:right w:val="single" w:sz="4" w:space="0" w:color="auto"/>
            </w:tcBorders>
            <w:shd w:val="clear" w:color="auto" w:fill="auto"/>
            <w:noWrap/>
            <w:vAlign w:val="center"/>
            <w:hideMark/>
          </w:tcPr>
          <w:p w14:paraId="2409B55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Supervisión de Entidades No </w:t>
            </w:r>
            <w:r w:rsidRPr="00106EFB">
              <w:rPr>
                <w:rFonts w:eastAsia="Times New Roman"/>
                <w:spacing w:val="0"/>
                <w:lang w:val="es-DO" w:eastAsia="es-DO"/>
              </w:rPr>
              <w:br/>
              <w:t>Sistémicas</w:t>
            </w:r>
          </w:p>
        </w:tc>
        <w:tc>
          <w:tcPr>
            <w:tcW w:w="0" w:type="auto"/>
            <w:tcBorders>
              <w:top w:val="nil"/>
              <w:left w:val="nil"/>
              <w:bottom w:val="single" w:sz="4" w:space="0" w:color="auto"/>
              <w:right w:val="single" w:sz="4" w:space="0" w:color="auto"/>
            </w:tcBorders>
            <w:shd w:val="clear" w:color="auto" w:fill="auto"/>
            <w:vAlign w:val="center"/>
            <w:hideMark/>
          </w:tcPr>
          <w:p w14:paraId="237E7BC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Supervisión de Entidades No </w:t>
            </w:r>
            <w:r w:rsidRPr="00106EFB">
              <w:rPr>
                <w:rFonts w:eastAsia="Times New Roman"/>
                <w:spacing w:val="0"/>
                <w:lang w:val="es-DO" w:eastAsia="es-DO"/>
              </w:rPr>
              <w:br/>
              <w:t>Sistémicas: Microcréditos</w:t>
            </w:r>
          </w:p>
        </w:tc>
        <w:tc>
          <w:tcPr>
            <w:tcW w:w="0" w:type="auto"/>
            <w:tcBorders>
              <w:top w:val="nil"/>
              <w:left w:val="nil"/>
              <w:bottom w:val="single" w:sz="4" w:space="0" w:color="auto"/>
              <w:right w:val="single" w:sz="4" w:space="0" w:color="auto"/>
            </w:tcBorders>
            <w:shd w:val="clear" w:color="auto" w:fill="auto"/>
            <w:vAlign w:val="center"/>
            <w:hideMark/>
          </w:tcPr>
          <w:p w14:paraId="465EA14F"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avance en </w:t>
            </w:r>
            <w:r w:rsidRPr="00106EFB">
              <w:rPr>
                <w:rFonts w:eastAsia="Times New Roman"/>
                <w:spacing w:val="0"/>
                <w:lang w:val="es-DO" w:eastAsia="es-DO"/>
              </w:rPr>
              <w:br/>
              <w:t xml:space="preserve">supervisión según hitos </w:t>
            </w:r>
            <w:r w:rsidRPr="00106EFB">
              <w:rPr>
                <w:rFonts w:eastAsia="Times New Roman"/>
                <w:spacing w:val="0"/>
                <w:lang w:val="es-DO" w:eastAsia="es-DO"/>
              </w:rPr>
              <w:br/>
              <w:t>programados</w:t>
            </w:r>
          </w:p>
        </w:tc>
        <w:tc>
          <w:tcPr>
            <w:tcW w:w="0" w:type="auto"/>
            <w:tcBorders>
              <w:top w:val="nil"/>
              <w:left w:val="nil"/>
              <w:bottom w:val="single" w:sz="4" w:space="0" w:color="auto"/>
              <w:right w:val="single" w:sz="4" w:space="0" w:color="auto"/>
            </w:tcBorders>
            <w:shd w:val="clear" w:color="auto" w:fill="auto"/>
            <w:noWrap/>
            <w:vAlign w:val="center"/>
            <w:hideMark/>
          </w:tcPr>
          <w:p w14:paraId="375F39C1"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5B3763B9"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76F99C67"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60F20058"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3F042395"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r>
      <w:tr w:rsidR="00106EFB" w:rsidRPr="00106EFB" w14:paraId="37EBB0B7" w14:textId="77777777" w:rsidTr="00860016">
        <w:trPr>
          <w:trHeight w:val="7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564D5DCA"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8</w:t>
            </w:r>
          </w:p>
        </w:tc>
        <w:tc>
          <w:tcPr>
            <w:tcW w:w="1319" w:type="dxa"/>
            <w:tcBorders>
              <w:top w:val="nil"/>
              <w:left w:val="nil"/>
              <w:bottom w:val="single" w:sz="4" w:space="0" w:color="auto"/>
              <w:right w:val="single" w:sz="4" w:space="0" w:color="auto"/>
            </w:tcBorders>
            <w:shd w:val="clear" w:color="auto" w:fill="auto"/>
            <w:noWrap/>
            <w:vAlign w:val="center"/>
            <w:hideMark/>
          </w:tcPr>
          <w:p w14:paraId="7113EA64"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Supervisión de Entidades No </w:t>
            </w:r>
            <w:r w:rsidRPr="00106EFB">
              <w:rPr>
                <w:rFonts w:eastAsia="Times New Roman"/>
                <w:spacing w:val="0"/>
                <w:lang w:val="es-DO" w:eastAsia="es-DO"/>
              </w:rPr>
              <w:br/>
              <w:t>Sistémicas</w:t>
            </w:r>
          </w:p>
        </w:tc>
        <w:tc>
          <w:tcPr>
            <w:tcW w:w="0" w:type="auto"/>
            <w:tcBorders>
              <w:top w:val="nil"/>
              <w:left w:val="nil"/>
              <w:bottom w:val="single" w:sz="4" w:space="0" w:color="auto"/>
              <w:right w:val="single" w:sz="4" w:space="0" w:color="auto"/>
            </w:tcBorders>
            <w:shd w:val="clear" w:color="auto" w:fill="auto"/>
            <w:vAlign w:val="center"/>
            <w:hideMark/>
          </w:tcPr>
          <w:p w14:paraId="241400A1"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Supervisión Entidades No </w:t>
            </w:r>
            <w:r w:rsidRPr="00106EFB">
              <w:rPr>
                <w:rFonts w:eastAsia="Times New Roman"/>
                <w:spacing w:val="0"/>
                <w:lang w:val="es-DO" w:eastAsia="es-DO"/>
              </w:rPr>
              <w:br/>
              <w:t xml:space="preserve">Sistémicas: Agentes de Cambio, </w:t>
            </w:r>
            <w:r w:rsidRPr="00106EFB">
              <w:rPr>
                <w:rFonts w:eastAsia="Times New Roman"/>
                <w:spacing w:val="0"/>
                <w:lang w:val="es-DO" w:eastAsia="es-DO"/>
              </w:rPr>
              <w:br/>
              <w:t>Remesadoras, SIC y otros</w:t>
            </w:r>
          </w:p>
        </w:tc>
        <w:tc>
          <w:tcPr>
            <w:tcW w:w="0" w:type="auto"/>
            <w:tcBorders>
              <w:top w:val="nil"/>
              <w:left w:val="nil"/>
              <w:bottom w:val="single" w:sz="4" w:space="0" w:color="auto"/>
              <w:right w:val="single" w:sz="4" w:space="0" w:color="auto"/>
            </w:tcBorders>
            <w:shd w:val="clear" w:color="auto" w:fill="auto"/>
            <w:vAlign w:val="center"/>
            <w:hideMark/>
          </w:tcPr>
          <w:p w14:paraId="2E68F589"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avance en </w:t>
            </w:r>
            <w:r w:rsidRPr="00106EFB">
              <w:rPr>
                <w:rFonts w:eastAsia="Times New Roman"/>
                <w:spacing w:val="0"/>
                <w:lang w:val="es-DO" w:eastAsia="es-DO"/>
              </w:rPr>
              <w:br/>
              <w:t xml:space="preserve">supervisión según hitos </w:t>
            </w:r>
            <w:r w:rsidRPr="00106EFB">
              <w:rPr>
                <w:rFonts w:eastAsia="Times New Roman"/>
                <w:spacing w:val="0"/>
                <w:lang w:val="es-DO" w:eastAsia="es-DO"/>
              </w:rPr>
              <w:br/>
              <w:t>programados</w:t>
            </w:r>
          </w:p>
        </w:tc>
        <w:tc>
          <w:tcPr>
            <w:tcW w:w="0" w:type="auto"/>
            <w:tcBorders>
              <w:top w:val="nil"/>
              <w:left w:val="nil"/>
              <w:bottom w:val="single" w:sz="4" w:space="0" w:color="auto"/>
              <w:right w:val="single" w:sz="4" w:space="0" w:color="auto"/>
            </w:tcBorders>
            <w:shd w:val="clear" w:color="auto" w:fill="auto"/>
            <w:noWrap/>
            <w:vAlign w:val="center"/>
            <w:hideMark/>
          </w:tcPr>
          <w:p w14:paraId="0BA04278"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1E22A3D4"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31F3B244"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6D0AA1A8"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4BE8AAC2"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r>
      <w:tr w:rsidR="00106EFB" w:rsidRPr="00106EFB" w14:paraId="1F4EE789" w14:textId="77777777" w:rsidTr="00860016">
        <w:trPr>
          <w:trHeight w:val="7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67E726F5"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9</w:t>
            </w:r>
          </w:p>
        </w:tc>
        <w:tc>
          <w:tcPr>
            <w:tcW w:w="1319" w:type="dxa"/>
            <w:tcBorders>
              <w:top w:val="nil"/>
              <w:left w:val="nil"/>
              <w:bottom w:val="single" w:sz="4" w:space="0" w:color="auto"/>
              <w:right w:val="single" w:sz="4" w:space="0" w:color="auto"/>
            </w:tcBorders>
            <w:shd w:val="clear" w:color="auto" w:fill="auto"/>
            <w:noWrap/>
            <w:vAlign w:val="center"/>
            <w:hideMark/>
          </w:tcPr>
          <w:p w14:paraId="29CE73F9"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Supervisión de Entidades No </w:t>
            </w:r>
            <w:r w:rsidRPr="00106EFB">
              <w:rPr>
                <w:rFonts w:eastAsia="Times New Roman"/>
                <w:spacing w:val="0"/>
                <w:lang w:val="es-DO" w:eastAsia="es-DO"/>
              </w:rPr>
              <w:br/>
              <w:t>Sistémicas</w:t>
            </w:r>
          </w:p>
        </w:tc>
        <w:tc>
          <w:tcPr>
            <w:tcW w:w="0" w:type="auto"/>
            <w:tcBorders>
              <w:top w:val="nil"/>
              <w:left w:val="nil"/>
              <w:bottom w:val="single" w:sz="4" w:space="0" w:color="auto"/>
              <w:right w:val="single" w:sz="4" w:space="0" w:color="auto"/>
            </w:tcBorders>
            <w:shd w:val="clear" w:color="auto" w:fill="auto"/>
            <w:vAlign w:val="center"/>
            <w:hideMark/>
          </w:tcPr>
          <w:p w14:paraId="7043F1AB"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Supervisión Entidades No </w:t>
            </w:r>
            <w:r w:rsidRPr="00106EFB">
              <w:rPr>
                <w:rFonts w:eastAsia="Times New Roman"/>
                <w:spacing w:val="0"/>
                <w:lang w:val="es-DO" w:eastAsia="es-DO"/>
              </w:rPr>
              <w:br/>
              <w:t xml:space="preserve">Sistémicas: Bancos Múltiples </w:t>
            </w:r>
            <w:r w:rsidRPr="00106EFB">
              <w:rPr>
                <w:rFonts w:eastAsia="Times New Roman"/>
                <w:spacing w:val="0"/>
                <w:lang w:val="es-DO" w:eastAsia="es-DO"/>
              </w:rPr>
              <w:br/>
              <w:t>Emergentes</w:t>
            </w:r>
          </w:p>
        </w:tc>
        <w:tc>
          <w:tcPr>
            <w:tcW w:w="0" w:type="auto"/>
            <w:tcBorders>
              <w:top w:val="nil"/>
              <w:left w:val="nil"/>
              <w:bottom w:val="single" w:sz="4" w:space="0" w:color="auto"/>
              <w:right w:val="single" w:sz="4" w:space="0" w:color="auto"/>
            </w:tcBorders>
            <w:shd w:val="clear" w:color="auto" w:fill="auto"/>
            <w:vAlign w:val="center"/>
            <w:hideMark/>
          </w:tcPr>
          <w:p w14:paraId="799B21A2"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avance en </w:t>
            </w:r>
            <w:r w:rsidRPr="00106EFB">
              <w:rPr>
                <w:rFonts w:eastAsia="Times New Roman"/>
                <w:spacing w:val="0"/>
                <w:lang w:val="es-DO" w:eastAsia="es-DO"/>
              </w:rPr>
              <w:br/>
              <w:t xml:space="preserve">supervisión según hitos </w:t>
            </w:r>
            <w:r w:rsidRPr="00106EFB">
              <w:rPr>
                <w:rFonts w:eastAsia="Times New Roman"/>
                <w:spacing w:val="0"/>
                <w:lang w:val="es-DO" w:eastAsia="es-DO"/>
              </w:rPr>
              <w:br/>
              <w:t>programados</w:t>
            </w:r>
          </w:p>
        </w:tc>
        <w:tc>
          <w:tcPr>
            <w:tcW w:w="0" w:type="auto"/>
            <w:tcBorders>
              <w:top w:val="nil"/>
              <w:left w:val="nil"/>
              <w:bottom w:val="single" w:sz="4" w:space="0" w:color="auto"/>
              <w:right w:val="single" w:sz="4" w:space="0" w:color="auto"/>
            </w:tcBorders>
            <w:shd w:val="clear" w:color="auto" w:fill="auto"/>
            <w:noWrap/>
            <w:vAlign w:val="center"/>
            <w:hideMark/>
          </w:tcPr>
          <w:p w14:paraId="4F662F1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1E28C30C"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1CCF605A"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5AB030FD"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3454410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r>
      <w:tr w:rsidR="00106EFB" w:rsidRPr="00106EFB" w14:paraId="3CF5E721" w14:textId="77777777" w:rsidTr="00860016">
        <w:trPr>
          <w:trHeight w:val="96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3115254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w:t>
            </w:r>
          </w:p>
        </w:tc>
        <w:tc>
          <w:tcPr>
            <w:tcW w:w="1319" w:type="dxa"/>
            <w:tcBorders>
              <w:top w:val="nil"/>
              <w:left w:val="nil"/>
              <w:bottom w:val="single" w:sz="4" w:space="0" w:color="auto"/>
              <w:right w:val="single" w:sz="4" w:space="0" w:color="auto"/>
            </w:tcBorders>
            <w:shd w:val="clear" w:color="auto" w:fill="auto"/>
            <w:noWrap/>
            <w:vAlign w:val="center"/>
            <w:hideMark/>
          </w:tcPr>
          <w:p w14:paraId="1343B23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Monitoreo de Riesgos</w:t>
            </w:r>
          </w:p>
        </w:tc>
        <w:tc>
          <w:tcPr>
            <w:tcW w:w="0" w:type="auto"/>
            <w:tcBorders>
              <w:top w:val="nil"/>
              <w:left w:val="nil"/>
              <w:bottom w:val="single" w:sz="4" w:space="0" w:color="auto"/>
              <w:right w:val="single" w:sz="4" w:space="0" w:color="auto"/>
            </w:tcBorders>
            <w:shd w:val="clear" w:color="auto" w:fill="auto"/>
            <w:vAlign w:val="center"/>
            <w:hideMark/>
          </w:tcPr>
          <w:p w14:paraId="2719B6C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Implementación MRI de la </w:t>
            </w:r>
            <w:r w:rsidRPr="00106EFB">
              <w:rPr>
                <w:rFonts w:eastAsia="Times New Roman"/>
                <w:spacing w:val="0"/>
                <w:lang w:val="es-DO" w:eastAsia="es-DO"/>
              </w:rPr>
              <w:br/>
              <w:t>Administra</w:t>
            </w:r>
            <w:r w:rsidRPr="00106EFB">
              <w:rPr>
                <w:rFonts w:eastAsia="Times New Roman"/>
                <w:spacing w:val="0"/>
                <w:lang w:val="es-DO" w:eastAsia="es-DO"/>
              </w:rPr>
              <w:lastRenderedPageBreak/>
              <w:t xml:space="preserve">ción Monetaria y </w:t>
            </w:r>
            <w:r w:rsidRPr="00106EFB">
              <w:rPr>
                <w:rFonts w:eastAsia="Times New Roman"/>
                <w:spacing w:val="0"/>
                <w:lang w:val="es-DO" w:eastAsia="es-DO"/>
              </w:rPr>
              <w:br/>
              <w:t xml:space="preserve">Financiera– Fase III y Mejoras SB </w:t>
            </w:r>
            <w:r w:rsidRPr="00106EFB">
              <w:rPr>
                <w:rFonts w:eastAsia="Times New Roman"/>
                <w:spacing w:val="0"/>
                <w:lang w:val="es-DO" w:eastAsia="es-DO"/>
              </w:rPr>
              <w:br/>
              <w:t>Interactivo</w:t>
            </w:r>
          </w:p>
        </w:tc>
        <w:tc>
          <w:tcPr>
            <w:tcW w:w="0" w:type="auto"/>
            <w:tcBorders>
              <w:top w:val="nil"/>
              <w:left w:val="nil"/>
              <w:bottom w:val="single" w:sz="4" w:space="0" w:color="auto"/>
              <w:right w:val="single" w:sz="4" w:space="0" w:color="auto"/>
            </w:tcBorders>
            <w:shd w:val="clear" w:color="auto" w:fill="auto"/>
            <w:vAlign w:val="center"/>
            <w:hideMark/>
          </w:tcPr>
          <w:p w14:paraId="20852032"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lastRenderedPageBreak/>
              <w:t xml:space="preserve">Porcentaje de </w:t>
            </w:r>
            <w:r w:rsidRPr="00106EFB">
              <w:rPr>
                <w:rFonts w:eastAsia="Times New Roman"/>
                <w:spacing w:val="0"/>
                <w:lang w:val="es-DO" w:eastAsia="es-DO"/>
              </w:rPr>
              <w:br/>
              <w:t xml:space="preserve">implementación del </w:t>
            </w:r>
            <w:r w:rsidRPr="00106EFB">
              <w:rPr>
                <w:rFonts w:eastAsia="Times New Roman"/>
                <w:spacing w:val="0"/>
                <w:lang w:val="es-DO" w:eastAsia="es-DO"/>
              </w:rPr>
              <w:br/>
            </w:r>
            <w:r w:rsidRPr="00106EFB">
              <w:rPr>
                <w:rFonts w:eastAsia="Times New Roman"/>
                <w:spacing w:val="0"/>
                <w:lang w:val="es-DO" w:eastAsia="es-DO"/>
              </w:rPr>
              <w:lastRenderedPageBreak/>
              <w:t>proyecto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2E30F15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lastRenderedPageBreak/>
              <w:t>Anual</w:t>
            </w:r>
          </w:p>
        </w:tc>
        <w:tc>
          <w:tcPr>
            <w:tcW w:w="0" w:type="auto"/>
            <w:tcBorders>
              <w:top w:val="nil"/>
              <w:left w:val="nil"/>
              <w:bottom w:val="single" w:sz="4" w:space="0" w:color="auto"/>
              <w:right w:val="single" w:sz="4" w:space="0" w:color="auto"/>
            </w:tcBorders>
            <w:shd w:val="clear" w:color="auto" w:fill="auto"/>
            <w:noWrap/>
            <w:vAlign w:val="center"/>
            <w:hideMark/>
          </w:tcPr>
          <w:p w14:paraId="26A73B8C"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78A4326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4E2DF99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75%</w:t>
            </w:r>
          </w:p>
        </w:tc>
        <w:tc>
          <w:tcPr>
            <w:tcW w:w="0" w:type="auto"/>
            <w:tcBorders>
              <w:top w:val="nil"/>
              <w:left w:val="nil"/>
              <w:bottom w:val="single" w:sz="4" w:space="0" w:color="auto"/>
              <w:right w:val="single" w:sz="4" w:space="0" w:color="auto"/>
            </w:tcBorders>
            <w:shd w:val="clear" w:color="auto" w:fill="auto"/>
            <w:noWrap/>
            <w:vAlign w:val="center"/>
            <w:hideMark/>
          </w:tcPr>
          <w:p w14:paraId="54CC4EBF"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75%</w:t>
            </w:r>
          </w:p>
        </w:tc>
      </w:tr>
      <w:tr w:rsidR="00106EFB" w:rsidRPr="00106EFB" w14:paraId="7F196ED5" w14:textId="77777777" w:rsidTr="00860016">
        <w:trPr>
          <w:trHeight w:val="48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40B0AC7D"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11</w:t>
            </w:r>
          </w:p>
        </w:tc>
        <w:tc>
          <w:tcPr>
            <w:tcW w:w="1319" w:type="dxa"/>
            <w:tcBorders>
              <w:top w:val="nil"/>
              <w:left w:val="nil"/>
              <w:bottom w:val="single" w:sz="4" w:space="0" w:color="auto"/>
              <w:right w:val="single" w:sz="4" w:space="0" w:color="auto"/>
            </w:tcBorders>
            <w:shd w:val="clear" w:color="auto" w:fill="auto"/>
            <w:noWrap/>
            <w:vAlign w:val="center"/>
            <w:hideMark/>
          </w:tcPr>
          <w:p w14:paraId="54D60689"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Regulación</w:t>
            </w:r>
          </w:p>
        </w:tc>
        <w:tc>
          <w:tcPr>
            <w:tcW w:w="0" w:type="auto"/>
            <w:tcBorders>
              <w:top w:val="nil"/>
              <w:left w:val="nil"/>
              <w:bottom w:val="single" w:sz="4" w:space="0" w:color="auto"/>
              <w:right w:val="single" w:sz="4" w:space="0" w:color="auto"/>
            </w:tcBorders>
            <w:shd w:val="clear" w:color="auto" w:fill="auto"/>
            <w:vAlign w:val="center"/>
            <w:hideMark/>
          </w:tcPr>
          <w:p w14:paraId="31C5886B"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Congreso de Firmas de </w:t>
            </w:r>
            <w:r w:rsidRPr="00106EFB">
              <w:rPr>
                <w:rFonts w:eastAsia="Times New Roman"/>
                <w:spacing w:val="0"/>
                <w:lang w:val="es-DO" w:eastAsia="es-DO"/>
              </w:rPr>
              <w:br/>
              <w:t>Auditores Externos</w:t>
            </w:r>
          </w:p>
        </w:tc>
        <w:tc>
          <w:tcPr>
            <w:tcW w:w="0" w:type="auto"/>
            <w:tcBorders>
              <w:top w:val="nil"/>
              <w:left w:val="nil"/>
              <w:bottom w:val="single" w:sz="4" w:space="0" w:color="auto"/>
              <w:right w:val="single" w:sz="4" w:space="0" w:color="auto"/>
            </w:tcBorders>
            <w:shd w:val="clear" w:color="auto" w:fill="auto"/>
            <w:vAlign w:val="center"/>
            <w:hideMark/>
          </w:tcPr>
          <w:p w14:paraId="020F31C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avance </w:t>
            </w:r>
            <w:r w:rsidRPr="00106EFB">
              <w:rPr>
                <w:rFonts w:eastAsia="Times New Roman"/>
                <w:spacing w:val="0"/>
                <w:lang w:val="es-DO" w:eastAsia="es-DO"/>
              </w:rPr>
              <w:br/>
              <w:t>del proyecto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1BF4C4DB"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1830D63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2495A4A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1BD9D9B5"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0F81BC17"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r>
      <w:tr w:rsidR="00106EFB" w:rsidRPr="00106EFB" w14:paraId="45FB9A38" w14:textId="77777777" w:rsidTr="00860016">
        <w:trPr>
          <w:trHeight w:val="7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0DBDCF3A"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12</w:t>
            </w:r>
          </w:p>
        </w:tc>
        <w:tc>
          <w:tcPr>
            <w:tcW w:w="1319" w:type="dxa"/>
            <w:tcBorders>
              <w:top w:val="nil"/>
              <w:left w:val="nil"/>
              <w:bottom w:val="single" w:sz="4" w:space="0" w:color="auto"/>
              <w:right w:val="single" w:sz="4" w:space="0" w:color="auto"/>
            </w:tcBorders>
            <w:shd w:val="clear" w:color="auto" w:fill="auto"/>
            <w:noWrap/>
            <w:vAlign w:val="center"/>
            <w:hideMark/>
          </w:tcPr>
          <w:p w14:paraId="45C3A2A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Subgerencia de Supervisión</w:t>
            </w:r>
          </w:p>
        </w:tc>
        <w:tc>
          <w:tcPr>
            <w:tcW w:w="0" w:type="auto"/>
            <w:tcBorders>
              <w:top w:val="nil"/>
              <w:left w:val="nil"/>
              <w:bottom w:val="single" w:sz="4" w:space="0" w:color="auto"/>
              <w:right w:val="single" w:sz="4" w:space="0" w:color="auto"/>
            </w:tcBorders>
            <w:shd w:val="clear" w:color="auto" w:fill="auto"/>
            <w:vAlign w:val="center"/>
            <w:hideMark/>
          </w:tcPr>
          <w:p w14:paraId="7D43146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Actualización del Marco de </w:t>
            </w:r>
            <w:r w:rsidRPr="00106EFB">
              <w:rPr>
                <w:rFonts w:eastAsia="Times New Roman"/>
                <w:spacing w:val="0"/>
                <w:lang w:val="es-DO" w:eastAsia="es-DO"/>
              </w:rPr>
              <w:br/>
              <w:t xml:space="preserve">Supervisión Basada en Riesgos </w:t>
            </w:r>
            <w:r w:rsidRPr="00106EFB">
              <w:rPr>
                <w:rFonts w:eastAsia="Times New Roman"/>
                <w:spacing w:val="0"/>
                <w:lang w:val="es-DO" w:eastAsia="es-DO"/>
              </w:rPr>
              <w:br/>
              <w:t>(Toronto Centre) - Fase 1</w:t>
            </w:r>
          </w:p>
        </w:tc>
        <w:tc>
          <w:tcPr>
            <w:tcW w:w="0" w:type="auto"/>
            <w:tcBorders>
              <w:top w:val="nil"/>
              <w:left w:val="nil"/>
              <w:bottom w:val="single" w:sz="4" w:space="0" w:color="auto"/>
              <w:right w:val="single" w:sz="4" w:space="0" w:color="auto"/>
            </w:tcBorders>
            <w:shd w:val="clear" w:color="auto" w:fill="auto"/>
            <w:vAlign w:val="center"/>
            <w:hideMark/>
          </w:tcPr>
          <w:p w14:paraId="11721D9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avance en </w:t>
            </w:r>
            <w:r w:rsidRPr="00106EFB">
              <w:rPr>
                <w:rFonts w:eastAsia="Times New Roman"/>
                <w:spacing w:val="0"/>
                <w:lang w:val="es-DO" w:eastAsia="es-DO"/>
              </w:rPr>
              <w:br/>
              <w:t xml:space="preserve">supervisión según hitos </w:t>
            </w:r>
            <w:r w:rsidRPr="00106EFB">
              <w:rPr>
                <w:rFonts w:eastAsia="Times New Roman"/>
                <w:spacing w:val="0"/>
                <w:lang w:val="es-DO" w:eastAsia="es-DO"/>
              </w:rPr>
              <w:br/>
              <w:t>programados</w:t>
            </w:r>
          </w:p>
        </w:tc>
        <w:tc>
          <w:tcPr>
            <w:tcW w:w="0" w:type="auto"/>
            <w:tcBorders>
              <w:top w:val="nil"/>
              <w:left w:val="nil"/>
              <w:bottom w:val="single" w:sz="4" w:space="0" w:color="auto"/>
              <w:right w:val="single" w:sz="4" w:space="0" w:color="auto"/>
            </w:tcBorders>
            <w:shd w:val="clear" w:color="auto" w:fill="auto"/>
            <w:noWrap/>
            <w:vAlign w:val="center"/>
            <w:hideMark/>
          </w:tcPr>
          <w:p w14:paraId="61E6EF6B"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737BBE79"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6D4729A8"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5E15FC0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0C737FD4"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r>
      <w:tr w:rsidR="00106EFB" w:rsidRPr="00106EFB" w14:paraId="1E1C2C74" w14:textId="77777777" w:rsidTr="00860016">
        <w:trPr>
          <w:trHeight w:val="7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605824A4"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13</w:t>
            </w:r>
          </w:p>
        </w:tc>
        <w:tc>
          <w:tcPr>
            <w:tcW w:w="1319" w:type="dxa"/>
            <w:tcBorders>
              <w:top w:val="nil"/>
              <w:left w:val="nil"/>
              <w:bottom w:val="single" w:sz="4" w:space="0" w:color="auto"/>
              <w:right w:val="single" w:sz="4" w:space="0" w:color="auto"/>
            </w:tcBorders>
            <w:shd w:val="clear" w:color="auto" w:fill="auto"/>
            <w:noWrap/>
            <w:vAlign w:val="center"/>
            <w:hideMark/>
          </w:tcPr>
          <w:p w14:paraId="3082A0AA"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Supervisión Entidades </w:t>
            </w:r>
            <w:r w:rsidRPr="00106EFB">
              <w:rPr>
                <w:rFonts w:eastAsia="Times New Roman"/>
                <w:spacing w:val="0"/>
                <w:lang w:val="es-DO" w:eastAsia="es-DO"/>
              </w:rPr>
              <w:br/>
              <w:t>Régimen Especial</w:t>
            </w:r>
          </w:p>
        </w:tc>
        <w:tc>
          <w:tcPr>
            <w:tcW w:w="0" w:type="auto"/>
            <w:tcBorders>
              <w:top w:val="nil"/>
              <w:left w:val="nil"/>
              <w:bottom w:val="single" w:sz="4" w:space="0" w:color="auto"/>
              <w:right w:val="single" w:sz="4" w:space="0" w:color="auto"/>
            </w:tcBorders>
            <w:shd w:val="clear" w:color="auto" w:fill="auto"/>
            <w:vAlign w:val="center"/>
            <w:hideMark/>
          </w:tcPr>
          <w:p w14:paraId="1E5A619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Supervisión de Bancos </w:t>
            </w:r>
            <w:r w:rsidRPr="00106EFB">
              <w:rPr>
                <w:rFonts w:eastAsia="Times New Roman"/>
                <w:spacing w:val="0"/>
                <w:lang w:val="es-DO" w:eastAsia="es-DO"/>
              </w:rPr>
              <w:br/>
              <w:t>Múltiples bajo Régimen Especial</w:t>
            </w:r>
          </w:p>
        </w:tc>
        <w:tc>
          <w:tcPr>
            <w:tcW w:w="0" w:type="auto"/>
            <w:tcBorders>
              <w:top w:val="nil"/>
              <w:left w:val="nil"/>
              <w:bottom w:val="single" w:sz="4" w:space="0" w:color="auto"/>
              <w:right w:val="single" w:sz="4" w:space="0" w:color="auto"/>
            </w:tcBorders>
            <w:shd w:val="clear" w:color="auto" w:fill="auto"/>
            <w:vAlign w:val="center"/>
            <w:hideMark/>
          </w:tcPr>
          <w:p w14:paraId="0C5FA54C"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avance en </w:t>
            </w:r>
            <w:r w:rsidRPr="00106EFB">
              <w:rPr>
                <w:rFonts w:eastAsia="Times New Roman"/>
                <w:spacing w:val="0"/>
                <w:lang w:val="es-DO" w:eastAsia="es-DO"/>
              </w:rPr>
              <w:br/>
              <w:t xml:space="preserve">supervisión según hitos </w:t>
            </w:r>
            <w:r w:rsidRPr="00106EFB">
              <w:rPr>
                <w:rFonts w:eastAsia="Times New Roman"/>
                <w:spacing w:val="0"/>
                <w:lang w:val="es-DO" w:eastAsia="es-DO"/>
              </w:rPr>
              <w:br/>
              <w:t>programados</w:t>
            </w:r>
          </w:p>
        </w:tc>
        <w:tc>
          <w:tcPr>
            <w:tcW w:w="0" w:type="auto"/>
            <w:tcBorders>
              <w:top w:val="nil"/>
              <w:left w:val="nil"/>
              <w:bottom w:val="single" w:sz="4" w:space="0" w:color="auto"/>
              <w:right w:val="single" w:sz="4" w:space="0" w:color="auto"/>
            </w:tcBorders>
            <w:shd w:val="clear" w:color="auto" w:fill="auto"/>
            <w:noWrap/>
            <w:vAlign w:val="center"/>
            <w:hideMark/>
          </w:tcPr>
          <w:p w14:paraId="4C54FF3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73D0D4EC"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2D85550D"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6F1C9C2D"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37A05CFD"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r>
      <w:tr w:rsidR="00106EFB" w:rsidRPr="00106EFB" w14:paraId="54B2D451" w14:textId="77777777" w:rsidTr="00860016">
        <w:trPr>
          <w:trHeight w:val="48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39E2301D"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14</w:t>
            </w:r>
          </w:p>
        </w:tc>
        <w:tc>
          <w:tcPr>
            <w:tcW w:w="1319" w:type="dxa"/>
            <w:tcBorders>
              <w:top w:val="nil"/>
              <w:left w:val="nil"/>
              <w:bottom w:val="single" w:sz="4" w:space="0" w:color="auto"/>
              <w:right w:val="single" w:sz="4" w:space="0" w:color="auto"/>
            </w:tcBorders>
            <w:shd w:val="clear" w:color="auto" w:fill="auto"/>
            <w:noWrap/>
            <w:vAlign w:val="center"/>
            <w:hideMark/>
          </w:tcPr>
          <w:p w14:paraId="355C977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Oficina de Servicios y </w:t>
            </w:r>
            <w:r w:rsidRPr="00106EFB">
              <w:rPr>
                <w:rFonts w:eastAsia="Times New Roman"/>
                <w:spacing w:val="0"/>
                <w:lang w:val="es-DO" w:eastAsia="es-DO"/>
              </w:rPr>
              <w:br/>
              <w:t xml:space="preserve">Protección al usuario </w:t>
            </w:r>
            <w:r w:rsidRPr="00106EFB">
              <w:rPr>
                <w:rFonts w:eastAsia="Times New Roman"/>
                <w:spacing w:val="0"/>
                <w:lang w:val="es-DO" w:eastAsia="es-DO"/>
              </w:rPr>
              <w:br/>
              <w:t>(ProUsuario)</w:t>
            </w:r>
          </w:p>
        </w:tc>
        <w:tc>
          <w:tcPr>
            <w:tcW w:w="0" w:type="auto"/>
            <w:tcBorders>
              <w:top w:val="nil"/>
              <w:left w:val="nil"/>
              <w:bottom w:val="single" w:sz="4" w:space="0" w:color="auto"/>
              <w:right w:val="single" w:sz="4" w:space="0" w:color="auto"/>
            </w:tcBorders>
            <w:shd w:val="clear" w:color="auto" w:fill="auto"/>
            <w:vAlign w:val="center"/>
            <w:hideMark/>
          </w:tcPr>
          <w:p w14:paraId="3C2A616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Sistema de Monitoreo de </w:t>
            </w:r>
            <w:r w:rsidRPr="00106EFB">
              <w:rPr>
                <w:rFonts w:eastAsia="Times New Roman"/>
                <w:spacing w:val="0"/>
                <w:lang w:val="es-DO" w:eastAsia="es-DO"/>
              </w:rPr>
              <w:br/>
              <w:t>Calidad de Procesos Internos</w:t>
            </w:r>
          </w:p>
        </w:tc>
        <w:tc>
          <w:tcPr>
            <w:tcW w:w="0" w:type="auto"/>
            <w:tcBorders>
              <w:top w:val="nil"/>
              <w:left w:val="nil"/>
              <w:bottom w:val="single" w:sz="4" w:space="0" w:color="auto"/>
              <w:right w:val="single" w:sz="4" w:space="0" w:color="auto"/>
            </w:tcBorders>
            <w:shd w:val="clear" w:color="auto" w:fill="auto"/>
            <w:vAlign w:val="center"/>
            <w:hideMark/>
          </w:tcPr>
          <w:p w14:paraId="40E8863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avance </w:t>
            </w:r>
            <w:r w:rsidRPr="00106EFB">
              <w:rPr>
                <w:rFonts w:eastAsia="Times New Roman"/>
                <w:spacing w:val="0"/>
                <w:lang w:val="es-DO" w:eastAsia="es-DO"/>
              </w:rPr>
              <w:br/>
              <w:t xml:space="preserve">del proyecto según hitos </w:t>
            </w:r>
          </w:p>
        </w:tc>
        <w:tc>
          <w:tcPr>
            <w:tcW w:w="0" w:type="auto"/>
            <w:tcBorders>
              <w:top w:val="nil"/>
              <w:left w:val="nil"/>
              <w:bottom w:val="single" w:sz="4" w:space="0" w:color="auto"/>
              <w:right w:val="single" w:sz="4" w:space="0" w:color="auto"/>
            </w:tcBorders>
            <w:shd w:val="clear" w:color="auto" w:fill="auto"/>
            <w:noWrap/>
            <w:vAlign w:val="center"/>
            <w:hideMark/>
          </w:tcPr>
          <w:p w14:paraId="3371A9DF"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2A8EAB3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3E4A9F8A"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4FD74D12"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11B4808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r>
      <w:tr w:rsidR="00106EFB" w:rsidRPr="00106EFB" w14:paraId="572E8A7C" w14:textId="77777777" w:rsidTr="00860016">
        <w:trPr>
          <w:trHeight w:val="7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6B88002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16</w:t>
            </w:r>
          </w:p>
        </w:tc>
        <w:tc>
          <w:tcPr>
            <w:tcW w:w="1319" w:type="dxa"/>
            <w:tcBorders>
              <w:top w:val="nil"/>
              <w:left w:val="nil"/>
              <w:bottom w:val="single" w:sz="4" w:space="0" w:color="auto"/>
              <w:right w:val="single" w:sz="4" w:space="0" w:color="auto"/>
            </w:tcBorders>
            <w:shd w:val="clear" w:color="auto" w:fill="auto"/>
            <w:noWrap/>
            <w:vAlign w:val="center"/>
            <w:hideMark/>
          </w:tcPr>
          <w:p w14:paraId="5B7A415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Consultoría Jurídica</w:t>
            </w:r>
          </w:p>
        </w:tc>
        <w:tc>
          <w:tcPr>
            <w:tcW w:w="0" w:type="auto"/>
            <w:tcBorders>
              <w:top w:val="nil"/>
              <w:left w:val="nil"/>
              <w:bottom w:val="single" w:sz="4" w:space="0" w:color="auto"/>
              <w:right w:val="single" w:sz="4" w:space="0" w:color="auto"/>
            </w:tcBorders>
            <w:shd w:val="clear" w:color="auto" w:fill="auto"/>
            <w:vAlign w:val="center"/>
            <w:hideMark/>
          </w:tcPr>
          <w:p w14:paraId="7C288AFA"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Acuerdo para la </w:t>
            </w:r>
            <w:r w:rsidRPr="00106EFB">
              <w:rPr>
                <w:rFonts w:eastAsia="Times New Roman"/>
                <w:spacing w:val="0"/>
                <w:lang w:val="es-DO" w:eastAsia="es-DO"/>
              </w:rPr>
              <w:br/>
            </w:r>
            <w:proofErr w:type="spellStart"/>
            <w:r w:rsidRPr="00106EFB">
              <w:rPr>
                <w:rFonts w:eastAsia="Times New Roman"/>
                <w:spacing w:val="0"/>
                <w:lang w:val="es-DO" w:eastAsia="es-DO"/>
              </w:rPr>
              <w:t>Interoperatividad</w:t>
            </w:r>
            <w:proofErr w:type="spellEnd"/>
            <w:r w:rsidRPr="00106EFB">
              <w:rPr>
                <w:rFonts w:eastAsia="Times New Roman"/>
                <w:spacing w:val="0"/>
                <w:lang w:val="es-DO" w:eastAsia="es-DO"/>
              </w:rPr>
              <w:t xml:space="preserve"> de </w:t>
            </w:r>
            <w:r w:rsidRPr="00106EFB">
              <w:rPr>
                <w:rFonts w:eastAsia="Times New Roman"/>
                <w:spacing w:val="0"/>
                <w:lang w:val="es-DO" w:eastAsia="es-DO"/>
              </w:rPr>
              <w:lastRenderedPageBreak/>
              <w:t xml:space="preserve">Sistemas </w:t>
            </w:r>
            <w:r w:rsidRPr="00106EFB">
              <w:rPr>
                <w:rFonts w:eastAsia="Times New Roman"/>
                <w:spacing w:val="0"/>
                <w:lang w:val="es-DO" w:eastAsia="es-DO"/>
              </w:rPr>
              <w:br/>
              <w:t>Internos</w:t>
            </w:r>
          </w:p>
        </w:tc>
        <w:tc>
          <w:tcPr>
            <w:tcW w:w="0" w:type="auto"/>
            <w:tcBorders>
              <w:top w:val="nil"/>
              <w:left w:val="nil"/>
              <w:bottom w:val="single" w:sz="4" w:space="0" w:color="auto"/>
              <w:right w:val="single" w:sz="4" w:space="0" w:color="auto"/>
            </w:tcBorders>
            <w:shd w:val="clear" w:color="auto" w:fill="auto"/>
            <w:vAlign w:val="center"/>
            <w:hideMark/>
          </w:tcPr>
          <w:p w14:paraId="3A688EC2"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lastRenderedPageBreak/>
              <w:t xml:space="preserve">Porcentaje de </w:t>
            </w:r>
            <w:r w:rsidRPr="00106EFB">
              <w:rPr>
                <w:rFonts w:eastAsia="Times New Roman"/>
                <w:spacing w:val="0"/>
                <w:lang w:val="es-DO" w:eastAsia="es-DO"/>
              </w:rPr>
              <w:br/>
              <w:t xml:space="preserve">implementación del </w:t>
            </w:r>
            <w:r w:rsidRPr="00106EFB">
              <w:rPr>
                <w:rFonts w:eastAsia="Times New Roman"/>
                <w:spacing w:val="0"/>
                <w:lang w:val="es-DO" w:eastAsia="es-DO"/>
              </w:rPr>
              <w:br/>
              <w:t xml:space="preserve">proyecto </w:t>
            </w:r>
            <w:r w:rsidRPr="00106EFB">
              <w:rPr>
                <w:rFonts w:eastAsia="Times New Roman"/>
                <w:spacing w:val="0"/>
                <w:lang w:val="es-DO" w:eastAsia="es-DO"/>
              </w:rPr>
              <w:lastRenderedPageBreak/>
              <w:t>según hitos</w:t>
            </w:r>
          </w:p>
        </w:tc>
        <w:tc>
          <w:tcPr>
            <w:tcW w:w="0" w:type="auto"/>
            <w:tcBorders>
              <w:top w:val="nil"/>
              <w:left w:val="nil"/>
              <w:bottom w:val="single" w:sz="4" w:space="0" w:color="auto"/>
              <w:right w:val="single" w:sz="4" w:space="0" w:color="auto"/>
            </w:tcBorders>
            <w:shd w:val="clear" w:color="auto" w:fill="auto"/>
            <w:noWrap/>
            <w:vAlign w:val="center"/>
            <w:hideMark/>
          </w:tcPr>
          <w:p w14:paraId="58397EB8"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lastRenderedPageBreak/>
              <w:t>Anual</w:t>
            </w:r>
          </w:p>
        </w:tc>
        <w:tc>
          <w:tcPr>
            <w:tcW w:w="0" w:type="auto"/>
            <w:tcBorders>
              <w:top w:val="nil"/>
              <w:left w:val="nil"/>
              <w:bottom w:val="single" w:sz="4" w:space="0" w:color="auto"/>
              <w:right w:val="single" w:sz="4" w:space="0" w:color="auto"/>
            </w:tcBorders>
            <w:shd w:val="clear" w:color="auto" w:fill="auto"/>
            <w:noWrap/>
            <w:vAlign w:val="center"/>
            <w:hideMark/>
          </w:tcPr>
          <w:p w14:paraId="30BF354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326CD0B9"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13900574"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172DE81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r>
      <w:tr w:rsidR="00106EFB" w:rsidRPr="00106EFB" w14:paraId="02C8E259" w14:textId="77777777" w:rsidTr="00860016">
        <w:trPr>
          <w:trHeight w:val="7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2F838AB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17</w:t>
            </w:r>
          </w:p>
        </w:tc>
        <w:tc>
          <w:tcPr>
            <w:tcW w:w="1319" w:type="dxa"/>
            <w:tcBorders>
              <w:top w:val="nil"/>
              <w:left w:val="nil"/>
              <w:bottom w:val="single" w:sz="4" w:space="0" w:color="auto"/>
              <w:right w:val="single" w:sz="4" w:space="0" w:color="auto"/>
            </w:tcBorders>
            <w:shd w:val="clear" w:color="auto" w:fill="auto"/>
            <w:noWrap/>
            <w:vAlign w:val="center"/>
            <w:hideMark/>
          </w:tcPr>
          <w:p w14:paraId="646E70BD"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Tecnología</w:t>
            </w:r>
          </w:p>
        </w:tc>
        <w:tc>
          <w:tcPr>
            <w:tcW w:w="0" w:type="auto"/>
            <w:tcBorders>
              <w:top w:val="nil"/>
              <w:left w:val="nil"/>
              <w:bottom w:val="single" w:sz="4" w:space="0" w:color="auto"/>
              <w:right w:val="single" w:sz="4" w:space="0" w:color="auto"/>
            </w:tcBorders>
            <w:shd w:val="clear" w:color="auto" w:fill="auto"/>
            <w:vAlign w:val="center"/>
            <w:hideMark/>
          </w:tcPr>
          <w:p w14:paraId="7BE7FB11"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Implementación de Motor </w:t>
            </w:r>
            <w:r w:rsidRPr="00106EFB">
              <w:rPr>
                <w:rFonts w:eastAsia="Times New Roman"/>
                <w:spacing w:val="0"/>
                <w:lang w:val="es-DO" w:eastAsia="es-DO"/>
              </w:rPr>
              <w:br/>
              <w:t>de Procesos</w:t>
            </w:r>
          </w:p>
        </w:tc>
        <w:tc>
          <w:tcPr>
            <w:tcW w:w="0" w:type="auto"/>
            <w:tcBorders>
              <w:top w:val="nil"/>
              <w:left w:val="nil"/>
              <w:bottom w:val="single" w:sz="4" w:space="0" w:color="auto"/>
              <w:right w:val="single" w:sz="4" w:space="0" w:color="auto"/>
            </w:tcBorders>
            <w:shd w:val="clear" w:color="auto" w:fill="auto"/>
            <w:vAlign w:val="center"/>
            <w:hideMark/>
          </w:tcPr>
          <w:p w14:paraId="0D97B769"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w:t>
            </w:r>
            <w:r w:rsidRPr="00106EFB">
              <w:rPr>
                <w:rFonts w:eastAsia="Times New Roman"/>
                <w:spacing w:val="0"/>
                <w:lang w:val="es-DO" w:eastAsia="es-DO"/>
              </w:rPr>
              <w:br/>
              <w:t xml:space="preserve">implementación según </w:t>
            </w:r>
            <w:r w:rsidRPr="00106EFB">
              <w:rPr>
                <w:rFonts w:eastAsia="Times New Roman"/>
                <w:spacing w:val="0"/>
                <w:lang w:val="es-DO" w:eastAsia="es-DO"/>
              </w:rPr>
              <w:br/>
              <w:t>hitos</w:t>
            </w:r>
          </w:p>
        </w:tc>
        <w:tc>
          <w:tcPr>
            <w:tcW w:w="0" w:type="auto"/>
            <w:tcBorders>
              <w:top w:val="nil"/>
              <w:left w:val="nil"/>
              <w:bottom w:val="single" w:sz="4" w:space="0" w:color="auto"/>
              <w:right w:val="single" w:sz="4" w:space="0" w:color="auto"/>
            </w:tcBorders>
            <w:shd w:val="clear" w:color="auto" w:fill="auto"/>
            <w:noWrap/>
            <w:vAlign w:val="center"/>
            <w:hideMark/>
          </w:tcPr>
          <w:p w14:paraId="1063F0EB"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651E1C91"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4F3AE587"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218459BD"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83%</w:t>
            </w:r>
          </w:p>
        </w:tc>
        <w:tc>
          <w:tcPr>
            <w:tcW w:w="0" w:type="auto"/>
            <w:tcBorders>
              <w:top w:val="nil"/>
              <w:left w:val="nil"/>
              <w:bottom w:val="single" w:sz="4" w:space="0" w:color="auto"/>
              <w:right w:val="single" w:sz="4" w:space="0" w:color="auto"/>
            </w:tcBorders>
            <w:shd w:val="clear" w:color="auto" w:fill="auto"/>
            <w:noWrap/>
            <w:vAlign w:val="center"/>
            <w:hideMark/>
          </w:tcPr>
          <w:p w14:paraId="6D737E8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83%</w:t>
            </w:r>
          </w:p>
        </w:tc>
      </w:tr>
      <w:tr w:rsidR="00106EFB" w:rsidRPr="00106EFB" w14:paraId="374D75AD" w14:textId="77777777" w:rsidTr="00860016">
        <w:trPr>
          <w:trHeight w:val="96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6FA02EE5"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18</w:t>
            </w:r>
          </w:p>
        </w:tc>
        <w:tc>
          <w:tcPr>
            <w:tcW w:w="1319" w:type="dxa"/>
            <w:tcBorders>
              <w:top w:val="nil"/>
              <w:left w:val="nil"/>
              <w:bottom w:val="single" w:sz="4" w:space="0" w:color="auto"/>
              <w:right w:val="single" w:sz="4" w:space="0" w:color="auto"/>
            </w:tcBorders>
            <w:shd w:val="clear" w:color="auto" w:fill="auto"/>
            <w:noWrap/>
            <w:vAlign w:val="center"/>
            <w:hideMark/>
          </w:tcPr>
          <w:p w14:paraId="6F33FABB"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Registros y Autorizaciones</w:t>
            </w:r>
          </w:p>
        </w:tc>
        <w:tc>
          <w:tcPr>
            <w:tcW w:w="0" w:type="auto"/>
            <w:tcBorders>
              <w:top w:val="nil"/>
              <w:left w:val="nil"/>
              <w:bottom w:val="single" w:sz="4" w:space="0" w:color="auto"/>
              <w:right w:val="single" w:sz="4" w:space="0" w:color="auto"/>
            </w:tcBorders>
            <w:shd w:val="clear" w:color="auto" w:fill="auto"/>
            <w:vAlign w:val="center"/>
            <w:hideMark/>
          </w:tcPr>
          <w:p w14:paraId="3826CC4C"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Certificado Digital de las </w:t>
            </w:r>
            <w:r w:rsidRPr="00106EFB">
              <w:rPr>
                <w:rFonts w:eastAsia="Times New Roman"/>
                <w:spacing w:val="0"/>
                <w:lang w:val="es-DO" w:eastAsia="es-DO"/>
              </w:rPr>
              <w:br/>
              <w:t xml:space="preserve">Entidades de Intermediación </w:t>
            </w:r>
            <w:r w:rsidRPr="00106EFB">
              <w:rPr>
                <w:rFonts w:eastAsia="Times New Roman"/>
                <w:spacing w:val="0"/>
                <w:lang w:val="es-DO" w:eastAsia="es-DO"/>
              </w:rPr>
              <w:br/>
              <w:t xml:space="preserve">Financiera (EIF) y Entidades </w:t>
            </w:r>
            <w:r w:rsidRPr="00106EFB">
              <w:rPr>
                <w:rFonts w:eastAsia="Times New Roman"/>
                <w:spacing w:val="0"/>
                <w:lang w:val="es-DO" w:eastAsia="es-DO"/>
              </w:rPr>
              <w:br/>
              <w:t>Cambiaria (EC</w:t>
            </w:r>
          </w:p>
        </w:tc>
        <w:tc>
          <w:tcPr>
            <w:tcW w:w="0" w:type="auto"/>
            <w:tcBorders>
              <w:top w:val="nil"/>
              <w:left w:val="nil"/>
              <w:bottom w:val="single" w:sz="4" w:space="0" w:color="auto"/>
              <w:right w:val="single" w:sz="4" w:space="0" w:color="auto"/>
            </w:tcBorders>
            <w:shd w:val="clear" w:color="auto" w:fill="auto"/>
            <w:vAlign w:val="center"/>
            <w:hideMark/>
          </w:tcPr>
          <w:p w14:paraId="43785CE5"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EIF y C </w:t>
            </w:r>
            <w:r w:rsidRPr="00106EFB">
              <w:rPr>
                <w:rFonts w:eastAsia="Times New Roman"/>
                <w:spacing w:val="0"/>
                <w:lang w:val="es-DO" w:eastAsia="es-DO"/>
              </w:rPr>
              <w:br/>
              <w:t>con certificado emitido</w:t>
            </w:r>
          </w:p>
        </w:tc>
        <w:tc>
          <w:tcPr>
            <w:tcW w:w="0" w:type="auto"/>
            <w:tcBorders>
              <w:top w:val="nil"/>
              <w:left w:val="nil"/>
              <w:bottom w:val="single" w:sz="4" w:space="0" w:color="auto"/>
              <w:right w:val="single" w:sz="4" w:space="0" w:color="auto"/>
            </w:tcBorders>
            <w:shd w:val="clear" w:color="auto" w:fill="auto"/>
            <w:noWrap/>
            <w:vAlign w:val="center"/>
            <w:hideMark/>
          </w:tcPr>
          <w:p w14:paraId="7B909C7F"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75D0B622"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62E83C3F"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025C2D82"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254A87E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r>
      <w:tr w:rsidR="00106EFB" w:rsidRPr="00106EFB" w14:paraId="6D2E7644" w14:textId="77777777" w:rsidTr="00860016">
        <w:trPr>
          <w:trHeight w:val="7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31A851E1"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19</w:t>
            </w:r>
          </w:p>
        </w:tc>
        <w:tc>
          <w:tcPr>
            <w:tcW w:w="1319" w:type="dxa"/>
            <w:tcBorders>
              <w:top w:val="nil"/>
              <w:left w:val="nil"/>
              <w:bottom w:val="single" w:sz="4" w:space="0" w:color="auto"/>
              <w:right w:val="single" w:sz="4" w:space="0" w:color="auto"/>
            </w:tcBorders>
            <w:shd w:val="clear" w:color="auto" w:fill="auto"/>
            <w:noWrap/>
            <w:vAlign w:val="center"/>
            <w:hideMark/>
          </w:tcPr>
          <w:p w14:paraId="2159EB0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Oficina de Servicios y </w:t>
            </w:r>
            <w:r w:rsidRPr="00106EFB">
              <w:rPr>
                <w:rFonts w:eastAsia="Times New Roman"/>
                <w:spacing w:val="0"/>
                <w:lang w:val="es-DO" w:eastAsia="es-DO"/>
              </w:rPr>
              <w:br/>
              <w:t xml:space="preserve">Protección al usuario </w:t>
            </w:r>
            <w:r w:rsidRPr="00106EFB">
              <w:rPr>
                <w:rFonts w:eastAsia="Times New Roman"/>
                <w:spacing w:val="0"/>
                <w:lang w:val="es-DO" w:eastAsia="es-DO"/>
              </w:rPr>
              <w:br/>
              <w:t>(ProUsuario)</w:t>
            </w:r>
          </w:p>
        </w:tc>
        <w:tc>
          <w:tcPr>
            <w:tcW w:w="0" w:type="auto"/>
            <w:tcBorders>
              <w:top w:val="nil"/>
              <w:left w:val="nil"/>
              <w:bottom w:val="single" w:sz="4" w:space="0" w:color="auto"/>
              <w:right w:val="single" w:sz="4" w:space="0" w:color="auto"/>
            </w:tcBorders>
            <w:shd w:val="clear" w:color="auto" w:fill="auto"/>
            <w:vAlign w:val="center"/>
            <w:hideMark/>
          </w:tcPr>
          <w:p w14:paraId="119A0732"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WhatsApp como Canal de </w:t>
            </w:r>
            <w:r w:rsidRPr="00106EFB">
              <w:rPr>
                <w:rFonts w:eastAsia="Times New Roman"/>
                <w:spacing w:val="0"/>
                <w:lang w:val="es-DO" w:eastAsia="es-DO"/>
              </w:rPr>
              <w:br/>
              <w:t>Atención (Fase 2)</w:t>
            </w:r>
          </w:p>
        </w:tc>
        <w:tc>
          <w:tcPr>
            <w:tcW w:w="0" w:type="auto"/>
            <w:tcBorders>
              <w:top w:val="nil"/>
              <w:left w:val="nil"/>
              <w:bottom w:val="single" w:sz="4" w:space="0" w:color="auto"/>
              <w:right w:val="single" w:sz="4" w:space="0" w:color="auto"/>
            </w:tcBorders>
            <w:shd w:val="clear" w:color="auto" w:fill="auto"/>
            <w:vAlign w:val="center"/>
            <w:hideMark/>
          </w:tcPr>
          <w:p w14:paraId="5D12BD9D"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Procesos internos </w:t>
            </w:r>
            <w:r w:rsidRPr="00106EFB">
              <w:rPr>
                <w:rFonts w:eastAsia="Times New Roman"/>
                <w:spacing w:val="0"/>
                <w:lang w:val="es-DO" w:eastAsia="es-DO"/>
              </w:rPr>
              <w:br/>
              <w:t xml:space="preserve">tramitados en el plazo </w:t>
            </w:r>
            <w:r w:rsidRPr="00106EFB">
              <w:rPr>
                <w:rFonts w:eastAsia="Times New Roman"/>
                <w:spacing w:val="0"/>
                <w:lang w:val="es-DO" w:eastAsia="es-DO"/>
              </w:rPr>
              <w:br/>
              <w:t>establecido</w:t>
            </w:r>
          </w:p>
        </w:tc>
        <w:tc>
          <w:tcPr>
            <w:tcW w:w="0" w:type="auto"/>
            <w:tcBorders>
              <w:top w:val="nil"/>
              <w:left w:val="nil"/>
              <w:bottom w:val="single" w:sz="4" w:space="0" w:color="auto"/>
              <w:right w:val="single" w:sz="4" w:space="0" w:color="auto"/>
            </w:tcBorders>
            <w:shd w:val="clear" w:color="auto" w:fill="auto"/>
            <w:noWrap/>
            <w:vAlign w:val="center"/>
            <w:hideMark/>
          </w:tcPr>
          <w:p w14:paraId="33010F92"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4ABF1E38"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20F71D71"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43313C6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52E66E9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r>
      <w:tr w:rsidR="00106EFB" w:rsidRPr="00106EFB" w14:paraId="24C4CED3" w14:textId="77777777" w:rsidTr="00860016">
        <w:trPr>
          <w:trHeight w:val="120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2A7C0ADC"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21</w:t>
            </w:r>
          </w:p>
        </w:tc>
        <w:tc>
          <w:tcPr>
            <w:tcW w:w="1319" w:type="dxa"/>
            <w:tcBorders>
              <w:top w:val="nil"/>
              <w:left w:val="nil"/>
              <w:bottom w:val="single" w:sz="4" w:space="0" w:color="auto"/>
              <w:right w:val="single" w:sz="4" w:space="0" w:color="auto"/>
            </w:tcBorders>
            <w:shd w:val="clear" w:color="auto" w:fill="auto"/>
            <w:noWrap/>
            <w:vAlign w:val="center"/>
            <w:hideMark/>
          </w:tcPr>
          <w:p w14:paraId="73B97302"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Gestión de Riesgo Operacional</w:t>
            </w:r>
          </w:p>
        </w:tc>
        <w:tc>
          <w:tcPr>
            <w:tcW w:w="0" w:type="auto"/>
            <w:tcBorders>
              <w:top w:val="nil"/>
              <w:left w:val="nil"/>
              <w:bottom w:val="single" w:sz="4" w:space="0" w:color="auto"/>
              <w:right w:val="single" w:sz="4" w:space="0" w:color="auto"/>
            </w:tcBorders>
            <w:shd w:val="clear" w:color="auto" w:fill="auto"/>
            <w:vAlign w:val="center"/>
            <w:hideMark/>
          </w:tcPr>
          <w:p w14:paraId="2C7E12C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Implementación del Sistema </w:t>
            </w:r>
            <w:r w:rsidRPr="00106EFB">
              <w:rPr>
                <w:rFonts w:eastAsia="Times New Roman"/>
                <w:spacing w:val="0"/>
                <w:lang w:val="es-DO" w:eastAsia="es-DO"/>
              </w:rPr>
              <w:br/>
              <w:t xml:space="preserve">de Gestión de Continuidad de </w:t>
            </w:r>
            <w:r w:rsidRPr="00106EFB">
              <w:rPr>
                <w:rFonts w:eastAsia="Times New Roman"/>
                <w:spacing w:val="0"/>
                <w:lang w:val="es-DO" w:eastAsia="es-DO"/>
              </w:rPr>
              <w:br/>
              <w:t>Negocio (SGCN) de la SB</w:t>
            </w:r>
          </w:p>
        </w:tc>
        <w:tc>
          <w:tcPr>
            <w:tcW w:w="0" w:type="auto"/>
            <w:tcBorders>
              <w:top w:val="nil"/>
              <w:left w:val="nil"/>
              <w:bottom w:val="single" w:sz="4" w:space="0" w:color="auto"/>
              <w:right w:val="single" w:sz="4" w:space="0" w:color="auto"/>
            </w:tcBorders>
            <w:shd w:val="clear" w:color="auto" w:fill="auto"/>
            <w:vAlign w:val="center"/>
            <w:hideMark/>
          </w:tcPr>
          <w:p w14:paraId="7BA44512"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w:t>
            </w:r>
            <w:r w:rsidRPr="00106EFB">
              <w:rPr>
                <w:rFonts w:eastAsia="Times New Roman"/>
                <w:spacing w:val="0"/>
                <w:lang w:val="es-DO" w:eastAsia="es-DO"/>
              </w:rPr>
              <w:br/>
              <w:t xml:space="preserve">Implementación del </w:t>
            </w:r>
            <w:r w:rsidRPr="00106EFB">
              <w:rPr>
                <w:rFonts w:eastAsia="Times New Roman"/>
                <w:spacing w:val="0"/>
                <w:lang w:val="es-DO" w:eastAsia="es-DO"/>
              </w:rPr>
              <w:br/>
              <w:t xml:space="preserve">Sistema de Gestión de </w:t>
            </w:r>
            <w:r w:rsidRPr="00106EFB">
              <w:rPr>
                <w:rFonts w:eastAsia="Times New Roman"/>
                <w:spacing w:val="0"/>
                <w:lang w:val="es-DO" w:eastAsia="es-DO"/>
              </w:rPr>
              <w:br/>
              <w:t xml:space="preserve">Continuidad de Negocio </w:t>
            </w:r>
            <w:r w:rsidRPr="00106EFB">
              <w:rPr>
                <w:rFonts w:eastAsia="Times New Roman"/>
                <w:spacing w:val="0"/>
                <w:lang w:val="es-DO" w:eastAsia="es-DO"/>
              </w:rPr>
              <w:br/>
              <w:t>(SGCN)</w:t>
            </w:r>
          </w:p>
        </w:tc>
        <w:tc>
          <w:tcPr>
            <w:tcW w:w="0" w:type="auto"/>
            <w:tcBorders>
              <w:top w:val="nil"/>
              <w:left w:val="nil"/>
              <w:bottom w:val="single" w:sz="4" w:space="0" w:color="auto"/>
              <w:right w:val="single" w:sz="4" w:space="0" w:color="auto"/>
            </w:tcBorders>
            <w:shd w:val="clear" w:color="auto" w:fill="auto"/>
            <w:noWrap/>
            <w:vAlign w:val="center"/>
            <w:hideMark/>
          </w:tcPr>
          <w:p w14:paraId="67FAB461"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17E6DC5C"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0EA0773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3D0A1887"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90%</w:t>
            </w:r>
          </w:p>
        </w:tc>
        <w:tc>
          <w:tcPr>
            <w:tcW w:w="0" w:type="auto"/>
            <w:tcBorders>
              <w:top w:val="nil"/>
              <w:left w:val="nil"/>
              <w:bottom w:val="single" w:sz="4" w:space="0" w:color="auto"/>
              <w:right w:val="single" w:sz="4" w:space="0" w:color="auto"/>
            </w:tcBorders>
            <w:shd w:val="clear" w:color="auto" w:fill="auto"/>
            <w:noWrap/>
            <w:vAlign w:val="center"/>
            <w:hideMark/>
          </w:tcPr>
          <w:p w14:paraId="475BB894"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90%</w:t>
            </w:r>
          </w:p>
        </w:tc>
      </w:tr>
      <w:tr w:rsidR="00106EFB" w:rsidRPr="00106EFB" w14:paraId="1909913E" w14:textId="77777777" w:rsidTr="00860016">
        <w:trPr>
          <w:trHeight w:val="7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2D3F2BF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lastRenderedPageBreak/>
              <w:t>22</w:t>
            </w:r>
          </w:p>
        </w:tc>
        <w:tc>
          <w:tcPr>
            <w:tcW w:w="1319" w:type="dxa"/>
            <w:tcBorders>
              <w:top w:val="nil"/>
              <w:left w:val="nil"/>
              <w:bottom w:val="single" w:sz="4" w:space="0" w:color="auto"/>
              <w:right w:val="single" w:sz="4" w:space="0" w:color="auto"/>
            </w:tcBorders>
            <w:shd w:val="clear" w:color="auto" w:fill="auto"/>
            <w:noWrap/>
            <w:vAlign w:val="center"/>
            <w:hideMark/>
          </w:tcPr>
          <w:p w14:paraId="6B85E51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Seguridad de la Información</w:t>
            </w:r>
          </w:p>
        </w:tc>
        <w:tc>
          <w:tcPr>
            <w:tcW w:w="0" w:type="auto"/>
            <w:tcBorders>
              <w:top w:val="nil"/>
              <w:left w:val="nil"/>
              <w:bottom w:val="single" w:sz="4" w:space="0" w:color="auto"/>
              <w:right w:val="single" w:sz="4" w:space="0" w:color="auto"/>
            </w:tcBorders>
            <w:shd w:val="clear" w:color="auto" w:fill="auto"/>
            <w:vAlign w:val="center"/>
            <w:hideMark/>
          </w:tcPr>
          <w:p w14:paraId="0AB1843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Certificación ISO27001</w:t>
            </w:r>
          </w:p>
        </w:tc>
        <w:tc>
          <w:tcPr>
            <w:tcW w:w="0" w:type="auto"/>
            <w:tcBorders>
              <w:top w:val="nil"/>
              <w:left w:val="nil"/>
              <w:bottom w:val="single" w:sz="4" w:space="0" w:color="auto"/>
              <w:right w:val="single" w:sz="4" w:space="0" w:color="auto"/>
            </w:tcBorders>
            <w:shd w:val="clear" w:color="auto" w:fill="auto"/>
            <w:vAlign w:val="center"/>
            <w:hideMark/>
          </w:tcPr>
          <w:p w14:paraId="5729C69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w:t>
            </w:r>
            <w:r w:rsidRPr="00106EFB">
              <w:rPr>
                <w:rFonts w:eastAsia="Times New Roman"/>
                <w:spacing w:val="0"/>
                <w:lang w:val="es-DO" w:eastAsia="es-DO"/>
              </w:rPr>
              <w:br/>
              <w:t xml:space="preserve">implementación según </w:t>
            </w:r>
            <w:r w:rsidRPr="00106EFB">
              <w:rPr>
                <w:rFonts w:eastAsia="Times New Roman"/>
                <w:spacing w:val="0"/>
                <w:lang w:val="es-DO" w:eastAsia="es-DO"/>
              </w:rPr>
              <w:br/>
              <w:t>hitos</w:t>
            </w:r>
          </w:p>
        </w:tc>
        <w:tc>
          <w:tcPr>
            <w:tcW w:w="0" w:type="auto"/>
            <w:tcBorders>
              <w:top w:val="nil"/>
              <w:left w:val="nil"/>
              <w:bottom w:val="single" w:sz="4" w:space="0" w:color="auto"/>
              <w:right w:val="single" w:sz="4" w:space="0" w:color="auto"/>
            </w:tcBorders>
            <w:shd w:val="clear" w:color="auto" w:fill="auto"/>
            <w:noWrap/>
            <w:vAlign w:val="center"/>
            <w:hideMark/>
          </w:tcPr>
          <w:p w14:paraId="78B44074"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3619ABC9"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11E00B6C"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5B22FA0F"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55%</w:t>
            </w:r>
          </w:p>
        </w:tc>
        <w:tc>
          <w:tcPr>
            <w:tcW w:w="0" w:type="auto"/>
            <w:tcBorders>
              <w:top w:val="nil"/>
              <w:left w:val="nil"/>
              <w:bottom w:val="single" w:sz="4" w:space="0" w:color="auto"/>
              <w:right w:val="single" w:sz="4" w:space="0" w:color="auto"/>
            </w:tcBorders>
            <w:shd w:val="clear" w:color="auto" w:fill="auto"/>
            <w:noWrap/>
            <w:vAlign w:val="center"/>
            <w:hideMark/>
          </w:tcPr>
          <w:p w14:paraId="67E00AC2"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55%</w:t>
            </w:r>
          </w:p>
        </w:tc>
      </w:tr>
      <w:tr w:rsidR="00106EFB" w:rsidRPr="00106EFB" w14:paraId="1A33D38B" w14:textId="77777777" w:rsidTr="00860016">
        <w:trPr>
          <w:trHeight w:val="7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1F15A60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23</w:t>
            </w:r>
          </w:p>
        </w:tc>
        <w:tc>
          <w:tcPr>
            <w:tcW w:w="1319" w:type="dxa"/>
            <w:tcBorders>
              <w:top w:val="nil"/>
              <w:left w:val="nil"/>
              <w:bottom w:val="single" w:sz="4" w:space="0" w:color="auto"/>
              <w:right w:val="single" w:sz="4" w:space="0" w:color="auto"/>
            </w:tcBorders>
            <w:shd w:val="clear" w:color="auto" w:fill="auto"/>
            <w:noWrap/>
            <w:vAlign w:val="center"/>
            <w:hideMark/>
          </w:tcPr>
          <w:p w14:paraId="1C90393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Secretaría</w:t>
            </w:r>
          </w:p>
        </w:tc>
        <w:tc>
          <w:tcPr>
            <w:tcW w:w="0" w:type="auto"/>
            <w:tcBorders>
              <w:top w:val="nil"/>
              <w:left w:val="nil"/>
              <w:bottom w:val="single" w:sz="4" w:space="0" w:color="auto"/>
              <w:right w:val="single" w:sz="4" w:space="0" w:color="auto"/>
            </w:tcBorders>
            <w:shd w:val="clear" w:color="auto" w:fill="auto"/>
            <w:vAlign w:val="center"/>
            <w:hideMark/>
          </w:tcPr>
          <w:p w14:paraId="63EF8317"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 Implementación de Órganos </w:t>
            </w:r>
            <w:r w:rsidRPr="00106EFB">
              <w:rPr>
                <w:rFonts w:eastAsia="Times New Roman"/>
                <w:spacing w:val="0"/>
                <w:lang w:val="es-DO" w:eastAsia="es-DO"/>
              </w:rPr>
              <w:br/>
              <w:t>de Gobernanza en la SB</w:t>
            </w:r>
          </w:p>
        </w:tc>
        <w:tc>
          <w:tcPr>
            <w:tcW w:w="0" w:type="auto"/>
            <w:tcBorders>
              <w:top w:val="nil"/>
              <w:left w:val="nil"/>
              <w:bottom w:val="single" w:sz="4" w:space="0" w:color="auto"/>
              <w:right w:val="single" w:sz="4" w:space="0" w:color="auto"/>
            </w:tcBorders>
            <w:shd w:val="clear" w:color="auto" w:fill="auto"/>
            <w:vAlign w:val="center"/>
            <w:hideMark/>
          </w:tcPr>
          <w:p w14:paraId="7684E537"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w:t>
            </w:r>
            <w:r w:rsidRPr="00106EFB">
              <w:rPr>
                <w:rFonts w:eastAsia="Times New Roman"/>
                <w:spacing w:val="0"/>
                <w:lang w:val="es-DO" w:eastAsia="es-DO"/>
              </w:rPr>
              <w:br/>
              <w:t xml:space="preserve">implementación según </w:t>
            </w:r>
            <w:r w:rsidRPr="00106EFB">
              <w:rPr>
                <w:rFonts w:eastAsia="Times New Roman"/>
                <w:spacing w:val="0"/>
                <w:lang w:val="es-DO" w:eastAsia="es-DO"/>
              </w:rPr>
              <w:br/>
              <w:t>hitos</w:t>
            </w:r>
          </w:p>
        </w:tc>
        <w:tc>
          <w:tcPr>
            <w:tcW w:w="0" w:type="auto"/>
            <w:tcBorders>
              <w:top w:val="nil"/>
              <w:left w:val="nil"/>
              <w:bottom w:val="single" w:sz="4" w:space="0" w:color="auto"/>
              <w:right w:val="single" w:sz="4" w:space="0" w:color="auto"/>
            </w:tcBorders>
            <w:shd w:val="clear" w:color="auto" w:fill="auto"/>
            <w:noWrap/>
            <w:vAlign w:val="center"/>
            <w:hideMark/>
          </w:tcPr>
          <w:p w14:paraId="635A6358"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1DA20442"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6B8A10EB"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2AB8096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714C610B"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r>
      <w:tr w:rsidR="00106EFB" w:rsidRPr="00106EFB" w14:paraId="7EA8D26B" w14:textId="77777777" w:rsidTr="00860016">
        <w:trPr>
          <w:trHeight w:val="7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51472861"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25</w:t>
            </w:r>
          </w:p>
        </w:tc>
        <w:tc>
          <w:tcPr>
            <w:tcW w:w="1319" w:type="dxa"/>
            <w:tcBorders>
              <w:top w:val="nil"/>
              <w:left w:val="nil"/>
              <w:bottom w:val="single" w:sz="4" w:space="0" w:color="auto"/>
              <w:right w:val="single" w:sz="4" w:space="0" w:color="auto"/>
            </w:tcBorders>
            <w:shd w:val="clear" w:color="auto" w:fill="auto"/>
            <w:noWrap/>
            <w:vAlign w:val="center"/>
            <w:hideMark/>
          </w:tcPr>
          <w:p w14:paraId="31E4E38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Tecnología</w:t>
            </w:r>
          </w:p>
        </w:tc>
        <w:tc>
          <w:tcPr>
            <w:tcW w:w="0" w:type="auto"/>
            <w:tcBorders>
              <w:top w:val="nil"/>
              <w:left w:val="nil"/>
              <w:bottom w:val="single" w:sz="4" w:space="0" w:color="auto"/>
              <w:right w:val="single" w:sz="4" w:space="0" w:color="auto"/>
            </w:tcBorders>
            <w:shd w:val="clear" w:color="auto" w:fill="auto"/>
            <w:vAlign w:val="center"/>
            <w:hideMark/>
          </w:tcPr>
          <w:p w14:paraId="34F8DD0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Implementación </w:t>
            </w:r>
            <w:r w:rsidRPr="00106EFB">
              <w:rPr>
                <w:rFonts w:eastAsia="Times New Roman"/>
                <w:spacing w:val="0"/>
                <w:lang w:val="es-DO" w:eastAsia="es-DO"/>
              </w:rPr>
              <w:br/>
              <w:t>Herramienta de Calidad de Datos</w:t>
            </w:r>
          </w:p>
        </w:tc>
        <w:tc>
          <w:tcPr>
            <w:tcW w:w="0" w:type="auto"/>
            <w:tcBorders>
              <w:top w:val="nil"/>
              <w:left w:val="nil"/>
              <w:bottom w:val="single" w:sz="4" w:space="0" w:color="auto"/>
              <w:right w:val="single" w:sz="4" w:space="0" w:color="auto"/>
            </w:tcBorders>
            <w:shd w:val="clear" w:color="auto" w:fill="auto"/>
            <w:vAlign w:val="center"/>
            <w:hideMark/>
          </w:tcPr>
          <w:p w14:paraId="4A431C9F"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w:t>
            </w:r>
            <w:r w:rsidRPr="00106EFB">
              <w:rPr>
                <w:rFonts w:eastAsia="Times New Roman"/>
                <w:spacing w:val="0"/>
                <w:lang w:val="es-DO" w:eastAsia="es-DO"/>
              </w:rPr>
              <w:br/>
              <w:t xml:space="preserve">implementación según </w:t>
            </w:r>
            <w:r w:rsidRPr="00106EFB">
              <w:rPr>
                <w:rFonts w:eastAsia="Times New Roman"/>
                <w:spacing w:val="0"/>
                <w:lang w:val="es-DO" w:eastAsia="es-DO"/>
              </w:rPr>
              <w:br/>
              <w:t>hitos</w:t>
            </w:r>
          </w:p>
        </w:tc>
        <w:tc>
          <w:tcPr>
            <w:tcW w:w="0" w:type="auto"/>
            <w:tcBorders>
              <w:top w:val="nil"/>
              <w:left w:val="nil"/>
              <w:bottom w:val="single" w:sz="4" w:space="0" w:color="auto"/>
              <w:right w:val="single" w:sz="4" w:space="0" w:color="auto"/>
            </w:tcBorders>
            <w:shd w:val="clear" w:color="auto" w:fill="auto"/>
            <w:noWrap/>
            <w:vAlign w:val="center"/>
            <w:hideMark/>
          </w:tcPr>
          <w:p w14:paraId="0BADCE84"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25D84DC2"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762BE0F7"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0C626D9A"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60%</w:t>
            </w:r>
          </w:p>
        </w:tc>
        <w:tc>
          <w:tcPr>
            <w:tcW w:w="0" w:type="auto"/>
            <w:tcBorders>
              <w:top w:val="nil"/>
              <w:left w:val="nil"/>
              <w:bottom w:val="single" w:sz="4" w:space="0" w:color="auto"/>
              <w:right w:val="single" w:sz="4" w:space="0" w:color="auto"/>
            </w:tcBorders>
            <w:shd w:val="clear" w:color="auto" w:fill="auto"/>
            <w:noWrap/>
            <w:vAlign w:val="center"/>
            <w:hideMark/>
          </w:tcPr>
          <w:p w14:paraId="371368D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60%</w:t>
            </w:r>
          </w:p>
        </w:tc>
      </w:tr>
      <w:tr w:rsidR="00106EFB" w:rsidRPr="00106EFB" w14:paraId="7BD06029" w14:textId="77777777" w:rsidTr="00860016">
        <w:trPr>
          <w:trHeight w:val="96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2D9D516D"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26</w:t>
            </w:r>
          </w:p>
        </w:tc>
        <w:tc>
          <w:tcPr>
            <w:tcW w:w="1319" w:type="dxa"/>
            <w:tcBorders>
              <w:top w:val="nil"/>
              <w:left w:val="nil"/>
              <w:bottom w:val="single" w:sz="4" w:space="0" w:color="auto"/>
              <w:right w:val="single" w:sz="4" w:space="0" w:color="auto"/>
            </w:tcBorders>
            <w:shd w:val="clear" w:color="auto" w:fill="auto"/>
            <w:noWrap/>
            <w:vAlign w:val="center"/>
            <w:hideMark/>
          </w:tcPr>
          <w:p w14:paraId="0749948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Gestión de Edificaciones y </w:t>
            </w:r>
            <w:r w:rsidRPr="00106EFB">
              <w:rPr>
                <w:rFonts w:eastAsia="Times New Roman"/>
                <w:spacing w:val="0"/>
                <w:lang w:val="es-DO" w:eastAsia="es-DO"/>
              </w:rPr>
              <w:br/>
              <w:t>Servicios</w:t>
            </w:r>
          </w:p>
        </w:tc>
        <w:tc>
          <w:tcPr>
            <w:tcW w:w="0" w:type="auto"/>
            <w:tcBorders>
              <w:top w:val="nil"/>
              <w:left w:val="nil"/>
              <w:bottom w:val="single" w:sz="4" w:space="0" w:color="auto"/>
              <w:right w:val="single" w:sz="4" w:space="0" w:color="auto"/>
            </w:tcBorders>
            <w:shd w:val="clear" w:color="auto" w:fill="auto"/>
            <w:vAlign w:val="center"/>
            <w:hideMark/>
          </w:tcPr>
          <w:p w14:paraId="2CD29412"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Regularización Aceras, </w:t>
            </w:r>
            <w:r w:rsidRPr="00106EFB">
              <w:rPr>
                <w:rFonts w:eastAsia="Times New Roman"/>
                <w:spacing w:val="0"/>
                <w:lang w:val="es-DO" w:eastAsia="es-DO"/>
              </w:rPr>
              <w:br/>
              <w:t xml:space="preserve">Retiros y Linderos, y Readecuación </w:t>
            </w:r>
            <w:r w:rsidRPr="00106EFB">
              <w:rPr>
                <w:rFonts w:eastAsia="Times New Roman"/>
                <w:spacing w:val="0"/>
                <w:lang w:val="es-DO" w:eastAsia="es-DO"/>
              </w:rPr>
              <w:br/>
              <w:t xml:space="preserve">Acceso Peatonal y Vehicular en la </w:t>
            </w:r>
            <w:r w:rsidRPr="00106EFB">
              <w:rPr>
                <w:rFonts w:eastAsia="Times New Roman"/>
                <w:spacing w:val="0"/>
                <w:lang w:val="es-DO" w:eastAsia="es-DO"/>
              </w:rPr>
              <w:br/>
              <w:t>Sede de la SB</w:t>
            </w:r>
          </w:p>
        </w:tc>
        <w:tc>
          <w:tcPr>
            <w:tcW w:w="0" w:type="auto"/>
            <w:tcBorders>
              <w:top w:val="nil"/>
              <w:left w:val="nil"/>
              <w:bottom w:val="single" w:sz="4" w:space="0" w:color="auto"/>
              <w:right w:val="single" w:sz="4" w:space="0" w:color="auto"/>
            </w:tcBorders>
            <w:shd w:val="clear" w:color="auto" w:fill="auto"/>
            <w:vAlign w:val="center"/>
            <w:hideMark/>
          </w:tcPr>
          <w:p w14:paraId="25873867"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Porcentaje de avance</w:t>
            </w:r>
          </w:p>
        </w:tc>
        <w:tc>
          <w:tcPr>
            <w:tcW w:w="0" w:type="auto"/>
            <w:tcBorders>
              <w:top w:val="nil"/>
              <w:left w:val="nil"/>
              <w:bottom w:val="single" w:sz="4" w:space="0" w:color="auto"/>
              <w:right w:val="single" w:sz="4" w:space="0" w:color="auto"/>
            </w:tcBorders>
            <w:shd w:val="clear" w:color="auto" w:fill="auto"/>
            <w:noWrap/>
            <w:vAlign w:val="center"/>
            <w:hideMark/>
          </w:tcPr>
          <w:p w14:paraId="4F8B944B"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38C4E90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752C549B"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40B6BED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40%</w:t>
            </w:r>
          </w:p>
        </w:tc>
        <w:tc>
          <w:tcPr>
            <w:tcW w:w="0" w:type="auto"/>
            <w:tcBorders>
              <w:top w:val="nil"/>
              <w:left w:val="nil"/>
              <w:bottom w:val="single" w:sz="4" w:space="0" w:color="auto"/>
              <w:right w:val="single" w:sz="4" w:space="0" w:color="auto"/>
            </w:tcBorders>
            <w:shd w:val="clear" w:color="auto" w:fill="auto"/>
            <w:noWrap/>
            <w:vAlign w:val="center"/>
            <w:hideMark/>
          </w:tcPr>
          <w:p w14:paraId="3DC2F8D2"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40%</w:t>
            </w:r>
          </w:p>
        </w:tc>
      </w:tr>
      <w:tr w:rsidR="00106EFB" w:rsidRPr="00106EFB" w14:paraId="5FB78C08" w14:textId="77777777" w:rsidTr="00860016">
        <w:trPr>
          <w:trHeight w:val="48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0405F6DD"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27</w:t>
            </w:r>
          </w:p>
        </w:tc>
        <w:tc>
          <w:tcPr>
            <w:tcW w:w="1319" w:type="dxa"/>
            <w:tcBorders>
              <w:top w:val="nil"/>
              <w:left w:val="nil"/>
              <w:bottom w:val="single" w:sz="4" w:space="0" w:color="auto"/>
              <w:right w:val="single" w:sz="4" w:space="0" w:color="auto"/>
            </w:tcBorders>
            <w:shd w:val="clear" w:color="auto" w:fill="auto"/>
            <w:noWrap/>
            <w:vAlign w:val="center"/>
            <w:hideMark/>
          </w:tcPr>
          <w:p w14:paraId="73DC3A6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Gestión de Edificaciones y </w:t>
            </w:r>
            <w:r w:rsidRPr="00106EFB">
              <w:rPr>
                <w:rFonts w:eastAsia="Times New Roman"/>
                <w:spacing w:val="0"/>
                <w:lang w:val="es-DO" w:eastAsia="es-DO"/>
              </w:rPr>
              <w:br/>
              <w:t>Servicios</w:t>
            </w:r>
          </w:p>
        </w:tc>
        <w:tc>
          <w:tcPr>
            <w:tcW w:w="0" w:type="auto"/>
            <w:tcBorders>
              <w:top w:val="nil"/>
              <w:left w:val="nil"/>
              <w:bottom w:val="single" w:sz="4" w:space="0" w:color="auto"/>
              <w:right w:val="single" w:sz="4" w:space="0" w:color="auto"/>
            </w:tcBorders>
            <w:shd w:val="clear" w:color="auto" w:fill="auto"/>
            <w:vAlign w:val="center"/>
            <w:hideMark/>
          </w:tcPr>
          <w:p w14:paraId="62B94B25"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Readecuación de Oficinas </w:t>
            </w:r>
            <w:r w:rsidRPr="00106EFB">
              <w:rPr>
                <w:rFonts w:eastAsia="Times New Roman"/>
                <w:spacing w:val="0"/>
                <w:lang w:val="es-DO" w:eastAsia="es-DO"/>
              </w:rPr>
              <w:br/>
              <w:t>ProUsuario Regional Norte (Santiago)</w:t>
            </w:r>
          </w:p>
        </w:tc>
        <w:tc>
          <w:tcPr>
            <w:tcW w:w="0" w:type="auto"/>
            <w:tcBorders>
              <w:top w:val="nil"/>
              <w:left w:val="nil"/>
              <w:bottom w:val="single" w:sz="4" w:space="0" w:color="auto"/>
              <w:right w:val="single" w:sz="4" w:space="0" w:color="auto"/>
            </w:tcBorders>
            <w:shd w:val="clear" w:color="auto" w:fill="auto"/>
            <w:vAlign w:val="center"/>
            <w:hideMark/>
          </w:tcPr>
          <w:p w14:paraId="7984C07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Porcentaje de avance</w:t>
            </w:r>
          </w:p>
        </w:tc>
        <w:tc>
          <w:tcPr>
            <w:tcW w:w="0" w:type="auto"/>
            <w:tcBorders>
              <w:top w:val="nil"/>
              <w:left w:val="nil"/>
              <w:bottom w:val="single" w:sz="4" w:space="0" w:color="auto"/>
              <w:right w:val="single" w:sz="4" w:space="0" w:color="auto"/>
            </w:tcBorders>
            <w:shd w:val="clear" w:color="auto" w:fill="auto"/>
            <w:noWrap/>
            <w:vAlign w:val="center"/>
            <w:hideMark/>
          </w:tcPr>
          <w:p w14:paraId="74D7FF3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1D663872"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75903D0F"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39836BE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66%</w:t>
            </w:r>
          </w:p>
        </w:tc>
        <w:tc>
          <w:tcPr>
            <w:tcW w:w="0" w:type="auto"/>
            <w:tcBorders>
              <w:top w:val="nil"/>
              <w:left w:val="nil"/>
              <w:bottom w:val="single" w:sz="4" w:space="0" w:color="auto"/>
              <w:right w:val="single" w:sz="4" w:space="0" w:color="auto"/>
            </w:tcBorders>
            <w:shd w:val="clear" w:color="auto" w:fill="auto"/>
            <w:noWrap/>
            <w:vAlign w:val="center"/>
            <w:hideMark/>
          </w:tcPr>
          <w:p w14:paraId="01CE3AEF"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40%</w:t>
            </w:r>
          </w:p>
        </w:tc>
      </w:tr>
      <w:tr w:rsidR="00106EFB" w:rsidRPr="00106EFB" w14:paraId="6842D961" w14:textId="77777777" w:rsidTr="00860016">
        <w:trPr>
          <w:trHeight w:val="48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1F840B5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28</w:t>
            </w:r>
          </w:p>
        </w:tc>
        <w:tc>
          <w:tcPr>
            <w:tcW w:w="1319" w:type="dxa"/>
            <w:tcBorders>
              <w:top w:val="nil"/>
              <w:left w:val="nil"/>
              <w:bottom w:val="single" w:sz="4" w:space="0" w:color="auto"/>
              <w:right w:val="single" w:sz="4" w:space="0" w:color="auto"/>
            </w:tcBorders>
            <w:shd w:val="clear" w:color="auto" w:fill="auto"/>
            <w:noWrap/>
            <w:vAlign w:val="center"/>
            <w:hideMark/>
          </w:tcPr>
          <w:p w14:paraId="27B4D451"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Gestión de Edificacion</w:t>
            </w:r>
            <w:r w:rsidRPr="00106EFB">
              <w:rPr>
                <w:rFonts w:eastAsia="Times New Roman"/>
                <w:spacing w:val="0"/>
                <w:lang w:val="es-DO" w:eastAsia="es-DO"/>
              </w:rPr>
              <w:lastRenderedPageBreak/>
              <w:t xml:space="preserve">es y </w:t>
            </w:r>
            <w:r w:rsidRPr="00106EFB">
              <w:rPr>
                <w:rFonts w:eastAsia="Times New Roman"/>
                <w:spacing w:val="0"/>
                <w:lang w:val="es-DO" w:eastAsia="es-DO"/>
              </w:rPr>
              <w:br/>
              <w:t>Servicios</w:t>
            </w:r>
          </w:p>
        </w:tc>
        <w:tc>
          <w:tcPr>
            <w:tcW w:w="0" w:type="auto"/>
            <w:tcBorders>
              <w:top w:val="nil"/>
              <w:left w:val="nil"/>
              <w:bottom w:val="single" w:sz="4" w:space="0" w:color="auto"/>
              <w:right w:val="single" w:sz="4" w:space="0" w:color="auto"/>
            </w:tcBorders>
            <w:shd w:val="clear" w:color="auto" w:fill="auto"/>
            <w:vAlign w:val="center"/>
            <w:hideMark/>
          </w:tcPr>
          <w:p w14:paraId="5F41DF9F"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lastRenderedPageBreak/>
              <w:t xml:space="preserve">Readecuación de </w:t>
            </w:r>
            <w:r w:rsidRPr="00106EFB">
              <w:rPr>
                <w:rFonts w:eastAsia="Times New Roman"/>
                <w:spacing w:val="0"/>
                <w:lang w:val="es-DO" w:eastAsia="es-DO"/>
              </w:rPr>
              <w:lastRenderedPageBreak/>
              <w:t xml:space="preserve">Oficinas </w:t>
            </w:r>
            <w:r w:rsidRPr="00106EFB">
              <w:rPr>
                <w:rFonts w:eastAsia="Times New Roman"/>
                <w:spacing w:val="0"/>
                <w:lang w:val="es-DO" w:eastAsia="es-DO"/>
              </w:rPr>
              <w:br/>
              <w:t>ProUsuario, IFIL y Supervisión</w:t>
            </w:r>
          </w:p>
        </w:tc>
        <w:tc>
          <w:tcPr>
            <w:tcW w:w="0" w:type="auto"/>
            <w:tcBorders>
              <w:top w:val="nil"/>
              <w:left w:val="nil"/>
              <w:bottom w:val="single" w:sz="4" w:space="0" w:color="auto"/>
              <w:right w:val="single" w:sz="4" w:space="0" w:color="auto"/>
            </w:tcBorders>
            <w:shd w:val="clear" w:color="auto" w:fill="auto"/>
            <w:vAlign w:val="center"/>
            <w:hideMark/>
          </w:tcPr>
          <w:p w14:paraId="7D2CB97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lastRenderedPageBreak/>
              <w:t>Porcentaje de avance</w:t>
            </w:r>
          </w:p>
        </w:tc>
        <w:tc>
          <w:tcPr>
            <w:tcW w:w="0" w:type="auto"/>
            <w:tcBorders>
              <w:top w:val="nil"/>
              <w:left w:val="nil"/>
              <w:bottom w:val="single" w:sz="4" w:space="0" w:color="auto"/>
              <w:right w:val="single" w:sz="4" w:space="0" w:color="auto"/>
            </w:tcBorders>
            <w:shd w:val="clear" w:color="auto" w:fill="auto"/>
            <w:noWrap/>
            <w:vAlign w:val="center"/>
            <w:hideMark/>
          </w:tcPr>
          <w:p w14:paraId="37D3065C"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35A7B6E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7E1FF688"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2B41B7F8"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50%</w:t>
            </w:r>
          </w:p>
        </w:tc>
        <w:tc>
          <w:tcPr>
            <w:tcW w:w="0" w:type="auto"/>
            <w:tcBorders>
              <w:top w:val="nil"/>
              <w:left w:val="nil"/>
              <w:bottom w:val="single" w:sz="4" w:space="0" w:color="auto"/>
              <w:right w:val="single" w:sz="4" w:space="0" w:color="auto"/>
            </w:tcBorders>
            <w:shd w:val="clear" w:color="auto" w:fill="auto"/>
            <w:noWrap/>
            <w:vAlign w:val="center"/>
            <w:hideMark/>
          </w:tcPr>
          <w:p w14:paraId="133B629D"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50%</w:t>
            </w:r>
          </w:p>
        </w:tc>
      </w:tr>
      <w:tr w:rsidR="00106EFB" w:rsidRPr="00106EFB" w14:paraId="5D373E55" w14:textId="77777777" w:rsidTr="00860016">
        <w:trPr>
          <w:trHeight w:val="48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679A4EDA"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31</w:t>
            </w:r>
          </w:p>
        </w:tc>
        <w:tc>
          <w:tcPr>
            <w:tcW w:w="1319" w:type="dxa"/>
            <w:tcBorders>
              <w:top w:val="nil"/>
              <w:left w:val="nil"/>
              <w:bottom w:val="single" w:sz="4" w:space="0" w:color="auto"/>
              <w:right w:val="single" w:sz="4" w:space="0" w:color="auto"/>
            </w:tcBorders>
            <w:shd w:val="clear" w:color="auto" w:fill="auto"/>
            <w:noWrap/>
            <w:vAlign w:val="center"/>
            <w:hideMark/>
          </w:tcPr>
          <w:p w14:paraId="25D001A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Relaciones Internacionales e </w:t>
            </w:r>
            <w:r w:rsidRPr="00106EFB">
              <w:rPr>
                <w:rFonts w:eastAsia="Times New Roman"/>
                <w:spacing w:val="0"/>
                <w:lang w:val="es-DO" w:eastAsia="es-DO"/>
              </w:rPr>
              <w:br/>
              <w:t>Interinstitucionales</w:t>
            </w:r>
          </w:p>
        </w:tc>
        <w:tc>
          <w:tcPr>
            <w:tcW w:w="0" w:type="auto"/>
            <w:tcBorders>
              <w:top w:val="nil"/>
              <w:left w:val="nil"/>
              <w:bottom w:val="single" w:sz="4" w:space="0" w:color="auto"/>
              <w:right w:val="single" w:sz="4" w:space="0" w:color="auto"/>
            </w:tcBorders>
            <w:shd w:val="clear" w:color="auto" w:fill="auto"/>
            <w:vAlign w:val="center"/>
            <w:hideMark/>
          </w:tcPr>
          <w:p w14:paraId="37DB1757"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Cierre de Brechas de Género </w:t>
            </w:r>
            <w:r w:rsidRPr="00106EFB">
              <w:rPr>
                <w:rFonts w:eastAsia="Times New Roman"/>
                <w:spacing w:val="0"/>
                <w:lang w:val="es-DO" w:eastAsia="es-DO"/>
              </w:rPr>
              <w:br/>
              <w:t>Institucional 2023</w:t>
            </w:r>
          </w:p>
        </w:tc>
        <w:tc>
          <w:tcPr>
            <w:tcW w:w="0" w:type="auto"/>
            <w:tcBorders>
              <w:top w:val="nil"/>
              <w:left w:val="nil"/>
              <w:bottom w:val="single" w:sz="4" w:space="0" w:color="auto"/>
              <w:right w:val="single" w:sz="4" w:space="0" w:color="auto"/>
            </w:tcBorders>
            <w:shd w:val="clear" w:color="auto" w:fill="auto"/>
            <w:vAlign w:val="center"/>
            <w:hideMark/>
          </w:tcPr>
          <w:p w14:paraId="6B1B31A1"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avance </w:t>
            </w:r>
            <w:r w:rsidRPr="00106EFB">
              <w:rPr>
                <w:rFonts w:eastAsia="Times New Roman"/>
                <w:spacing w:val="0"/>
                <w:lang w:val="es-DO" w:eastAsia="es-DO"/>
              </w:rPr>
              <w:br/>
              <w:t>según hitos</w:t>
            </w:r>
          </w:p>
        </w:tc>
        <w:tc>
          <w:tcPr>
            <w:tcW w:w="0" w:type="auto"/>
            <w:tcBorders>
              <w:top w:val="nil"/>
              <w:left w:val="nil"/>
              <w:bottom w:val="single" w:sz="4" w:space="0" w:color="auto"/>
              <w:right w:val="single" w:sz="4" w:space="0" w:color="auto"/>
            </w:tcBorders>
            <w:shd w:val="clear" w:color="auto" w:fill="auto"/>
            <w:noWrap/>
            <w:vAlign w:val="center"/>
            <w:hideMark/>
          </w:tcPr>
          <w:p w14:paraId="0D4BE334"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33580327"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527DD10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3FC8B59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11EA1BC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r>
      <w:tr w:rsidR="00106EFB" w:rsidRPr="00106EFB" w14:paraId="33D513D1" w14:textId="77777777" w:rsidTr="00860016">
        <w:trPr>
          <w:trHeight w:val="48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2B5F3BD1"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32</w:t>
            </w:r>
          </w:p>
        </w:tc>
        <w:tc>
          <w:tcPr>
            <w:tcW w:w="1319" w:type="dxa"/>
            <w:tcBorders>
              <w:top w:val="nil"/>
              <w:left w:val="nil"/>
              <w:bottom w:val="single" w:sz="4" w:space="0" w:color="auto"/>
              <w:right w:val="single" w:sz="4" w:space="0" w:color="auto"/>
            </w:tcBorders>
            <w:shd w:val="clear" w:color="auto" w:fill="auto"/>
            <w:noWrap/>
            <w:vAlign w:val="center"/>
            <w:hideMark/>
          </w:tcPr>
          <w:p w14:paraId="7F867AD8"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Gestión Humana</w:t>
            </w:r>
          </w:p>
        </w:tc>
        <w:tc>
          <w:tcPr>
            <w:tcW w:w="0" w:type="auto"/>
            <w:tcBorders>
              <w:top w:val="nil"/>
              <w:left w:val="nil"/>
              <w:bottom w:val="single" w:sz="4" w:space="0" w:color="auto"/>
              <w:right w:val="single" w:sz="4" w:space="0" w:color="auto"/>
            </w:tcBorders>
            <w:shd w:val="clear" w:color="auto" w:fill="auto"/>
            <w:vAlign w:val="center"/>
            <w:hideMark/>
          </w:tcPr>
          <w:p w14:paraId="652399F7"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Programa Bienestar Laboral</w:t>
            </w:r>
          </w:p>
        </w:tc>
        <w:tc>
          <w:tcPr>
            <w:tcW w:w="0" w:type="auto"/>
            <w:tcBorders>
              <w:top w:val="nil"/>
              <w:left w:val="nil"/>
              <w:bottom w:val="single" w:sz="4" w:space="0" w:color="auto"/>
              <w:right w:val="single" w:sz="4" w:space="0" w:color="auto"/>
            </w:tcBorders>
            <w:shd w:val="clear" w:color="auto" w:fill="auto"/>
            <w:vAlign w:val="center"/>
            <w:hideMark/>
          </w:tcPr>
          <w:p w14:paraId="21D68F58"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Avance </w:t>
            </w:r>
            <w:r w:rsidRPr="00106EFB">
              <w:rPr>
                <w:rFonts w:eastAsia="Times New Roman"/>
                <w:spacing w:val="0"/>
                <w:lang w:val="es-DO" w:eastAsia="es-DO"/>
              </w:rPr>
              <w:br/>
              <w:t>del proyecto según hitos</w:t>
            </w:r>
          </w:p>
        </w:tc>
        <w:tc>
          <w:tcPr>
            <w:tcW w:w="0" w:type="auto"/>
            <w:tcBorders>
              <w:top w:val="nil"/>
              <w:left w:val="nil"/>
              <w:bottom w:val="single" w:sz="4" w:space="0" w:color="auto"/>
              <w:right w:val="single" w:sz="4" w:space="0" w:color="auto"/>
            </w:tcBorders>
            <w:shd w:val="clear" w:color="auto" w:fill="auto"/>
            <w:noWrap/>
            <w:vAlign w:val="center"/>
            <w:hideMark/>
          </w:tcPr>
          <w:p w14:paraId="3F45EB0D"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78572185"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41ADD65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4503A39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37A79A3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r>
      <w:tr w:rsidR="00106EFB" w:rsidRPr="00106EFB" w14:paraId="70ACCBA4" w14:textId="77777777" w:rsidTr="00860016">
        <w:trPr>
          <w:trHeight w:val="7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106603DB"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33</w:t>
            </w:r>
          </w:p>
        </w:tc>
        <w:tc>
          <w:tcPr>
            <w:tcW w:w="1319" w:type="dxa"/>
            <w:tcBorders>
              <w:top w:val="nil"/>
              <w:left w:val="nil"/>
              <w:bottom w:val="single" w:sz="4" w:space="0" w:color="auto"/>
              <w:right w:val="single" w:sz="4" w:space="0" w:color="auto"/>
            </w:tcBorders>
            <w:shd w:val="clear" w:color="auto" w:fill="auto"/>
            <w:noWrap/>
            <w:vAlign w:val="center"/>
            <w:hideMark/>
          </w:tcPr>
          <w:p w14:paraId="34AEB49D"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Innovación e Inclusión </w:t>
            </w:r>
            <w:r w:rsidRPr="00106EFB">
              <w:rPr>
                <w:rFonts w:eastAsia="Times New Roman"/>
                <w:spacing w:val="0"/>
                <w:lang w:val="es-DO" w:eastAsia="es-DO"/>
              </w:rPr>
              <w:br/>
              <w:t>Financiera</w:t>
            </w:r>
          </w:p>
        </w:tc>
        <w:tc>
          <w:tcPr>
            <w:tcW w:w="0" w:type="auto"/>
            <w:tcBorders>
              <w:top w:val="nil"/>
              <w:left w:val="nil"/>
              <w:bottom w:val="single" w:sz="4" w:space="0" w:color="auto"/>
              <w:right w:val="single" w:sz="4" w:space="0" w:color="auto"/>
            </w:tcBorders>
            <w:shd w:val="clear" w:color="auto" w:fill="auto"/>
            <w:vAlign w:val="center"/>
            <w:hideMark/>
          </w:tcPr>
          <w:p w14:paraId="2D53AC8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Open </w:t>
            </w:r>
            <w:proofErr w:type="spellStart"/>
            <w:r w:rsidRPr="00106EFB">
              <w:rPr>
                <w:rFonts w:eastAsia="Times New Roman"/>
                <w:spacing w:val="0"/>
                <w:lang w:val="es-DO" w:eastAsia="es-DO"/>
              </w:rPr>
              <w:t>Banking</w:t>
            </w:r>
            <w:proofErr w:type="spellEnd"/>
            <w:r w:rsidRPr="00106EFB">
              <w:rPr>
                <w:rFonts w:eastAsia="Times New Roman"/>
                <w:spacing w:val="0"/>
                <w:lang w:val="es-DO" w:eastAsia="es-DO"/>
              </w:rPr>
              <w:t xml:space="preserve"> - Fase 2</w:t>
            </w:r>
          </w:p>
        </w:tc>
        <w:tc>
          <w:tcPr>
            <w:tcW w:w="0" w:type="auto"/>
            <w:tcBorders>
              <w:top w:val="nil"/>
              <w:left w:val="nil"/>
              <w:bottom w:val="single" w:sz="4" w:space="0" w:color="auto"/>
              <w:right w:val="single" w:sz="4" w:space="0" w:color="auto"/>
            </w:tcBorders>
            <w:shd w:val="clear" w:color="auto" w:fill="auto"/>
            <w:vAlign w:val="center"/>
            <w:hideMark/>
          </w:tcPr>
          <w:p w14:paraId="7E0E611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w:t>
            </w:r>
            <w:r w:rsidRPr="00106EFB">
              <w:rPr>
                <w:rFonts w:eastAsia="Times New Roman"/>
                <w:spacing w:val="0"/>
                <w:lang w:val="es-DO" w:eastAsia="es-DO"/>
              </w:rPr>
              <w:br/>
              <w:t xml:space="preserve">implementación según </w:t>
            </w:r>
            <w:r w:rsidRPr="00106EFB">
              <w:rPr>
                <w:rFonts w:eastAsia="Times New Roman"/>
                <w:spacing w:val="0"/>
                <w:lang w:val="es-DO" w:eastAsia="es-DO"/>
              </w:rPr>
              <w:br/>
              <w:t>hitos</w:t>
            </w:r>
          </w:p>
        </w:tc>
        <w:tc>
          <w:tcPr>
            <w:tcW w:w="0" w:type="auto"/>
            <w:tcBorders>
              <w:top w:val="nil"/>
              <w:left w:val="nil"/>
              <w:bottom w:val="single" w:sz="4" w:space="0" w:color="auto"/>
              <w:right w:val="single" w:sz="4" w:space="0" w:color="auto"/>
            </w:tcBorders>
            <w:shd w:val="clear" w:color="auto" w:fill="auto"/>
            <w:noWrap/>
            <w:vAlign w:val="center"/>
            <w:hideMark/>
          </w:tcPr>
          <w:p w14:paraId="08AF1249"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3F5D4214"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77BCBEA5"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1EEAC7CA"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90%</w:t>
            </w:r>
          </w:p>
        </w:tc>
        <w:tc>
          <w:tcPr>
            <w:tcW w:w="0" w:type="auto"/>
            <w:tcBorders>
              <w:top w:val="nil"/>
              <w:left w:val="nil"/>
              <w:bottom w:val="single" w:sz="4" w:space="0" w:color="auto"/>
              <w:right w:val="single" w:sz="4" w:space="0" w:color="auto"/>
            </w:tcBorders>
            <w:shd w:val="clear" w:color="auto" w:fill="auto"/>
            <w:noWrap/>
            <w:vAlign w:val="center"/>
            <w:hideMark/>
          </w:tcPr>
          <w:p w14:paraId="2FFF500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90%</w:t>
            </w:r>
          </w:p>
        </w:tc>
      </w:tr>
      <w:tr w:rsidR="00106EFB" w:rsidRPr="00106EFB" w14:paraId="20B8F137" w14:textId="77777777" w:rsidTr="00860016">
        <w:trPr>
          <w:trHeight w:val="72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300D42E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34</w:t>
            </w:r>
          </w:p>
        </w:tc>
        <w:tc>
          <w:tcPr>
            <w:tcW w:w="1319" w:type="dxa"/>
            <w:tcBorders>
              <w:top w:val="nil"/>
              <w:left w:val="nil"/>
              <w:bottom w:val="single" w:sz="4" w:space="0" w:color="auto"/>
              <w:right w:val="single" w:sz="4" w:space="0" w:color="auto"/>
            </w:tcBorders>
            <w:shd w:val="clear" w:color="auto" w:fill="auto"/>
            <w:noWrap/>
            <w:vAlign w:val="center"/>
            <w:hideMark/>
          </w:tcPr>
          <w:p w14:paraId="07CC2FD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Innovación e Inclusión </w:t>
            </w:r>
            <w:r w:rsidRPr="00106EFB">
              <w:rPr>
                <w:rFonts w:eastAsia="Times New Roman"/>
                <w:spacing w:val="0"/>
                <w:lang w:val="es-DO" w:eastAsia="es-DO"/>
              </w:rPr>
              <w:br/>
              <w:t>Financiera</w:t>
            </w:r>
          </w:p>
        </w:tc>
        <w:tc>
          <w:tcPr>
            <w:tcW w:w="0" w:type="auto"/>
            <w:tcBorders>
              <w:top w:val="nil"/>
              <w:left w:val="nil"/>
              <w:bottom w:val="single" w:sz="4" w:space="0" w:color="auto"/>
              <w:right w:val="single" w:sz="4" w:space="0" w:color="auto"/>
            </w:tcBorders>
            <w:shd w:val="clear" w:color="auto" w:fill="auto"/>
            <w:vAlign w:val="center"/>
            <w:hideMark/>
          </w:tcPr>
          <w:p w14:paraId="3F5362F5"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Sello Subagentes Bancarios - </w:t>
            </w:r>
            <w:r w:rsidRPr="00106EFB">
              <w:rPr>
                <w:rFonts w:eastAsia="Times New Roman"/>
                <w:spacing w:val="0"/>
                <w:lang w:val="es-DO" w:eastAsia="es-DO"/>
              </w:rPr>
              <w:br/>
              <w:t>Sello SAB</w:t>
            </w:r>
          </w:p>
        </w:tc>
        <w:tc>
          <w:tcPr>
            <w:tcW w:w="0" w:type="auto"/>
            <w:tcBorders>
              <w:top w:val="nil"/>
              <w:left w:val="nil"/>
              <w:bottom w:val="single" w:sz="4" w:space="0" w:color="auto"/>
              <w:right w:val="single" w:sz="4" w:space="0" w:color="auto"/>
            </w:tcBorders>
            <w:shd w:val="clear" w:color="auto" w:fill="auto"/>
            <w:vAlign w:val="center"/>
            <w:hideMark/>
          </w:tcPr>
          <w:p w14:paraId="7D081868"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w:t>
            </w:r>
            <w:r w:rsidRPr="00106EFB">
              <w:rPr>
                <w:rFonts w:eastAsia="Times New Roman"/>
                <w:spacing w:val="0"/>
                <w:lang w:val="es-DO" w:eastAsia="es-DO"/>
              </w:rPr>
              <w:br/>
              <w:t xml:space="preserve">implementación según </w:t>
            </w:r>
            <w:r w:rsidRPr="00106EFB">
              <w:rPr>
                <w:rFonts w:eastAsia="Times New Roman"/>
                <w:spacing w:val="0"/>
                <w:lang w:val="es-DO" w:eastAsia="es-DO"/>
              </w:rPr>
              <w:br/>
              <w:t>hitos</w:t>
            </w:r>
          </w:p>
        </w:tc>
        <w:tc>
          <w:tcPr>
            <w:tcW w:w="0" w:type="auto"/>
            <w:tcBorders>
              <w:top w:val="nil"/>
              <w:left w:val="nil"/>
              <w:bottom w:val="single" w:sz="4" w:space="0" w:color="auto"/>
              <w:right w:val="single" w:sz="4" w:space="0" w:color="auto"/>
            </w:tcBorders>
            <w:shd w:val="clear" w:color="auto" w:fill="auto"/>
            <w:noWrap/>
            <w:vAlign w:val="center"/>
            <w:hideMark/>
          </w:tcPr>
          <w:p w14:paraId="3A9D51F5"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405DE75D"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6D81BFF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25AD3C45"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01EDF411"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r>
      <w:tr w:rsidR="00106EFB" w:rsidRPr="00106EFB" w14:paraId="7CC3C830" w14:textId="77777777" w:rsidTr="00860016">
        <w:trPr>
          <w:trHeight w:val="48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720A97E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35</w:t>
            </w:r>
          </w:p>
        </w:tc>
        <w:tc>
          <w:tcPr>
            <w:tcW w:w="1319" w:type="dxa"/>
            <w:tcBorders>
              <w:top w:val="nil"/>
              <w:left w:val="nil"/>
              <w:bottom w:val="single" w:sz="4" w:space="0" w:color="auto"/>
              <w:right w:val="single" w:sz="4" w:space="0" w:color="auto"/>
            </w:tcBorders>
            <w:shd w:val="clear" w:color="auto" w:fill="auto"/>
            <w:noWrap/>
            <w:vAlign w:val="center"/>
            <w:hideMark/>
          </w:tcPr>
          <w:p w14:paraId="1B738B3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Supervisión Prevención </w:t>
            </w:r>
            <w:r w:rsidRPr="00106EFB">
              <w:rPr>
                <w:rFonts w:eastAsia="Times New Roman"/>
                <w:spacing w:val="0"/>
                <w:lang w:val="es-DO" w:eastAsia="es-DO"/>
              </w:rPr>
              <w:br/>
              <w:t xml:space="preserve">Lavado de Activos y </w:t>
            </w:r>
            <w:r w:rsidRPr="00106EFB">
              <w:rPr>
                <w:rFonts w:eastAsia="Times New Roman"/>
                <w:spacing w:val="0"/>
                <w:lang w:val="es-DO" w:eastAsia="es-DO"/>
              </w:rPr>
              <w:br/>
              <w:t xml:space="preserve">Financiamiento al Terrorismo </w:t>
            </w:r>
            <w:r w:rsidRPr="00106EFB">
              <w:rPr>
                <w:rFonts w:eastAsia="Times New Roman"/>
                <w:spacing w:val="0"/>
                <w:lang w:val="es-DO" w:eastAsia="es-DO"/>
              </w:rPr>
              <w:br/>
              <w:t>(PLAFT)</w:t>
            </w:r>
          </w:p>
        </w:tc>
        <w:tc>
          <w:tcPr>
            <w:tcW w:w="0" w:type="auto"/>
            <w:tcBorders>
              <w:top w:val="nil"/>
              <w:left w:val="nil"/>
              <w:bottom w:val="single" w:sz="4" w:space="0" w:color="auto"/>
              <w:right w:val="single" w:sz="4" w:space="0" w:color="auto"/>
            </w:tcBorders>
            <w:shd w:val="clear" w:color="auto" w:fill="auto"/>
            <w:vAlign w:val="center"/>
            <w:hideMark/>
          </w:tcPr>
          <w:p w14:paraId="3AB052EF"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Supervisión In situ a Sujetos </w:t>
            </w:r>
            <w:r w:rsidRPr="00106EFB">
              <w:rPr>
                <w:rFonts w:eastAsia="Times New Roman"/>
                <w:spacing w:val="0"/>
                <w:lang w:val="es-DO" w:eastAsia="es-DO"/>
              </w:rPr>
              <w:br/>
              <w:t>Obligados</w:t>
            </w:r>
          </w:p>
        </w:tc>
        <w:tc>
          <w:tcPr>
            <w:tcW w:w="0" w:type="auto"/>
            <w:tcBorders>
              <w:top w:val="nil"/>
              <w:left w:val="nil"/>
              <w:bottom w:val="single" w:sz="4" w:space="0" w:color="auto"/>
              <w:right w:val="single" w:sz="4" w:space="0" w:color="auto"/>
            </w:tcBorders>
            <w:shd w:val="clear" w:color="auto" w:fill="auto"/>
            <w:vAlign w:val="center"/>
            <w:hideMark/>
          </w:tcPr>
          <w:p w14:paraId="196A7D22"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avance </w:t>
            </w:r>
            <w:r w:rsidRPr="00106EFB">
              <w:rPr>
                <w:rFonts w:eastAsia="Times New Roman"/>
                <w:spacing w:val="0"/>
                <w:lang w:val="es-DO" w:eastAsia="es-DO"/>
              </w:rPr>
              <w:br/>
              <w:t>según hitos</w:t>
            </w:r>
          </w:p>
        </w:tc>
        <w:tc>
          <w:tcPr>
            <w:tcW w:w="0" w:type="auto"/>
            <w:tcBorders>
              <w:top w:val="nil"/>
              <w:left w:val="nil"/>
              <w:bottom w:val="single" w:sz="4" w:space="0" w:color="auto"/>
              <w:right w:val="single" w:sz="4" w:space="0" w:color="auto"/>
            </w:tcBorders>
            <w:shd w:val="clear" w:color="auto" w:fill="auto"/>
            <w:noWrap/>
            <w:vAlign w:val="center"/>
            <w:hideMark/>
          </w:tcPr>
          <w:p w14:paraId="254F40D1"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6C7665F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1533B9D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7C6D0441"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7D4936AF"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r>
      <w:tr w:rsidR="00106EFB" w:rsidRPr="00106EFB" w14:paraId="69C72844" w14:textId="77777777" w:rsidTr="00860016">
        <w:trPr>
          <w:trHeight w:val="48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7DE3D9F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36</w:t>
            </w:r>
          </w:p>
        </w:tc>
        <w:tc>
          <w:tcPr>
            <w:tcW w:w="1319" w:type="dxa"/>
            <w:tcBorders>
              <w:top w:val="nil"/>
              <w:left w:val="nil"/>
              <w:bottom w:val="single" w:sz="4" w:space="0" w:color="auto"/>
              <w:right w:val="single" w:sz="4" w:space="0" w:color="auto"/>
            </w:tcBorders>
            <w:shd w:val="clear" w:color="auto" w:fill="auto"/>
            <w:noWrap/>
            <w:vAlign w:val="center"/>
            <w:hideMark/>
          </w:tcPr>
          <w:p w14:paraId="292CB9CF"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Supervisión Prevención </w:t>
            </w:r>
            <w:r w:rsidRPr="00106EFB">
              <w:rPr>
                <w:rFonts w:eastAsia="Times New Roman"/>
                <w:spacing w:val="0"/>
                <w:lang w:val="es-DO" w:eastAsia="es-DO"/>
              </w:rPr>
              <w:br/>
              <w:t xml:space="preserve">Lavado de Activos y </w:t>
            </w:r>
            <w:r w:rsidRPr="00106EFB">
              <w:rPr>
                <w:rFonts w:eastAsia="Times New Roman"/>
                <w:spacing w:val="0"/>
                <w:lang w:val="es-DO" w:eastAsia="es-DO"/>
              </w:rPr>
              <w:br/>
            </w:r>
            <w:r w:rsidRPr="00106EFB">
              <w:rPr>
                <w:rFonts w:eastAsia="Times New Roman"/>
                <w:spacing w:val="0"/>
                <w:lang w:val="es-DO" w:eastAsia="es-DO"/>
              </w:rPr>
              <w:lastRenderedPageBreak/>
              <w:t xml:space="preserve">Financiamiento al Terrorismo </w:t>
            </w:r>
            <w:r w:rsidRPr="00106EFB">
              <w:rPr>
                <w:rFonts w:eastAsia="Times New Roman"/>
                <w:spacing w:val="0"/>
                <w:lang w:val="es-DO" w:eastAsia="es-DO"/>
              </w:rPr>
              <w:br/>
              <w:t>(PLAFT)</w:t>
            </w:r>
          </w:p>
        </w:tc>
        <w:tc>
          <w:tcPr>
            <w:tcW w:w="0" w:type="auto"/>
            <w:tcBorders>
              <w:top w:val="nil"/>
              <w:left w:val="nil"/>
              <w:bottom w:val="single" w:sz="4" w:space="0" w:color="auto"/>
              <w:right w:val="single" w:sz="4" w:space="0" w:color="auto"/>
            </w:tcBorders>
            <w:shd w:val="clear" w:color="auto" w:fill="auto"/>
            <w:vAlign w:val="center"/>
            <w:hideMark/>
          </w:tcPr>
          <w:p w14:paraId="33E10A26"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lastRenderedPageBreak/>
              <w:t xml:space="preserve">Supervisión Extra Situ a </w:t>
            </w:r>
            <w:r w:rsidRPr="00106EFB">
              <w:rPr>
                <w:rFonts w:eastAsia="Times New Roman"/>
                <w:spacing w:val="0"/>
                <w:lang w:val="es-DO" w:eastAsia="es-DO"/>
              </w:rPr>
              <w:br/>
            </w:r>
            <w:r w:rsidRPr="00106EFB">
              <w:rPr>
                <w:rFonts w:eastAsia="Times New Roman"/>
                <w:spacing w:val="0"/>
                <w:lang w:val="es-DO" w:eastAsia="es-DO"/>
              </w:rPr>
              <w:lastRenderedPageBreak/>
              <w:t>Sujetos Obligados</w:t>
            </w:r>
          </w:p>
        </w:tc>
        <w:tc>
          <w:tcPr>
            <w:tcW w:w="0" w:type="auto"/>
            <w:tcBorders>
              <w:top w:val="nil"/>
              <w:left w:val="nil"/>
              <w:bottom w:val="single" w:sz="4" w:space="0" w:color="auto"/>
              <w:right w:val="single" w:sz="4" w:space="0" w:color="auto"/>
            </w:tcBorders>
            <w:shd w:val="clear" w:color="auto" w:fill="auto"/>
            <w:vAlign w:val="center"/>
            <w:hideMark/>
          </w:tcPr>
          <w:p w14:paraId="5B4F2660"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lastRenderedPageBreak/>
              <w:t xml:space="preserve">Porcentaje de avance </w:t>
            </w:r>
            <w:r w:rsidRPr="00106EFB">
              <w:rPr>
                <w:rFonts w:eastAsia="Times New Roman"/>
                <w:spacing w:val="0"/>
                <w:lang w:val="es-DO" w:eastAsia="es-DO"/>
              </w:rPr>
              <w:br/>
              <w:t xml:space="preserve">según hitos </w:t>
            </w:r>
          </w:p>
        </w:tc>
        <w:tc>
          <w:tcPr>
            <w:tcW w:w="0" w:type="auto"/>
            <w:tcBorders>
              <w:top w:val="nil"/>
              <w:left w:val="nil"/>
              <w:bottom w:val="single" w:sz="4" w:space="0" w:color="auto"/>
              <w:right w:val="single" w:sz="4" w:space="0" w:color="auto"/>
            </w:tcBorders>
            <w:shd w:val="clear" w:color="auto" w:fill="auto"/>
            <w:noWrap/>
            <w:vAlign w:val="center"/>
            <w:hideMark/>
          </w:tcPr>
          <w:p w14:paraId="06801129"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7A1F1507"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1576A428"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03845AB1"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0797E8B5"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r>
      <w:tr w:rsidR="00106EFB" w:rsidRPr="00106EFB" w14:paraId="3B14F61B" w14:textId="77777777" w:rsidTr="00860016">
        <w:trPr>
          <w:trHeight w:val="480"/>
        </w:trPr>
        <w:tc>
          <w:tcPr>
            <w:tcW w:w="505" w:type="dxa"/>
            <w:tcBorders>
              <w:top w:val="nil"/>
              <w:left w:val="single" w:sz="4" w:space="0" w:color="auto"/>
              <w:bottom w:val="single" w:sz="4" w:space="0" w:color="auto"/>
              <w:right w:val="single" w:sz="4" w:space="0" w:color="auto"/>
            </w:tcBorders>
            <w:shd w:val="clear" w:color="auto" w:fill="auto"/>
            <w:noWrap/>
            <w:vAlign w:val="center"/>
            <w:hideMark/>
          </w:tcPr>
          <w:p w14:paraId="1860A19B"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37</w:t>
            </w:r>
          </w:p>
        </w:tc>
        <w:tc>
          <w:tcPr>
            <w:tcW w:w="1319" w:type="dxa"/>
            <w:tcBorders>
              <w:top w:val="nil"/>
              <w:left w:val="nil"/>
              <w:bottom w:val="single" w:sz="4" w:space="0" w:color="auto"/>
              <w:right w:val="single" w:sz="4" w:space="0" w:color="auto"/>
            </w:tcBorders>
            <w:shd w:val="clear" w:color="auto" w:fill="auto"/>
            <w:noWrap/>
            <w:vAlign w:val="center"/>
            <w:hideMark/>
          </w:tcPr>
          <w:p w14:paraId="4E24762C"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Sanciones</w:t>
            </w:r>
          </w:p>
        </w:tc>
        <w:tc>
          <w:tcPr>
            <w:tcW w:w="0" w:type="auto"/>
            <w:tcBorders>
              <w:top w:val="nil"/>
              <w:left w:val="nil"/>
              <w:bottom w:val="single" w:sz="4" w:space="0" w:color="auto"/>
              <w:right w:val="single" w:sz="4" w:space="0" w:color="auto"/>
            </w:tcBorders>
            <w:shd w:val="clear" w:color="auto" w:fill="auto"/>
            <w:vAlign w:val="center"/>
            <w:hideMark/>
          </w:tcPr>
          <w:p w14:paraId="67D65F08" w14:textId="77777777" w:rsidR="00106EFB" w:rsidRPr="00106EFB" w:rsidRDefault="00106EFB" w:rsidP="00860016">
            <w:pPr>
              <w:spacing w:after="0" w:line="240" w:lineRule="auto"/>
              <w:jc w:val="center"/>
              <w:rPr>
                <w:rFonts w:eastAsia="Times New Roman"/>
                <w:spacing w:val="0"/>
                <w:lang w:val="es-DO" w:eastAsia="es-DO"/>
              </w:rPr>
            </w:pPr>
            <w:proofErr w:type="spellStart"/>
            <w:r w:rsidRPr="00106EFB">
              <w:rPr>
                <w:rFonts w:eastAsia="Times New Roman"/>
                <w:spacing w:val="0"/>
                <w:lang w:val="es-DO" w:eastAsia="es-DO"/>
              </w:rPr>
              <w:t>Dashboard</w:t>
            </w:r>
            <w:proofErr w:type="spellEnd"/>
            <w:r w:rsidRPr="00106EFB">
              <w:rPr>
                <w:rFonts w:eastAsia="Times New Roman"/>
                <w:spacing w:val="0"/>
                <w:lang w:val="es-DO" w:eastAsia="es-DO"/>
              </w:rPr>
              <w:t xml:space="preserve"> Sanciones</w:t>
            </w:r>
          </w:p>
        </w:tc>
        <w:tc>
          <w:tcPr>
            <w:tcW w:w="0" w:type="auto"/>
            <w:tcBorders>
              <w:top w:val="nil"/>
              <w:left w:val="nil"/>
              <w:bottom w:val="single" w:sz="4" w:space="0" w:color="auto"/>
              <w:right w:val="single" w:sz="4" w:space="0" w:color="auto"/>
            </w:tcBorders>
            <w:shd w:val="clear" w:color="auto" w:fill="auto"/>
            <w:vAlign w:val="center"/>
            <w:hideMark/>
          </w:tcPr>
          <w:p w14:paraId="2608A91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 xml:space="preserve">Porcentaje de avance </w:t>
            </w:r>
            <w:r w:rsidRPr="00106EFB">
              <w:rPr>
                <w:rFonts w:eastAsia="Times New Roman"/>
                <w:spacing w:val="0"/>
                <w:lang w:val="es-DO" w:eastAsia="es-DO"/>
              </w:rPr>
              <w:br/>
              <w:t xml:space="preserve">según hitos </w:t>
            </w:r>
          </w:p>
        </w:tc>
        <w:tc>
          <w:tcPr>
            <w:tcW w:w="0" w:type="auto"/>
            <w:tcBorders>
              <w:top w:val="nil"/>
              <w:left w:val="nil"/>
              <w:bottom w:val="single" w:sz="4" w:space="0" w:color="auto"/>
              <w:right w:val="single" w:sz="4" w:space="0" w:color="auto"/>
            </w:tcBorders>
            <w:shd w:val="clear" w:color="auto" w:fill="auto"/>
            <w:noWrap/>
            <w:vAlign w:val="center"/>
            <w:hideMark/>
          </w:tcPr>
          <w:p w14:paraId="354AF859"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Anual</w:t>
            </w:r>
          </w:p>
        </w:tc>
        <w:tc>
          <w:tcPr>
            <w:tcW w:w="0" w:type="auto"/>
            <w:tcBorders>
              <w:top w:val="nil"/>
              <w:left w:val="nil"/>
              <w:bottom w:val="single" w:sz="4" w:space="0" w:color="auto"/>
              <w:right w:val="single" w:sz="4" w:space="0" w:color="auto"/>
            </w:tcBorders>
            <w:shd w:val="clear" w:color="auto" w:fill="auto"/>
            <w:noWrap/>
            <w:vAlign w:val="center"/>
            <w:hideMark/>
          </w:tcPr>
          <w:p w14:paraId="18263BE3"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n/a</w:t>
            </w:r>
          </w:p>
        </w:tc>
        <w:tc>
          <w:tcPr>
            <w:tcW w:w="0" w:type="auto"/>
            <w:tcBorders>
              <w:top w:val="nil"/>
              <w:left w:val="nil"/>
              <w:bottom w:val="single" w:sz="4" w:space="0" w:color="auto"/>
              <w:right w:val="single" w:sz="4" w:space="0" w:color="auto"/>
            </w:tcBorders>
            <w:shd w:val="clear" w:color="auto" w:fill="auto"/>
            <w:noWrap/>
            <w:vAlign w:val="center"/>
            <w:hideMark/>
          </w:tcPr>
          <w:p w14:paraId="0DD426DE"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1EE3DD5B"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c>
          <w:tcPr>
            <w:tcW w:w="0" w:type="auto"/>
            <w:tcBorders>
              <w:top w:val="nil"/>
              <w:left w:val="nil"/>
              <w:bottom w:val="single" w:sz="4" w:space="0" w:color="auto"/>
              <w:right w:val="single" w:sz="4" w:space="0" w:color="auto"/>
            </w:tcBorders>
            <w:shd w:val="clear" w:color="auto" w:fill="auto"/>
            <w:noWrap/>
            <w:vAlign w:val="center"/>
            <w:hideMark/>
          </w:tcPr>
          <w:p w14:paraId="26AFA335" w14:textId="77777777" w:rsidR="00106EFB" w:rsidRPr="00106EFB" w:rsidRDefault="00106EFB" w:rsidP="00860016">
            <w:pPr>
              <w:spacing w:after="0" w:line="240" w:lineRule="auto"/>
              <w:jc w:val="center"/>
              <w:rPr>
                <w:rFonts w:eastAsia="Times New Roman"/>
                <w:spacing w:val="0"/>
                <w:lang w:val="es-DO" w:eastAsia="es-DO"/>
              </w:rPr>
            </w:pPr>
            <w:r w:rsidRPr="00106EFB">
              <w:rPr>
                <w:rFonts w:eastAsia="Times New Roman"/>
                <w:spacing w:val="0"/>
                <w:lang w:val="es-DO" w:eastAsia="es-DO"/>
              </w:rPr>
              <w:t>100%</w:t>
            </w:r>
          </w:p>
        </w:tc>
      </w:tr>
    </w:tbl>
    <w:p w14:paraId="7B6466F0" w14:textId="3B8FFD02" w:rsidR="0057082E" w:rsidRPr="00E90EB4" w:rsidRDefault="00860016" w:rsidP="0057082E">
      <w:pPr>
        <w:spacing w:line="360" w:lineRule="auto"/>
        <w:jc w:val="center"/>
        <w:rPr>
          <w:lang w:val="es-DO"/>
        </w:rPr>
      </w:pPr>
      <w:r>
        <w:rPr>
          <w:b/>
          <w:bCs/>
          <w:lang w:val="es-DO"/>
        </w:rPr>
        <w:br w:type="textWrapping" w:clear="all"/>
      </w:r>
      <w:r w:rsidR="0057082E" w:rsidRPr="007B7853">
        <w:rPr>
          <w:b/>
          <w:bCs/>
          <w:lang w:val="es-DO"/>
        </w:rPr>
        <w:t>Fuente</w:t>
      </w:r>
      <w:r w:rsidR="0057082E" w:rsidRPr="00C865B6">
        <w:rPr>
          <w:lang w:val="es-DO"/>
        </w:rPr>
        <w:t xml:space="preserve">: </w:t>
      </w:r>
      <w:r w:rsidR="0057082E" w:rsidRPr="007B7853">
        <w:rPr>
          <w:lang w:val="es-DO"/>
        </w:rPr>
        <w:t xml:space="preserve">Departamento </w:t>
      </w:r>
      <w:r w:rsidR="0057082E">
        <w:rPr>
          <w:lang w:val="es-DO"/>
        </w:rPr>
        <w:t>Planificación Institucional</w:t>
      </w:r>
      <w:r w:rsidR="0057082E" w:rsidRPr="007B7853">
        <w:rPr>
          <w:lang w:val="es-DO"/>
        </w:rPr>
        <w:t>. Superintendencia de Bancos de la República Dominicana, 202</w:t>
      </w:r>
      <w:r w:rsidR="0057082E">
        <w:rPr>
          <w:lang w:val="es-DO"/>
        </w:rPr>
        <w:t>3.</w:t>
      </w:r>
    </w:p>
    <w:p w14:paraId="486C04D3" w14:textId="77777777" w:rsidR="000C6843" w:rsidRPr="000C6843" w:rsidRDefault="000C6843" w:rsidP="006B204A">
      <w:pPr>
        <w:pStyle w:val="paragraph"/>
        <w:spacing w:before="0" w:beforeAutospacing="0" w:after="0" w:afterAutospacing="0" w:line="360" w:lineRule="auto"/>
        <w:jc w:val="both"/>
        <w:textAlignment w:val="baseline"/>
        <w:rPr>
          <w:vanish/>
          <w:sz w:val="18"/>
          <w:szCs w:val="18"/>
          <w:specVanish/>
        </w:rPr>
      </w:pPr>
    </w:p>
    <w:p w14:paraId="1DEF1833" w14:textId="7301EC90" w:rsidR="00757CDC" w:rsidRPr="00274E67" w:rsidRDefault="000C6843" w:rsidP="000C6843">
      <w:pPr>
        <w:rPr>
          <w:sz w:val="18"/>
          <w:szCs w:val="18"/>
          <w:lang w:val="es-DO"/>
        </w:rPr>
      </w:pPr>
      <w:r w:rsidRPr="00274E67">
        <w:rPr>
          <w:sz w:val="18"/>
          <w:szCs w:val="18"/>
          <w:lang w:val="es-DO"/>
        </w:rPr>
        <w:t xml:space="preserve"> </w:t>
      </w:r>
    </w:p>
    <w:p w14:paraId="6438ABC4" w14:textId="77777777" w:rsidR="000C6843" w:rsidRPr="00274E67" w:rsidRDefault="000C6843" w:rsidP="000C6843">
      <w:pPr>
        <w:rPr>
          <w:sz w:val="18"/>
          <w:szCs w:val="18"/>
          <w:lang w:val="es-DO"/>
        </w:rPr>
      </w:pPr>
    </w:p>
    <w:p w14:paraId="0087BB00" w14:textId="77777777" w:rsidR="000C6843" w:rsidRDefault="000C6843" w:rsidP="000C6843">
      <w:pPr>
        <w:rPr>
          <w:sz w:val="18"/>
          <w:szCs w:val="18"/>
          <w:lang w:val="es-DO"/>
        </w:rPr>
      </w:pPr>
    </w:p>
    <w:p w14:paraId="5609BF1A" w14:textId="77777777" w:rsidR="008D40CE" w:rsidRDefault="008D40CE" w:rsidP="000C6843">
      <w:pPr>
        <w:rPr>
          <w:sz w:val="18"/>
          <w:szCs w:val="18"/>
          <w:lang w:val="es-DO"/>
        </w:rPr>
        <w:sectPr w:rsidR="008D40CE" w:rsidSect="001E74F4">
          <w:headerReference w:type="default" r:id="rId27"/>
          <w:footerReference w:type="default" r:id="rId28"/>
          <w:pgSz w:w="12240" w:h="15840"/>
          <w:pgMar w:top="1701" w:right="2160" w:bottom="1701" w:left="2160" w:header="720" w:footer="402" w:gutter="0"/>
          <w:pgNumType w:start="1"/>
          <w:cols w:space="720"/>
          <w:docGrid w:linePitch="360"/>
        </w:sectPr>
      </w:pPr>
    </w:p>
    <w:p w14:paraId="7D06AE28" w14:textId="398FE3D9" w:rsidR="006D1150" w:rsidRPr="006D1150" w:rsidRDefault="006D1150" w:rsidP="006D1150">
      <w:pPr>
        <w:spacing w:after="0" w:line="240" w:lineRule="auto"/>
        <w:jc w:val="center"/>
        <w:rPr>
          <w:b/>
          <w:bCs/>
          <w:lang w:val="es-DO"/>
        </w:rPr>
      </w:pPr>
      <w:r w:rsidRPr="00C865B6">
        <w:rPr>
          <w:b/>
          <w:bCs/>
          <w:lang w:val="es-DO"/>
        </w:rPr>
        <w:lastRenderedPageBreak/>
        <w:t xml:space="preserve">Anexo </w:t>
      </w:r>
      <w:r>
        <w:rPr>
          <w:b/>
          <w:bCs/>
          <w:lang w:val="es-DO"/>
        </w:rPr>
        <w:t>5</w:t>
      </w:r>
      <w:r w:rsidRPr="00C865B6">
        <w:rPr>
          <w:b/>
          <w:bCs/>
          <w:lang w:val="es-DO"/>
        </w:rPr>
        <w:t>.</w:t>
      </w:r>
      <w:r>
        <w:rPr>
          <w:b/>
          <w:bCs/>
          <w:lang w:val="es-DO"/>
        </w:rPr>
        <w:t xml:space="preserve"> </w:t>
      </w:r>
      <w:r w:rsidRPr="006D1150">
        <w:rPr>
          <w:b/>
          <w:bCs/>
          <w:lang w:val="es-DO"/>
        </w:rPr>
        <w:t>Matriz Logros Relevantes – Datos Cuantitativos.</w:t>
      </w:r>
    </w:p>
    <w:p w14:paraId="04544080" w14:textId="77777777" w:rsidR="006D1150" w:rsidRPr="006D1150" w:rsidRDefault="006D1150" w:rsidP="006D1150">
      <w:pPr>
        <w:spacing w:after="0" w:line="240" w:lineRule="auto"/>
        <w:jc w:val="center"/>
        <w:rPr>
          <w:b/>
          <w:bCs/>
          <w:lang w:val="es-DO"/>
        </w:rPr>
      </w:pPr>
    </w:p>
    <w:p w14:paraId="343F36D1" w14:textId="2F3B2DAA" w:rsidR="006D1150" w:rsidRPr="006D1150" w:rsidRDefault="006D1150" w:rsidP="006D1150">
      <w:pPr>
        <w:spacing w:after="0" w:line="240" w:lineRule="auto"/>
        <w:jc w:val="center"/>
        <w:rPr>
          <w:b/>
          <w:bCs/>
          <w:lang w:val="es-DO"/>
        </w:rPr>
      </w:pPr>
      <w:r w:rsidRPr="006D1150">
        <w:rPr>
          <w:b/>
          <w:bCs/>
          <w:lang w:val="es-DO"/>
        </w:rPr>
        <w:t>enero – diciembre 2023</w:t>
      </w:r>
    </w:p>
    <w:p w14:paraId="586C12A7" w14:textId="77777777" w:rsidR="008D40CE" w:rsidRPr="006D1150" w:rsidRDefault="008D40CE" w:rsidP="006D1150">
      <w:pPr>
        <w:jc w:val="center"/>
        <w:rPr>
          <w:lang w:val="es-DO"/>
        </w:rPr>
      </w:pPr>
    </w:p>
    <w:tbl>
      <w:tblPr>
        <w:tblpPr w:leftFromText="141" w:rightFromText="141" w:vertAnchor="text" w:horzAnchor="margin" w:tblpXSpec="center" w:tblpY="283"/>
        <w:tblW w:w="5000" w:type="pct"/>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CellMar>
          <w:left w:w="70" w:type="dxa"/>
          <w:right w:w="70" w:type="dxa"/>
        </w:tblCellMar>
        <w:tblLook w:val="04A0" w:firstRow="1" w:lastRow="0" w:firstColumn="1" w:lastColumn="0" w:noHBand="0" w:noVBand="1"/>
      </w:tblPr>
      <w:tblGrid>
        <w:gridCol w:w="1215"/>
        <w:gridCol w:w="480"/>
        <w:gridCol w:w="591"/>
        <w:gridCol w:w="1117"/>
        <w:gridCol w:w="442"/>
        <w:gridCol w:w="977"/>
        <w:gridCol w:w="1183"/>
        <w:gridCol w:w="423"/>
        <w:gridCol w:w="526"/>
        <w:gridCol w:w="977"/>
        <w:gridCol w:w="1117"/>
        <w:gridCol w:w="1117"/>
        <w:gridCol w:w="1080"/>
        <w:gridCol w:w="1183"/>
      </w:tblGrid>
      <w:tr w:rsidR="007400C6" w:rsidRPr="00D11C11" w14:paraId="2C60809D" w14:textId="77777777" w:rsidTr="007400C6">
        <w:trPr>
          <w:trHeight w:val="331"/>
          <w:tblHeader/>
        </w:trPr>
        <w:tc>
          <w:tcPr>
            <w:tcW w:w="489"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003876"/>
            <w:noWrap/>
            <w:vAlign w:val="center"/>
            <w:hideMark/>
          </w:tcPr>
          <w:p w14:paraId="07C4F237" w14:textId="77777777" w:rsidR="004C43F1" w:rsidRPr="00D11C11" w:rsidRDefault="004C43F1" w:rsidP="003A11A2">
            <w:pPr>
              <w:spacing w:after="0" w:line="240" w:lineRule="auto"/>
              <w:jc w:val="center"/>
              <w:rPr>
                <w:rFonts w:eastAsia="Times New Roman"/>
                <w:b/>
                <w:bCs/>
                <w:color w:val="FFFFFF" w:themeColor="background1"/>
                <w:lang w:val="es-DO" w:eastAsia="es-DO"/>
              </w:rPr>
            </w:pPr>
            <w:proofErr w:type="spellStart"/>
            <w:r w:rsidRPr="00D11C11">
              <w:rPr>
                <w:rFonts w:eastAsia="Times New Roman"/>
                <w:b/>
                <w:bCs/>
                <w:color w:val="FFFFFF" w:themeColor="background1"/>
                <w:lang w:eastAsia="es-DO"/>
              </w:rPr>
              <w:t>Producto</w:t>
            </w:r>
            <w:proofErr w:type="spellEnd"/>
            <w:r w:rsidRPr="00D11C11">
              <w:rPr>
                <w:rFonts w:eastAsia="Times New Roman"/>
                <w:b/>
                <w:bCs/>
                <w:color w:val="FFFFFF" w:themeColor="background1"/>
                <w:lang w:eastAsia="es-DO"/>
              </w:rPr>
              <w:t xml:space="preserve"> / </w:t>
            </w:r>
            <w:proofErr w:type="spellStart"/>
            <w:r w:rsidRPr="00D11C11">
              <w:rPr>
                <w:rFonts w:eastAsia="Times New Roman"/>
                <w:b/>
                <w:bCs/>
                <w:color w:val="FFFFFF" w:themeColor="background1"/>
                <w:lang w:eastAsia="es-DO"/>
              </w:rPr>
              <w:t>servicio</w:t>
            </w:r>
            <w:proofErr w:type="spellEnd"/>
          </w:p>
        </w:tc>
        <w:tc>
          <w:tcPr>
            <w:tcW w:w="193"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003876"/>
            <w:noWrap/>
            <w:vAlign w:val="center"/>
            <w:hideMark/>
          </w:tcPr>
          <w:p w14:paraId="298CD5C3" w14:textId="77777777" w:rsidR="004C43F1" w:rsidRPr="00D11C11" w:rsidRDefault="004C43F1" w:rsidP="003A11A2">
            <w:pPr>
              <w:spacing w:after="0" w:line="240" w:lineRule="auto"/>
              <w:jc w:val="center"/>
              <w:rPr>
                <w:rFonts w:eastAsia="Times New Roman"/>
                <w:b/>
                <w:bCs/>
                <w:color w:val="FFFFFF" w:themeColor="background1"/>
                <w:lang w:val="es-DO" w:eastAsia="es-DO"/>
              </w:rPr>
            </w:pPr>
            <w:proofErr w:type="spellStart"/>
            <w:r w:rsidRPr="00D11C11">
              <w:rPr>
                <w:rFonts w:eastAsia="Times New Roman"/>
                <w:b/>
                <w:bCs/>
                <w:color w:val="FFFFFF" w:themeColor="background1"/>
                <w:lang w:eastAsia="es-DO"/>
              </w:rPr>
              <w:t>Enero</w:t>
            </w:r>
            <w:proofErr w:type="spellEnd"/>
          </w:p>
        </w:tc>
        <w:tc>
          <w:tcPr>
            <w:tcW w:w="238"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003876"/>
            <w:noWrap/>
            <w:vAlign w:val="center"/>
            <w:hideMark/>
          </w:tcPr>
          <w:p w14:paraId="1AF17302" w14:textId="77777777" w:rsidR="004C43F1" w:rsidRPr="00D11C11" w:rsidRDefault="004C43F1" w:rsidP="003A11A2">
            <w:pPr>
              <w:spacing w:after="0" w:line="240" w:lineRule="auto"/>
              <w:jc w:val="center"/>
              <w:rPr>
                <w:rFonts w:eastAsia="Times New Roman"/>
                <w:b/>
                <w:bCs/>
                <w:color w:val="FFFFFF" w:themeColor="background1"/>
                <w:lang w:val="es-DO" w:eastAsia="es-DO"/>
              </w:rPr>
            </w:pPr>
            <w:proofErr w:type="spellStart"/>
            <w:r w:rsidRPr="00D11C11">
              <w:rPr>
                <w:rFonts w:eastAsia="Times New Roman"/>
                <w:b/>
                <w:bCs/>
                <w:color w:val="FFFFFF" w:themeColor="background1"/>
                <w:lang w:eastAsia="es-DO"/>
              </w:rPr>
              <w:t>Febrero</w:t>
            </w:r>
            <w:proofErr w:type="spellEnd"/>
          </w:p>
        </w:tc>
        <w:tc>
          <w:tcPr>
            <w:tcW w:w="449"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003876"/>
            <w:noWrap/>
            <w:vAlign w:val="center"/>
            <w:hideMark/>
          </w:tcPr>
          <w:p w14:paraId="3BD5CD0C" w14:textId="77777777" w:rsidR="004C43F1" w:rsidRPr="00D11C11" w:rsidRDefault="004C43F1" w:rsidP="003A11A2">
            <w:pPr>
              <w:spacing w:after="0" w:line="240" w:lineRule="auto"/>
              <w:jc w:val="center"/>
              <w:rPr>
                <w:rFonts w:eastAsia="Times New Roman"/>
                <w:b/>
                <w:bCs/>
                <w:color w:val="FFFFFF" w:themeColor="background1"/>
                <w:lang w:val="es-DO" w:eastAsia="es-DO"/>
              </w:rPr>
            </w:pPr>
            <w:r w:rsidRPr="00D11C11">
              <w:rPr>
                <w:rFonts w:eastAsia="Times New Roman"/>
                <w:b/>
                <w:bCs/>
                <w:color w:val="FFFFFF" w:themeColor="background1"/>
                <w:lang w:eastAsia="es-DO"/>
              </w:rPr>
              <w:t>Marzo</w:t>
            </w:r>
          </w:p>
        </w:tc>
        <w:tc>
          <w:tcPr>
            <w:tcW w:w="178"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003876"/>
            <w:noWrap/>
            <w:vAlign w:val="center"/>
            <w:hideMark/>
          </w:tcPr>
          <w:p w14:paraId="14281D7A" w14:textId="77777777" w:rsidR="004C43F1" w:rsidRPr="00D11C11" w:rsidRDefault="004C43F1" w:rsidP="003A11A2">
            <w:pPr>
              <w:spacing w:after="0" w:line="240" w:lineRule="auto"/>
              <w:jc w:val="center"/>
              <w:rPr>
                <w:rFonts w:eastAsia="Times New Roman"/>
                <w:b/>
                <w:bCs/>
                <w:color w:val="FFFFFF" w:themeColor="background1"/>
                <w:lang w:val="es-DO" w:eastAsia="es-DO"/>
              </w:rPr>
            </w:pPr>
            <w:r w:rsidRPr="00D11C11">
              <w:rPr>
                <w:rFonts w:eastAsia="Times New Roman"/>
                <w:b/>
                <w:bCs/>
                <w:color w:val="FFFFFF" w:themeColor="background1"/>
                <w:lang w:eastAsia="es-DO"/>
              </w:rPr>
              <w:t>Abril</w:t>
            </w:r>
          </w:p>
        </w:tc>
        <w:tc>
          <w:tcPr>
            <w:tcW w:w="393"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003876"/>
            <w:noWrap/>
            <w:vAlign w:val="center"/>
            <w:hideMark/>
          </w:tcPr>
          <w:p w14:paraId="61FF9C2C" w14:textId="77777777" w:rsidR="004C43F1" w:rsidRPr="00D11C11" w:rsidRDefault="004C43F1" w:rsidP="003A11A2">
            <w:pPr>
              <w:spacing w:after="0" w:line="240" w:lineRule="auto"/>
              <w:jc w:val="center"/>
              <w:rPr>
                <w:rFonts w:eastAsia="Times New Roman"/>
                <w:b/>
                <w:bCs/>
                <w:color w:val="FFFFFF" w:themeColor="background1"/>
                <w:lang w:val="es-DO" w:eastAsia="es-DO"/>
              </w:rPr>
            </w:pPr>
            <w:r w:rsidRPr="00D11C11">
              <w:rPr>
                <w:rFonts w:eastAsia="Times New Roman"/>
                <w:b/>
                <w:bCs/>
                <w:color w:val="FFFFFF" w:themeColor="background1"/>
                <w:lang w:eastAsia="es-DO"/>
              </w:rPr>
              <w:t>Mayo</w:t>
            </w:r>
          </w:p>
        </w:tc>
        <w:tc>
          <w:tcPr>
            <w:tcW w:w="476"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003876"/>
            <w:noWrap/>
            <w:vAlign w:val="center"/>
            <w:hideMark/>
          </w:tcPr>
          <w:p w14:paraId="26172F6F" w14:textId="77777777" w:rsidR="004C43F1" w:rsidRPr="00D11C11" w:rsidRDefault="004C43F1" w:rsidP="003A11A2">
            <w:pPr>
              <w:spacing w:after="0" w:line="240" w:lineRule="auto"/>
              <w:jc w:val="center"/>
              <w:rPr>
                <w:rFonts w:eastAsia="Times New Roman"/>
                <w:b/>
                <w:bCs/>
                <w:color w:val="FFFFFF" w:themeColor="background1"/>
                <w:lang w:val="es-DO" w:eastAsia="es-DO"/>
              </w:rPr>
            </w:pPr>
            <w:r w:rsidRPr="00D11C11">
              <w:rPr>
                <w:rFonts w:eastAsia="Times New Roman"/>
                <w:b/>
                <w:bCs/>
                <w:color w:val="FFFFFF" w:themeColor="background1"/>
                <w:lang w:eastAsia="es-DO"/>
              </w:rPr>
              <w:t>Junio</w:t>
            </w:r>
          </w:p>
        </w:tc>
        <w:tc>
          <w:tcPr>
            <w:tcW w:w="170"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003876"/>
            <w:noWrap/>
            <w:vAlign w:val="center"/>
            <w:hideMark/>
          </w:tcPr>
          <w:p w14:paraId="62837AEE" w14:textId="77777777" w:rsidR="004C43F1" w:rsidRPr="00D11C11" w:rsidRDefault="004C43F1" w:rsidP="003A11A2">
            <w:pPr>
              <w:spacing w:after="0" w:line="240" w:lineRule="auto"/>
              <w:jc w:val="center"/>
              <w:rPr>
                <w:rFonts w:eastAsia="Times New Roman"/>
                <w:b/>
                <w:bCs/>
                <w:color w:val="FFFFFF" w:themeColor="background1"/>
                <w:lang w:val="es-DO" w:eastAsia="es-DO"/>
              </w:rPr>
            </w:pPr>
            <w:r w:rsidRPr="00D11C11">
              <w:rPr>
                <w:rFonts w:eastAsia="Times New Roman"/>
                <w:b/>
                <w:bCs/>
                <w:color w:val="FFFFFF" w:themeColor="background1"/>
                <w:lang w:val="es-DO" w:eastAsia="es-DO"/>
              </w:rPr>
              <w:t>Julio</w:t>
            </w:r>
          </w:p>
        </w:tc>
        <w:tc>
          <w:tcPr>
            <w:tcW w:w="212"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003876"/>
            <w:noWrap/>
            <w:vAlign w:val="center"/>
            <w:hideMark/>
          </w:tcPr>
          <w:p w14:paraId="690FF2D8" w14:textId="77777777" w:rsidR="004C43F1" w:rsidRPr="00D11C11" w:rsidRDefault="004C43F1" w:rsidP="003A11A2">
            <w:pPr>
              <w:spacing w:after="0" w:line="240" w:lineRule="auto"/>
              <w:jc w:val="center"/>
              <w:rPr>
                <w:rFonts w:eastAsia="Times New Roman"/>
                <w:b/>
                <w:bCs/>
                <w:color w:val="FFFFFF" w:themeColor="background1"/>
                <w:lang w:val="es-DO" w:eastAsia="es-DO"/>
              </w:rPr>
            </w:pPr>
            <w:r w:rsidRPr="00D11C11">
              <w:rPr>
                <w:rFonts w:eastAsia="Times New Roman"/>
                <w:b/>
                <w:bCs/>
                <w:color w:val="FFFFFF" w:themeColor="background1"/>
                <w:lang w:val="es-DO" w:eastAsia="es-DO"/>
              </w:rPr>
              <w:t xml:space="preserve">Agosto </w:t>
            </w:r>
          </w:p>
        </w:tc>
        <w:tc>
          <w:tcPr>
            <w:tcW w:w="393"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003876"/>
            <w:noWrap/>
            <w:vAlign w:val="center"/>
            <w:hideMark/>
          </w:tcPr>
          <w:p w14:paraId="23E44860" w14:textId="77777777" w:rsidR="004C43F1" w:rsidRPr="00D11C11" w:rsidRDefault="004C43F1" w:rsidP="003A11A2">
            <w:pPr>
              <w:spacing w:after="0" w:line="240" w:lineRule="auto"/>
              <w:jc w:val="center"/>
              <w:rPr>
                <w:rFonts w:eastAsia="Times New Roman"/>
                <w:b/>
                <w:bCs/>
                <w:color w:val="FFFFFF" w:themeColor="background1"/>
                <w:lang w:val="es-DO" w:eastAsia="es-DO"/>
              </w:rPr>
            </w:pPr>
            <w:r w:rsidRPr="00D11C11">
              <w:rPr>
                <w:rFonts w:eastAsia="Times New Roman"/>
                <w:b/>
                <w:bCs/>
                <w:color w:val="FFFFFF" w:themeColor="background1"/>
                <w:lang w:val="es-DO" w:eastAsia="es-DO"/>
              </w:rPr>
              <w:t>Septiembre</w:t>
            </w:r>
          </w:p>
        </w:tc>
        <w:tc>
          <w:tcPr>
            <w:tcW w:w="449"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003876"/>
            <w:noWrap/>
            <w:vAlign w:val="center"/>
            <w:hideMark/>
          </w:tcPr>
          <w:p w14:paraId="07B940AD" w14:textId="77777777" w:rsidR="004C43F1" w:rsidRPr="00D11C11" w:rsidRDefault="004C43F1" w:rsidP="003A11A2">
            <w:pPr>
              <w:spacing w:after="0" w:line="240" w:lineRule="auto"/>
              <w:jc w:val="center"/>
              <w:rPr>
                <w:rFonts w:eastAsia="Times New Roman"/>
                <w:b/>
                <w:bCs/>
                <w:color w:val="FFFFFF" w:themeColor="background1"/>
                <w:lang w:val="es-DO" w:eastAsia="es-DO"/>
              </w:rPr>
            </w:pPr>
            <w:r w:rsidRPr="00D11C11">
              <w:rPr>
                <w:rFonts w:eastAsia="Times New Roman"/>
                <w:b/>
                <w:bCs/>
                <w:color w:val="FFFFFF" w:themeColor="background1"/>
                <w:lang w:val="es-DO" w:eastAsia="es-DO"/>
              </w:rPr>
              <w:t>Octubre</w:t>
            </w:r>
          </w:p>
        </w:tc>
        <w:tc>
          <w:tcPr>
            <w:tcW w:w="449"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003876"/>
            <w:noWrap/>
            <w:vAlign w:val="center"/>
            <w:hideMark/>
          </w:tcPr>
          <w:p w14:paraId="68F2F05B" w14:textId="77777777" w:rsidR="004C43F1" w:rsidRPr="00D11C11" w:rsidRDefault="004C43F1" w:rsidP="003A11A2">
            <w:pPr>
              <w:spacing w:after="0" w:line="240" w:lineRule="auto"/>
              <w:jc w:val="center"/>
              <w:rPr>
                <w:rFonts w:eastAsia="Times New Roman"/>
                <w:b/>
                <w:bCs/>
                <w:color w:val="FFFFFF" w:themeColor="background1"/>
                <w:lang w:val="es-DO" w:eastAsia="es-DO"/>
              </w:rPr>
            </w:pPr>
            <w:r w:rsidRPr="00D11C11">
              <w:rPr>
                <w:rFonts w:eastAsia="Times New Roman"/>
                <w:b/>
                <w:bCs/>
                <w:color w:val="FFFFFF" w:themeColor="background1"/>
                <w:lang w:val="es-DO" w:eastAsia="es-DO"/>
              </w:rPr>
              <w:t>Noviembre</w:t>
            </w:r>
          </w:p>
        </w:tc>
        <w:tc>
          <w:tcPr>
            <w:tcW w:w="435"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003876"/>
            <w:noWrap/>
            <w:vAlign w:val="center"/>
            <w:hideMark/>
          </w:tcPr>
          <w:p w14:paraId="4AFBC626" w14:textId="77777777" w:rsidR="004C43F1" w:rsidRPr="00D11C11" w:rsidRDefault="004C43F1" w:rsidP="003A11A2">
            <w:pPr>
              <w:spacing w:after="0" w:line="240" w:lineRule="auto"/>
              <w:jc w:val="center"/>
              <w:rPr>
                <w:rFonts w:eastAsia="Times New Roman"/>
                <w:b/>
                <w:bCs/>
                <w:color w:val="FFFFFF" w:themeColor="background1"/>
                <w:lang w:val="es-DO" w:eastAsia="es-DO"/>
              </w:rPr>
            </w:pPr>
            <w:r w:rsidRPr="00D11C11">
              <w:rPr>
                <w:rFonts w:eastAsia="Times New Roman"/>
                <w:b/>
                <w:bCs/>
                <w:color w:val="FFFFFF" w:themeColor="background1"/>
                <w:lang w:val="es-DO" w:eastAsia="es-DO"/>
              </w:rPr>
              <w:t>Diciembre</w:t>
            </w:r>
          </w:p>
        </w:tc>
        <w:tc>
          <w:tcPr>
            <w:tcW w:w="476" w:type="pc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003876"/>
            <w:vAlign w:val="center"/>
            <w:hideMark/>
          </w:tcPr>
          <w:p w14:paraId="37ED79A5" w14:textId="77777777" w:rsidR="004C43F1" w:rsidRPr="00D11C11" w:rsidRDefault="004C43F1" w:rsidP="003A11A2">
            <w:pPr>
              <w:spacing w:after="0" w:line="240" w:lineRule="auto"/>
              <w:jc w:val="center"/>
              <w:rPr>
                <w:rFonts w:eastAsia="Times New Roman"/>
                <w:b/>
                <w:bCs/>
                <w:color w:val="FFFFFF" w:themeColor="background1"/>
                <w:lang w:val="es-DO" w:eastAsia="es-DO"/>
              </w:rPr>
            </w:pPr>
            <w:r w:rsidRPr="00D11C11">
              <w:rPr>
                <w:rFonts w:eastAsia="Times New Roman"/>
                <w:b/>
                <w:bCs/>
                <w:color w:val="FFFFFF" w:themeColor="background1"/>
                <w:lang w:eastAsia="es-DO"/>
              </w:rPr>
              <w:t xml:space="preserve">Total </w:t>
            </w:r>
            <w:proofErr w:type="spellStart"/>
            <w:r w:rsidRPr="00D11C11">
              <w:rPr>
                <w:rFonts w:eastAsia="Times New Roman"/>
                <w:b/>
                <w:bCs/>
                <w:color w:val="FFFFFF" w:themeColor="background1"/>
                <w:lang w:eastAsia="es-DO"/>
              </w:rPr>
              <w:t>año</w:t>
            </w:r>
            <w:proofErr w:type="spellEnd"/>
            <w:r w:rsidRPr="00D11C11">
              <w:rPr>
                <w:rFonts w:eastAsia="Times New Roman"/>
                <w:b/>
                <w:bCs/>
                <w:color w:val="FFFFFF" w:themeColor="background1"/>
                <w:lang w:eastAsia="es-DO"/>
              </w:rPr>
              <w:t xml:space="preserve"> 2023</w:t>
            </w:r>
          </w:p>
        </w:tc>
      </w:tr>
      <w:tr w:rsidR="007400C6" w:rsidRPr="00D11C11" w14:paraId="18BBD0F5" w14:textId="77777777" w:rsidTr="007400C6">
        <w:trPr>
          <w:trHeight w:val="331"/>
        </w:trPr>
        <w:tc>
          <w:tcPr>
            <w:tcW w:w="489" w:type="pct"/>
            <w:tcBorders>
              <w:top w:val="single" w:sz="4" w:space="0" w:color="595959" w:themeColor="text1" w:themeTint="A6"/>
            </w:tcBorders>
            <w:shd w:val="clear" w:color="auto" w:fill="auto"/>
            <w:vAlign w:val="center"/>
            <w:hideMark/>
          </w:tcPr>
          <w:p w14:paraId="0D32E06E" w14:textId="753B7C6B" w:rsidR="004C43F1" w:rsidRPr="00D13B4F" w:rsidRDefault="00D13B4F" w:rsidP="003A11A2">
            <w:pPr>
              <w:spacing w:after="0" w:line="240" w:lineRule="auto"/>
              <w:rPr>
                <w:rFonts w:eastAsia="Times New Roman"/>
                <w:b/>
                <w:bCs/>
                <w:lang w:val="es-DO" w:eastAsia="es-DO"/>
              </w:rPr>
            </w:pPr>
            <w:r w:rsidRPr="00D13B4F">
              <w:rPr>
                <w:rFonts w:eastAsia="Times New Roman"/>
                <w:b/>
                <w:bCs/>
                <w:lang w:val="es-DO" w:eastAsia="es-DO"/>
              </w:rPr>
              <w:t>Oficina de Gestión de Proyectos de la SB</w:t>
            </w:r>
          </w:p>
        </w:tc>
        <w:tc>
          <w:tcPr>
            <w:tcW w:w="193" w:type="pct"/>
            <w:tcBorders>
              <w:top w:val="single" w:sz="4" w:space="0" w:color="595959" w:themeColor="text1" w:themeTint="A6"/>
            </w:tcBorders>
            <w:shd w:val="clear" w:color="auto" w:fill="auto"/>
            <w:noWrap/>
            <w:vAlign w:val="center"/>
          </w:tcPr>
          <w:p w14:paraId="73D883D2" w14:textId="7A4337E7" w:rsidR="004C43F1" w:rsidRPr="001E237E" w:rsidRDefault="004C43F1" w:rsidP="003A11A2">
            <w:pPr>
              <w:spacing w:after="0" w:line="240" w:lineRule="auto"/>
              <w:jc w:val="center"/>
              <w:rPr>
                <w:rFonts w:eastAsia="Times New Roman"/>
                <w:lang w:val="es-DO" w:eastAsia="es-DO"/>
              </w:rPr>
            </w:pPr>
          </w:p>
        </w:tc>
        <w:tc>
          <w:tcPr>
            <w:tcW w:w="238" w:type="pct"/>
            <w:tcBorders>
              <w:top w:val="single" w:sz="4" w:space="0" w:color="595959" w:themeColor="text1" w:themeTint="A6"/>
            </w:tcBorders>
            <w:shd w:val="clear" w:color="auto" w:fill="auto"/>
            <w:noWrap/>
            <w:vAlign w:val="center"/>
          </w:tcPr>
          <w:p w14:paraId="54460167" w14:textId="197A0CA1" w:rsidR="004C43F1" w:rsidRPr="001E237E" w:rsidRDefault="004C43F1" w:rsidP="003A11A2">
            <w:pPr>
              <w:spacing w:after="0" w:line="240" w:lineRule="auto"/>
              <w:jc w:val="center"/>
              <w:rPr>
                <w:rFonts w:eastAsia="Times New Roman"/>
                <w:lang w:val="es-DO" w:eastAsia="es-DO"/>
              </w:rPr>
            </w:pPr>
          </w:p>
        </w:tc>
        <w:tc>
          <w:tcPr>
            <w:tcW w:w="449" w:type="pct"/>
            <w:tcBorders>
              <w:top w:val="single" w:sz="4" w:space="0" w:color="595959" w:themeColor="text1" w:themeTint="A6"/>
            </w:tcBorders>
            <w:shd w:val="clear" w:color="auto" w:fill="auto"/>
            <w:noWrap/>
            <w:vAlign w:val="center"/>
          </w:tcPr>
          <w:p w14:paraId="1CB0BED6" w14:textId="193B7812" w:rsidR="004C43F1" w:rsidRPr="001E237E" w:rsidRDefault="004C43F1" w:rsidP="003A11A2">
            <w:pPr>
              <w:spacing w:after="0" w:line="240" w:lineRule="auto"/>
              <w:jc w:val="center"/>
              <w:rPr>
                <w:rFonts w:eastAsia="Times New Roman"/>
                <w:lang w:val="es-DO" w:eastAsia="es-DO"/>
              </w:rPr>
            </w:pPr>
          </w:p>
        </w:tc>
        <w:tc>
          <w:tcPr>
            <w:tcW w:w="178" w:type="pct"/>
            <w:tcBorders>
              <w:top w:val="single" w:sz="4" w:space="0" w:color="595959" w:themeColor="text1" w:themeTint="A6"/>
            </w:tcBorders>
            <w:shd w:val="clear" w:color="auto" w:fill="auto"/>
            <w:noWrap/>
            <w:vAlign w:val="center"/>
          </w:tcPr>
          <w:p w14:paraId="4395D93B" w14:textId="21FD9B4C" w:rsidR="004C43F1" w:rsidRPr="001E237E" w:rsidRDefault="004C43F1" w:rsidP="003A11A2">
            <w:pPr>
              <w:spacing w:after="0" w:line="240" w:lineRule="auto"/>
              <w:jc w:val="center"/>
              <w:rPr>
                <w:rFonts w:eastAsia="Times New Roman"/>
                <w:lang w:val="es-DO" w:eastAsia="es-DO"/>
              </w:rPr>
            </w:pPr>
          </w:p>
        </w:tc>
        <w:tc>
          <w:tcPr>
            <w:tcW w:w="393" w:type="pct"/>
            <w:tcBorders>
              <w:top w:val="single" w:sz="4" w:space="0" w:color="595959" w:themeColor="text1" w:themeTint="A6"/>
            </w:tcBorders>
            <w:shd w:val="clear" w:color="auto" w:fill="auto"/>
            <w:noWrap/>
            <w:vAlign w:val="center"/>
          </w:tcPr>
          <w:p w14:paraId="66BB7CD4" w14:textId="6B61CCE0" w:rsidR="004C43F1" w:rsidRPr="001E237E" w:rsidRDefault="004C43F1" w:rsidP="003A11A2">
            <w:pPr>
              <w:spacing w:after="0" w:line="240" w:lineRule="auto"/>
              <w:jc w:val="center"/>
              <w:rPr>
                <w:rFonts w:eastAsia="Times New Roman"/>
                <w:lang w:val="es-DO" w:eastAsia="es-DO"/>
              </w:rPr>
            </w:pPr>
          </w:p>
        </w:tc>
        <w:tc>
          <w:tcPr>
            <w:tcW w:w="476" w:type="pct"/>
            <w:tcBorders>
              <w:top w:val="single" w:sz="4" w:space="0" w:color="595959" w:themeColor="text1" w:themeTint="A6"/>
            </w:tcBorders>
            <w:shd w:val="clear" w:color="auto" w:fill="auto"/>
            <w:noWrap/>
            <w:vAlign w:val="center"/>
          </w:tcPr>
          <w:p w14:paraId="41B0CD66" w14:textId="05C82C8D" w:rsidR="004C43F1" w:rsidRPr="001E237E" w:rsidRDefault="004C43F1" w:rsidP="003A11A2">
            <w:pPr>
              <w:spacing w:after="0" w:line="240" w:lineRule="auto"/>
              <w:jc w:val="center"/>
              <w:rPr>
                <w:rFonts w:eastAsia="Times New Roman"/>
                <w:lang w:val="es-DO" w:eastAsia="es-DO"/>
              </w:rPr>
            </w:pPr>
          </w:p>
        </w:tc>
        <w:tc>
          <w:tcPr>
            <w:tcW w:w="170" w:type="pct"/>
            <w:tcBorders>
              <w:top w:val="single" w:sz="4" w:space="0" w:color="595959" w:themeColor="text1" w:themeTint="A6"/>
            </w:tcBorders>
            <w:shd w:val="clear" w:color="auto" w:fill="auto"/>
            <w:noWrap/>
            <w:vAlign w:val="center"/>
          </w:tcPr>
          <w:p w14:paraId="36C4899D" w14:textId="3341FE5E" w:rsidR="004C43F1" w:rsidRPr="001E237E" w:rsidRDefault="004C43F1" w:rsidP="003A11A2">
            <w:pPr>
              <w:spacing w:after="0" w:line="240" w:lineRule="auto"/>
              <w:jc w:val="center"/>
              <w:rPr>
                <w:rFonts w:eastAsia="Times New Roman"/>
                <w:lang w:val="es-DO" w:eastAsia="es-DO"/>
              </w:rPr>
            </w:pPr>
          </w:p>
        </w:tc>
        <w:tc>
          <w:tcPr>
            <w:tcW w:w="212" w:type="pct"/>
            <w:tcBorders>
              <w:top w:val="single" w:sz="4" w:space="0" w:color="595959" w:themeColor="text1" w:themeTint="A6"/>
            </w:tcBorders>
            <w:shd w:val="clear" w:color="auto" w:fill="auto"/>
            <w:noWrap/>
            <w:vAlign w:val="center"/>
          </w:tcPr>
          <w:p w14:paraId="2CE0116C" w14:textId="72188F65" w:rsidR="004C43F1" w:rsidRPr="001E237E" w:rsidRDefault="004C43F1" w:rsidP="003A11A2">
            <w:pPr>
              <w:spacing w:after="0" w:line="240" w:lineRule="auto"/>
              <w:jc w:val="center"/>
              <w:rPr>
                <w:rFonts w:eastAsia="Times New Roman"/>
                <w:lang w:val="es-DO" w:eastAsia="es-DO"/>
              </w:rPr>
            </w:pPr>
          </w:p>
        </w:tc>
        <w:tc>
          <w:tcPr>
            <w:tcW w:w="393" w:type="pct"/>
            <w:tcBorders>
              <w:top w:val="single" w:sz="4" w:space="0" w:color="595959" w:themeColor="text1" w:themeTint="A6"/>
            </w:tcBorders>
            <w:shd w:val="clear" w:color="auto" w:fill="auto"/>
            <w:noWrap/>
            <w:vAlign w:val="center"/>
          </w:tcPr>
          <w:p w14:paraId="2B09175B" w14:textId="310A457D" w:rsidR="004C43F1" w:rsidRPr="001E237E" w:rsidRDefault="004C43F1" w:rsidP="003A11A2">
            <w:pPr>
              <w:spacing w:after="0" w:line="240" w:lineRule="auto"/>
              <w:jc w:val="center"/>
              <w:rPr>
                <w:rFonts w:eastAsia="Times New Roman"/>
                <w:lang w:val="es-DO" w:eastAsia="es-DO"/>
              </w:rPr>
            </w:pPr>
          </w:p>
        </w:tc>
        <w:tc>
          <w:tcPr>
            <w:tcW w:w="449" w:type="pct"/>
            <w:tcBorders>
              <w:top w:val="single" w:sz="4" w:space="0" w:color="595959" w:themeColor="text1" w:themeTint="A6"/>
            </w:tcBorders>
            <w:shd w:val="clear" w:color="auto" w:fill="auto"/>
            <w:noWrap/>
            <w:vAlign w:val="center"/>
          </w:tcPr>
          <w:p w14:paraId="16D1BD9A" w14:textId="543FDCE6" w:rsidR="004C43F1" w:rsidRPr="001E237E" w:rsidRDefault="004C43F1" w:rsidP="003A11A2">
            <w:pPr>
              <w:spacing w:after="0" w:line="240" w:lineRule="auto"/>
              <w:jc w:val="center"/>
              <w:rPr>
                <w:rFonts w:eastAsia="Times New Roman"/>
                <w:lang w:val="es-DO" w:eastAsia="es-DO"/>
              </w:rPr>
            </w:pPr>
          </w:p>
        </w:tc>
        <w:tc>
          <w:tcPr>
            <w:tcW w:w="449" w:type="pct"/>
            <w:tcBorders>
              <w:top w:val="single" w:sz="4" w:space="0" w:color="595959" w:themeColor="text1" w:themeTint="A6"/>
            </w:tcBorders>
            <w:shd w:val="clear" w:color="auto" w:fill="auto"/>
            <w:noWrap/>
            <w:vAlign w:val="center"/>
          </w:tcPr>
          <w:p w14:paraId="076371A0" w14:textId="562942F9" w:rsidR="004C43F1" w:rsidRPr="001E237E" w:rsidRDefault="001E237E" w:rsidP="003A11A2">
            <w:pPr>
              <w:spacing w:after="0" w:line="240" w:lineRule="auto"/>
              <w:jc w:val="center"/>
              <w:rPr>
                <w:rFonts w:eastAsia="Times New Roman"/>
                <w:lang w:val="es-DO" w:eastAsia="es-DO"/>
              </w:rPr>
            </w:pPr>
            <w:r w:rsidRPr="001E237E">
              <w:rPr>
                <w:rFonts w:eastAsia="Times New Roman"/>
                <w:lang w:val="es-DO" w:eastAsia="es-DO"/>
              </w:rPr>
              <w:t>100%</w:t>
            </w:r>
          </w:p>
        </w:tc>
        <w:tc>
          <w:tcPr>
            <w:tcW w:w="435" w:type="pct"/>
            <w:tcBorders>
              <w:top w:val="single" w:sz="4" w:space="0" w:color="595959" w:themeColor="text1" w:themeTint="A6"/>
            </w:tcBorders>
            <w:shd w:val="clear" w:color="auto" w:fill="auto"/>
            <w:noWrap/>
            <w:vAlign w:val="center"/>
          </w:tcPr>
          <w:p w14:paraId="0D0AAED7" w14:textId="0760AF4F" w:rsidR="004C43F1" w:rsidRPr="001E237E" w:rsidRDefault="004C43F1" w:rsidP="003A11A2">
            <w:pPr>
              <w:spacing w:after="0" w:line="240" w:lineRule="auto"/>
              <w:jc w:val="center"/>
              <w:rPr>
                <w:rFonts w:eastAsia="Times New Roman"/>
                <w:lang w:val="es-DO" w:eastAsia="es-DO"/>
              </w:rPr>
            </w:pPr>
          </w:p>
        </w:tc>
        <w:tc>
          <w:tcPr>
            <w:tcW w:w="476" w:type="pct"/>
            <w:tcBorders>
              <w:top w:val="single" w:sz="4" w:space="0" w:color="595959" w:themeColor="text1" w:themeTint="A6"/>
            </w:tcBorders>
            <w:shd w:val="clear" w:color="auto" w:fill="auto"/>
            <w:noWrap/>
            <w:vAlign w:val="center"/>
          </w:tcPr>
          <w:p w14:paraId="6DE22BEB" w14:textId="4BD60927" w:rsidR="004C43F1" w:rsidRPr="001E237E" w:rsidRDefault="00497A7D" w:rsidP="003A11A2">
            <w:pPr>
              <w:spacing w:after="0" w:line="240" w:lineRule="auto"/>
              <w:jc w:val="center"/>
              <w:rPr>
                <w:rFonts w:eastAsia="Times New Roman"/>
                <w:lang w:val="es-DO" w:eastAsia="es-DO"/>
              </w:rPr>
            </w:pPr>
            <w:r w:rsidRPr="001E237E">
              <w:rPr>
                <w:rFonts w:eastAsia="Times New Roman"/>
                <w:lang w:val="es-DO" w:eastAsia="es-DO"/>
              </w:rPr>
              <w:t>1</w:t>
            </w:r>
            <w:r w:rsidR="001E237E">
              <w:rPr>
                <w:rFonts w:eastAsia="Times New Roman"/>
                <w:lang w:val="es-DO" w:eastAsia="es-DO"/>
              </w:rPr>
              <w:t>00%</w:t>
            </w:r>
          </w:p>
        </w:tc>
      </w:tr>
      <w:tr w:rsidR="007400C6" w:rsidRPr="00D11C11" w14:paraId="606B9749" w14:textId="77777777" w:rsidTr="007400C6">
        <w:trPr>
          <w:trHeight w:val="331"/>
        </w:trPr>
        <w:tc>
          <w:tcPr>
            <w:tcW w:w="489" w:type="pct"/>
            <w:shd w:val="clear" w:color="auto" w:fill="auto"/>
            <w:vAlign w:val="center"/>
          </w:tcPr>
          <w:p w14:paraId="7D3B06E0" w14:textId="0336FE78" w:rsidR="00497A7D" w:rsidRPr="00D74F69" w:rsidRDefault="00497A7D" w:rsidP="00D13B4F">
            <w:pPr>
              <w:spacing w:after="0" w:line="240" w:lineRule="auto"/>
              <w:rPr>
                <w:rFonts w:eastAsia="Times New Roman"/>
                <w:lang w:val="es-DO" w:eastAsia="es-DO"/>
              </w:rPr>
            </w:pPr>
            <w:r w:rsidRPr="00D74F69">
              <w:rPr>
                <w:rFonts w:eastAsia="Times New Roman"/>
                <w:lang w:val="es-DO" w:eastAsia="es-DO"/>
              </w:rPr>
              <w:t>Inversión producto</w:t>
            </w:r>
            <w:r w:rsidRPr="00D74F69">
              <w:rPr>
                <w:rFonts w:eastAsia="Times New Roman"/>
                <w:lang w:val="es-DO" w:eastAsia="es-DO"/>
              </w:rPr>
              <w:t xml:space="preserve"> - </w:t>
            </w:r>
            <w:r w:rsidRPr="00D74F69">
              <w:rPr>
                <w:rFonts w:eastAsia="Times New Roman"/>
                <w:lang w:val="es-DO" w:eastAsia="es-DO"/>
              </w:rPr>
              <w:t>Oficina de Gestión de Proyectos de la SB</w:t>
            </w:r>
          </w:p>
        </w:tc>
        <w:tc>
          <w:tcPr>
            <w:tcW w:w="193" w:type="pct"/>
            <w:shd w:val="clear" w:color="auto" w:fill="auto"/>
            <w:noWrap/>
            <w:vAlign w:val="center"/>
          </w:tcPr>
          <w:p w14:paraId="5C83AA85" w14:textId="77777777" w:rsidR="00497A7D" w:rsidRPr="001E237E" w:rsidRDefault="00497A7D" w:rsidP="00D13B4F">
            <w:pPr>
              <w:spacing w:after="0" w:line="240" w:lineRule="auto"/>
              <w:jc w:val="center"/>
              <w:rPr>
                <w:rFonts w:eastAsia="Times New Roman"/>
                <w:lang w:val="es-DO" w:eastAsia="es-DO"/>
              </w:rPr>
            </w:pPr>
          </w:p>
        </w:tc>
        <w:tc>
          <w:tcPr>
            <w:tcW w:w="238" w:type="pct"/>
            <w:shd w:val="clear" w:color="auto" w:fill="auto"/>
            <w:noWrap/>
            <w:vAlign w:val="center"/>
          </w:tcPr>
          <w:p w14:paraId="4231A6EE" w14:textId="77777777" w:rsidR="00497A7D" w:rsidRPr="001E237E" w:rsidRDefault="00497A7D" w:rsidP="00D13B4F">
            <w:pPr>
              <w:spacing w:after="0" w:line="240" w:lineRule="auto"/>
              <w:jc w:val="center"/>
              <w:rPr>
                <w:rFonts w:eastAsia="Times New Roman"/>
                <w:lang w:val="es-DO" w:eastAsia="es-DO"/>
              </w:rPr>
            </w:pPr>
          </w:p>
        </w:tc>
        <w:tc>
          <w:tcPr>
            <w:tcW w:w="449" w:type="pct"/>
            <w:shd w:val="clear" w:color="auto" w:fill="auto"/>
            <w:noWrap/>
            <w:vAlign w:val="center"/>
          </w:tcPr>
          <w:p w14:paraId="05DDC08C" w14:textId="77777777" w:rsidR="00497A7D" w:rsidRPr="001E237E" w:rsidRDefault="00497A7D" w:rsidP="00D13B4F">
            <w:pPr>
              <w:spacing w:after="0" w:line="240" w:lineRule="auto"/>
              <w:jc w:val="center"/>
              <w:rPr>
                <w:rFonts w:eastAsia="Times New Roman"/>
                <w:lang w:val="es-DO" w:eastAsia="es-DO"/>
              </w:rPr>
            </w:pPr>
          </w:p>
        </w:tc>
        <w:tc>
          <w:tcPr>
            <w:tcW w:w="178" w:type="pct"/>
            <w:shd w:val="clear" w:color="auto" w:fill="auto"/>
            <w:noWrap/>
            <w:vAlign w:val="center"/>
          </w:tcPr>
          <w:p w14:paraId="2730644C" w14:textId="77777777" w:rsidR="00497A7D" w:rsidRPr="001E237E" w:rsidRDefault="00497A7D" w:rsidP="00D13B4F">
            <w:pPr>
              <w:spacing w:after="0" w:line="240" w:lineRule="auto"/>
              <w:jc w:val="center"/>
              <w:rPr>
                <w:rFonts w:eastAsia="Times New Roman"/>
                <w:lang w:val="es-DO" w:eastAsia="es-DO"/>
              </w:rPr>
            </w:pPr>
          </w:p>
        </w:tc>
        <w:tc>
          <w:tcPr>
            <w:tcW w:w="393" w:type="pct"/>
            <w:shd w:val="clear" w:color="auto" w:fill="auto"/>
            <w:noWrap/>
            <w:vAlign w:val="center"/>
          </w:tcPr>
          <w:p w14:paraId="06847C3F" w14:textId="77777777" w:rsidR="00497A7D" w:rsidRPr="001E237E" w:rsidRDefault="00497A7D" w:rsidP="00D13B4F">
            <w:pPr>
              <w:spacing w:after="0" w:line="240" w:lineRule="auto"/>
              <w:jc w:val="center"/>
              <w:rPr>
                <w:rFonts w:eastAsia="Times New Roman"/>
                <w:lang w:val="es-DO" w:eastAsia="es-DO"/>
              </w:rPr>
            </w:pPr>
          </w:p>
        </w:tc>
        <w:tc>
          <w:tcPr>
            <w:tcW w:w="476" w:type="pct"/>
            <w:shd w:val="clear" w:color="auto" w:fill="auto"/>
            <w:noWrap/>
            <w:vAlign w:val="center"/>
          </w:tcPr>
          <w:p w14:paraId="239F3F0D" w14:textId="77777777" w:rsidR="00497A7D" w:rsidRPr="001E237E" w:rsidRDefault="00497A7D" w:rsidP="00D13B4F">
            <w:pPr>
              <w:spacing w:after="0" w:line="240" w:lineRule="auto"/>
              <w:jc w:val="center"/>
              <w:rPr>
                <w:rFonts w:eastAsia="Times New Roman"/>
                <w:lang w:val="es-DO" w:eastAsia="es-DO"/>
              </w:rPr>
            </w:pPr>
          </w:p>
        </w:tc>
        <w:tc>
          <w:tcPr>
            <w:tcW w:w="170" w:type="pct"/>
            <w:shd w:val="clear" w:color="auto" w:fill="auto"/>
            <w:noWrap/>
            <w:vAlign w:val="center"/>
          </w:tcPr>
          <w:p w14:paraId="2F42981C" w14:textId="77777777" w:rsidR="00497A7D" w:rsidRPr="001E237E" w:rsidRDefault="00497A7D" w:rsidP="00D13B4F">
            <w:pPr>
              <w:spacing w:after="0" w:line="240" w:lineRule="auto"/>
              <w:jc w:val="center"/>
              <w:rPr>
                <w:rFonts w:eastAsia="Times New Roman"/>
                <w:lang w:val="es-DO" w:eastAsia="es-DO"/>
              </w:rPr>
            </w:pPr>
          </w:p>
        </w:tc>
        <w:tc>
          <w:tcPr>
            <w:tcW w:w="212" w:type="pct"/>
            <w:shd w:val="clear" w:color="auto" w:fill="auto"/>
            <w:noWrap/>
            <w:vAlign w:val="center"/>
          </w:tcPr>
          <w:p w14:paraId="28D24177" w14:textId="77777777" w:rsidR="00497A7D" w:rsidRPr="001E237E" w:rsidRDefault="00497A7D" w:rsidP="00D13B4F">
            <w:pPr>
              <w:spacing w:after="0" w:line="240" w:lineRule="auto"/>
              <w:jc w:val="center"/>
              <w:rPr>
                <w:rFonts w:eastAsia="Times New Roman"/>
                <w:lang w:val="es-DO" w:eastAsia="es-DO"/>
              </w:rPr>
            </w:pPr>
          </w:p>
        </w:tc>
        <w:tc>
          <w:tcPr>
            <w:tcW w:w="393" w:type="pct"/>
            <w:shd w:val="clear" w:color="auto" w:fill="auto"/>
            <w:noWrap/>
            <w:vAlign w:val="center"/>
          </w:tcPr>
          <w:p w14:paraId="25263D29" w14:textId="77777777" w:rsidR="00497A7D" w:rsidRPr="001E237E" w:rsidRDefault="00497A7D" w:rsidP="00D13B4F">
            <w:pPr>
              <w:spacing w:after="0" w:line="240" w:lineRule="auto"/>
              <w:jc w:val="center"/>
              <w:rPr>
                <w:rFonts w:eastAsia="Times New Roman"/>
                <w:lang w:val="es-DO" w:eastAsia="es-DO"/>
              </w:rPr>
            </w:pPr>
          </w:p>
        </w:tc>
        <w:tc>
          <w:tcPr>
            <w:tcW w:w="449" w:type="pct"/>
            <w:shd w:val="clear" w:color="auto" w:fill="auto"/>
            <w:noWrap/>
            <w:vAlign w:val="center"/>
          </w:tcPr>
          <w:p w14:paraId="470519F2" w14:textId="77777777" w:rsidR="00497A7D" w:rsidRPr="001E237E" w:rsidRDefault="00497A7D" w:rsidP="00D13B4F">
            <w:pPr>
              <w:spacing w:after="0" w:line="240" w:lineRule="auto"/>
              <w:jc w:val="center"/>
              <w:rPr>
                <w:rFonts w:eastAsia="Times New Roman"/>
                <w:lang w:val="es-DO" w:eastAsia="es-DO"/>
              </w:rPr>
            </w:pPr>
          </w:p>
        </w:tc>
        <w:tc>
          <w:tcPr>
            <w:tcW w:w="449" w:type="pct"/>
            <w:shd w:val="clear" w:color="auto" w:fill="auto"/>
            <w:noWrap/>
            <w:vAlign w:val="center"/>
          </w:tcPr>
          <w:p w14:paraId="29C140C4" w14:textId="2727644C" w:rsidR="00497A7D" w:rsidRPr="001E237E" w:rsidRDefault="00497A7D" w:rsidP="00D13B4F">
            <w:pPr>
              <w:spacing w:after="0" w:line="240" w:lineRule="auto"/>
              <w:jc w:val="center"/>
              <w:rPr>
                <w:rFonts w:eastAsia="Times New Roman"/>
                <w:lang w:val="es-DO" w:eastAsia="es-DO"/>
              </w:rPr>
            </w:pPr>
            <w:r w:rsidRPr="001E237E">
              <w:rPr>
                <w:rFonts w:eastAsia="Times New Roman"/>
                <w:lang w:val="es-DO" w:eastAsia="es-DO"/>
              </w:rPr>
              <w:t>RD$ 450,000.00</w:t>
            </w:r>
          </w:p>
        </w:tc>
        <w:tc>
          <w:tcPr>
            <w:tcW w:w="435" w:type="pct"/>
            <w:shd w:val="clear" w:color="auto" w:fill="auto"/>
            <w:noWrap/>
            <w:vAlign w:val="center"/>
          </w:tcPr>
          <w:p w14:paraId="75DE6F99" w14:textId="77777777" w:rsidR="00497A7D" w:rsidRPr="001E237E" w:rsidRDefault="00497A7D" w:rsidP="00D13B4F">
            <w:pPr>
              <w:spacing w:after="0" w:line="240" w:lineRule="auto"/>
              <w:jc w:val="center"/>
              <w:rPr>
                <w:rFonts w:eastAsia="Times New Roman"/>
                <w:lang w:val="es-DO" w:eastAsia="es-DO"/>
              </w:rPr>
            </w:pPr>
          </w:p>
        </w:tc>
        <w:tc>
          <w:tcPr>
            <w:tcW w:w="476" w:type="pct"/>
            <w:shd w:val="clear" w:color="auto" w:fill="auto"/>
            <w:noWrap/>
            <w:vAlign w:val="center"/>
          </w:tcPr>
          <w:p w14:paraId="716C3CF6" w14:textId="6D03CBFE" w:rsidR="00497A7D" w:rsidRPr="001E237E" w:rsidRDefault="00497A7D" w:rsidP="00D13B4F">
            <w:pPr>
              <w:spacing w:after="0" w:line="240" w:lineRule="auto"/>
              <w:jc w:val="center"/>
              <w:rPr>
                <w:rFonts w:eastAsia="Times New Roman"/>
                <w:lang w:val="es-DO" w:eastAsia="es-DO"/>
              </w:rPr>
            </w:pPr>
            <w:r w:rsidRPr="001E237E">
              <w:rPr>
                <w:rFonts w:eastAsia="Times New Roman"/>
                <w:lang w:val="es-DO" w:eastAsia="es-DO"/>
              </w:rPr>
              <w:t>RD$ 450,000.00</w:t>
            </w:r>
          </w:p>
        </w:tc>
      </w:tr>
      <w:tr w:rsidR="007400C6" w:rsidRPr="00497A7D" w14:paraId="2BB66BDD" w14:textId="77777777" w:rsidTr="007400C6">
        <w:trPr>
          <w:trHeight w:val="331"/>
        </w:trPr>
        <w:tc>
          <w:tcPr>
            <w:tcW w:w="489" w:type="pct"/>
            <w:shd w:val="clear" w:color="auto" w:fill="auto"/>
            <w:vAlign w:val="center"/>
            <w:hideMark/>
          </w:tcPr>
          <w:p w14:paraId="784C00C5" w14:textId="1475C2E0" w:rsidR="00D13B4F" w:rsidRPr="00D11C11" w:rsidRDefault="00D13B4F" w:rsidP="00D13B4F">
            <w:pPr>
              <w:spacing w:after="0" w:line="240" w:lineRule="auto"/>
              <w:rPr>
                <w:rFonts w:eastAsia="Times New Roman"/>
                <w:b/>
                <w:bCs/>
                <w:lang w:val="es-DO" w:eastAsia="es-DO"/>
              </w:rPr>
            </w:pPr>
            <w:r w:rsidRPr="00D13B4F">
              <w:rPr>
                <w:rFonts w:eastAsia="Times New Roman"/>
                <w:b/>
                <w:bCs/>
                <w:lang w:val="es-DO" w:eastAsia="es-DO"/>
              </w:rPr>
              <w:t xml:space="preserve">Fortalecimiento </w:t>
            </w:r>
            <w:r w:rsidRPr="00D13B4F">
              <w:rPr>
                <w:rFonts w:eastAsia="Times New Roman"/>
                <w:b/>
                <w:bCs/>
                <w:lang w:val="es-DO" w:eastAsia="es-DO"/>
              </w:rPr>
              <w:lastRenderedPageBreak/>
              <w:t>de los valores éticos institucionales</w:t>
            </w:r>
          </w:p>
        </w:tc>
        <w:tc>
          <w:tcPr>
            <w:tcW w:w="193" w:type="pct"/>
            <w:shd w:val="clear" w:color="auto" w:fill="auto"/>
            <w:noWrap/>
            <w:vAlign w:val="center"/>
          </w:tcPr>
          <w:p w14:paraId="16C6877F" w14:textId="3B74B51F" w:rsidR="00D13B4F" w:rsidRPr="001E237E" w:rsidRDefault="00D13B4F" w:rsidP="00D13B4F">
            <w:pPr>
              <w:spacing w:after="0" w:line="240" w:lineRule="auto"/>
              <w:jc w:val="center"/>
              <w:rPr>
                <w:rFonts w:eastAsia="Times New Roman"/>
                <w:lang w:val="es-DO" w:eastAsia="es-DO"/>
              </w:rPr>
            </w:pPr>
          </w:p>
        </w:tc>
        <w:tc>
          <w:tcPr>
            <w:tcW w:w="238" w:type="pct"/>
            <w:shd w:val="clear" w:color="auto" w:fill="auto"/>
            <w:noWrap/>
            <w:vAlign w:val="center"/>
          </w:tcPr>
          <w:p w14:paraId="5948C56A" w14:textId="47EBC86C" w:rsidR="00D13B4F" w:rsidRPr="001E237E" w:rsidRDefault="00D13B4F" w:rsidP="00D13B4F">
            <w:pPr>
              <w:spacing w:after="0" w:line="240" w:lineRule="auto"/>
              <w:jc w:val="center"/>
              <w:rPr>
                <w:rFonts w:eastAsia="Times New Roman"/>
                <w:lang w:val="es-DO" w:eastAsia="es-DO"/>
              </w:rPr>
            </w:pPr>
          </w:p>
        </w:tc>
        <w:tc>
          <w:tcPr>
            <w:tcW w:w="449" w:type="pct"/>
            <w:shd w:val="clear" w:color="auto" w:fill="auto"/>
            <w:noWrap/>
            <w:vAlign w:val="center"/>
          </w:tcPr>
          <w:p w14:paraId="57CA48C6" w14:textId="48FA5DC2" w:rsidR="00D13B4F" w:rsidRPr="001E237E" w:rsidRDefault="00D13B4F" w:rsidP="00D13B4F">
            <w:pPr>
              <w:spacing w:after="0" w:line="240" w:lineRule="auto"/>
              <w:jc w:val="center"/>
              <w:rPr>
                <w:rFonts w:eastAsia="Times New Roman"/>
                <w:lang w:val="es-DO" w:eastAsia="es-DO"/>
              </w:rPr>
            </w:pPr>
          </w:p>
        </w:tc>
        <w:tc>
          <w:tcPr>
            <w:tcW w:w="178" w:type="pct"/>
            <w:shd w:val="clear" w:color="auto" w:fill="auto"/>
            <w:noWrap/>
            <w:vAlign w:val="center"/>
          </w:tcPr>
          <w:p w14:paraId="0656C8E6" w14:textId="215EB2B4" w:rsidR="00D13B4F" w:rsidRPr="001E237E" w:rsidRDefault="00D13B4F" w:rsidP="00D13B4F">
            <w:pPr>
              <w:spacing w:after="0" w:line="240" w:lineRule="auto"/>
              <w:jc w:val="center"/>
              <w:rPr>
                <w:rFonts w:eastAsia="Times New Roman"/>
                <w:lang w:val="es-DO" w:eastAsia="es-DO"/>
              </w:rPr>
            </w:pPr>
          </w:p>
        </w:tc>
        <w:tc>
          <w:tcPr>
            <w:tcW w:w="393" w:type="pct"/>
            <w:shd w:val="clear" w:color="auto" w:fill="auto"/>
            <w:noWrap/>
            <w:vAlign w:val="center"/>
          </w:tcPr>
          <w:p w14:paraId="4A65C16C" w14:textId="7780C050" w:rsidR="00D13B4F" w:rsidRPr="001E237E" w:rsidRDefault="00D13B4F" w:rsidP="00D13B4F">
            <w:pPr>
              <w:spacing w:after="0" w:line="240" w:lineRule="auto"/>
              <w:jc w:val="center"/>
              <w:rPr>
                <w:rFonts w:eastAsia="Times New Roman"/>
                <w:lang w:val="es-DO" w:eastAsia="es-DO"/>
              </w:rPr>
            </w:pPr>
          </w:p>
        </w:tc>
        <w:tc>
          <w:tcPr>
            <w:tcW w:w="476" w:type="pct"/>
            <w:shd w:val="clear" w:color="auto" w:fill="auto"/>
            <w:noWrap/>
            <w:vAlign w:val="center"/>
          </w:tcPr>
          <w:p w14:paraId="3CBA29F8" w14:textId="42DEC6E3" w:rsidR="00D13B4F" w:rsidRPr="001E237E" w:rsidRDefault="00D13B4F" w:rsidP="00D13B4F">
            <w:pPr>
              <w:spacing w:after="0" w:line="240" w:lineRule="auto"/>
              <w:jc w:val="center"/>
              <w:rPr>
                <w:rFonts w:eastAsia="Times New Roman"/>
                <w:lang w:val="es-DO" w:eastAsia="es-DO"/>
              </w:rPr>
            </w:pPr>
          </w:p>
        </w:tc>
        <w:tc>
          <w:tcPr>
            <w:tcW w:w="170" w:type="pct"/>
            <w:shd w:val="clear" w:color="auto" w:fill="auto"/>
            <w:noWrap/>
            <w:vAlign w:val="center"/>
          </w:tcPr>
          <w:p w14:paraId="4CE8F1D9" w14:textId="6C9247F1" w:rsidR="00D13B4F" w:rsidRPr="001E237E" w:rsidRDefault="00D13B4F" w:rsidP="00D13B4F">
            <w:pPr>
              <w:spacing w:after="0" w:line="240" w:lineRule="auto"/>
              <w:jc w:val="center"/>
              <w:rPr>
                <w:rFonts w:eastAsia="Times New Roman"/>
                <w:lang w:val="es-DO" w:eastAsia="es-DO"/>
              </w:rPr>
            </w:pPr>
          </w:p>
        </w:tc>
        <w:tc>
          <w:tcPr>
            <w:tcW w:w="212" w:type="pct"/>
            <w:shd w:val="clear" w:color="auto" w:fill="auto"/>
            <w:noWrap/>
            <w:vAlign w:val="center"/>
          </w:tcPr>
          <w:p w14:paraId="1F92FB1C" w14:textId="1E48DEA6" w:rsidR="00D13B4F" w:rsidRPr="001E237E" w:rsidRDefault="00D13B4F" w:rsidP="00D13B4F">
            <w:pPr>
              <w:spacing w:after="0" w:line="240" w:lineRule="auto"/>
              <w:jc w:val="center"/>
              <w:rPr>
                <w:rFonts w:eastAsia="Times New Roman"/>
                <w:lang w:val="es-DO" w:eastAsia="es-DO"/>
              </w:rPr>
            </w:pPr>
          </w:p>
        </w:tc>
        <w:tc>
          <w:tcPr>
            <w:tcW w:w="393" w:type="pct"/>
            <w:shd w:val="clear" w:color="auto" w:fill="auto"/>
            <w:noWrap/>
            <w:vAlign w:val="center"/>
          </w:tcPr>
          <w:p w14:paraId="64B81C83" w14:textId="2AE805B2" w:rsidR="00D13B4F" w:rsidRPr="001E237E" w:rsidRDefault="001E237E" w:rsidP="00D13B4F">
            <w:pPr>
              <w:spacing w:after="0" w:line="240" w:lineRule="auto"/>
              <w:jc w:val="center"/>
              <w:rPr>
                <w:rFonts w:eastAsia="Times New Roman"/>
                <w:lang w:val="es-DO" w:eastAsia="es-DO"/>
              </w:rPr>
            </w:pPr>
            <w:r w:rsidRPr="001E237E">
              <w:rPr>
                <w:rFonts w:eastAsia="Times New Roman"/>
                <w:lang w:val="es-DO" w:eastAsia="es-DO"/>
              </w:rPr>
              <w:t>100%</w:t>
            </w:r>
          </w:p>
        </w:tc>
        <w:tc>
          <w:tcPr>
            <w:tcW w:w="449" w:type="pct"/>
            <w:shd w:val="clear" w:color="auto" w:fill="auto"/>
            <w:noWrap/>
            <w:vAlign w:val="center"/>
          </w:tcPr>
          <w:p w14:paraId="062AC867" w14:textId="312458FE" w:rsidR="00D13B4F" w:rsidRPr="001E237E" w:rsidRDefault="00D13B4F" w:rsidP="00D13B4F">
            <w:pPr>
              <w:spacing w:after="0" w:line="240" w:lineRule="auto"/>
              <w:jc w:val="center"/>
              <w:rPr>
                <w:rFonts w:eastAsia="Times New Roman"/>
                <w:lang w:val="es-DO" w:eastAsia="es-DO"/>
              </w:rPr>
            </w:pPr>
          </w:p>
        </w:tc>
        <w:tc>
          <w:tcPr>
            <w:tcW w:w="449" w:type="pct"/>
            <w:shd w:val="clear" w:color="auto" w:fill="auto"/>
            <w:noWrap/>
            <w:vAlign w:val="center"/>
          </w:tcPr>
          <w:p w14:paraId="3256BFBB" w14:textId="346F6938" w:rsidR="00D13B4F" w:rsidRPr="001E237E" w:rsidRDefault="00D13B4F" w:rsidP="00D13B4F">
            <w:pPr>
              <w:spacing w:after="0" w:line="240" w:lineRule="auto"/>
              <w:jc w:val="center"/>
              <w:rPr>
                <w:rFonts w:eastAsia="Times New Roman"/>
                <w:lang w:val="es-DO" w:eastAsia="es-DO"/>
              </w:rPr>
            </w:pPr>
          </w:p>
        </w:tc>
        <w:tc>
          <w:tcPr>
            <w:tcW w:w="435" w:type="pct"/>
            <w:shd w:val="clear" w:color="auto" w:fill="auto"/>
            <w:noWrap/>
            <w:vAlign w:val="center"/>
          </w:tcPr>
          <w:p w14:paraId="45063822" w14:textId="7FC49AB1" w:rsidR="00D13B4F" w:rsidRPr="001E237E" w:rsidRDefault="00D13B4F" w:rsidP="00D13B4F">
            <w:pPr>
              <w:spacing w:after="0" w:line="240" w:lineRule="auto"/>
              <w:jc w:val="center"/>
              <w:rPr>
                <w:rFonts w:eastAsia="Times New Roman"/>
                <w:lang w:val="es-DO" w:eastAsia="es-DO"/>
              </w:rPr>
            </w:pPr>
          </w:p>
        </w:tc>
        <w:tc>
          <w:tcPr>
            <w:tcW w:w="476" w:type="pct"/>
            <w:shd w:val="clear" w:color="auto" w:fill="auto"/>
            <w:noWrap/>
            <w:vAlign w:val="center"/>
          </w:tcPr>
          <w:p w14:paraId="1AA449F8" w14:textId="497C4480" w:rsidR="00D13B4F" w:rsidRPr="001E237E" w:rsidRDefault="001E237E" w:rsidP="00D13B4F">
            <w:pPr>
              <w:spacing w:after="0" w:line="240" w:lineRule="auto"/>
              <w:jc w:val="center"/>
              <w:rPr>
                <w:rFonts w:eastAsia="Times New Roman"/>
                <w:lang w:val="es-DO" w:eastAsia="es-DO"/>
              </w:rPr>
            </w:pPr>
            <w:r>
              <w:rPr>
                <w:rFonts w:eastAsia="Times New Roman"/>
                <w:lang w:val="es-DO" w:eastAsia="es-DO"/>
              </w:rPr>
              <w:t>100%</w:t>
            </w:r>
          </w:p>
        </w:tc>
      </w:tr>
      <w:tr w:rsidR="007400C6" w:rsidRPr="00D13B4F" w14:paraId="32D07121" w14:textId="77777777" w:rsidTr="007400C6">
        <w:trPr>
          <w:trHeight w:val="331"/>
        </w:trPr>
        <w:tc>
          <w:tcPr>
            <w:tcW w:w="489" w:type="pct"/>
            <w:shd w:val="clear" w:color="auto" w:fill="auto"/>
            <w:vAlign w:val="center"/>
          </w:tcPr>
          <w:p w14:paraId="1054BCAD" w14:textId="62F4C25F" w:rsidR="004C43F1" w:rsidRPr="00D13B4F" w:rsidRDefault="00D13B4F" w:rsidP="003A11A2">
            <w:pPr>
              <w:spacing w:after="0" w:line="240" w:lineRule="auto"/>
              <w:rPr>
                <w:rFonts w:eastAsia="Times New Roman"/>
                <w:b/>
                <w:bCs/>
                <w:lang w:val="es-DO" w:eastAsia="es-DO"/>
              </w:rPr>
            </w:pPr>
            <w:r w:rsidRPr="00D13B4F">
              <w:rPr>
                <w:rFonts w:eastAsia="Times New Roman"/>
                <w:b/>
                <w:bCs/>
                <w:lang w:val="es-DO" w:eastAsia="es-DO"/>
              </w:rPr>
              <w:t>Acercamiento al Usuario (Fase III)</w:t>
            </w:r>
          </w:p>
        </w:tc>
        <w:tc>
          <w:tcPr>
            <w:tcW w:w="193" w:type="pct"/>
            <w:shd w:val="clear" w:color="auto" w:fill="auto"/>
            <w:noWrap/>
            <w:vAlign w:val="center"/>
          </w:tcPr>
          <w:p w14:paraId="1DD705F4" w14:textId="69E05EFF" w:rsidR="004C43F1" w:rsidRPr="001E237E" w:rsidRDefault="004C43F1" w:rsidP="003A11A2">
            <w:pPr>
              <w:spacing w:after="0" w:line="240" w:lineRule="auto"/>
              <w:jc w:val="center"/>
              <w:rPr>
                <w:rFonts w:eastAsia="Times New Roman"/>
                <w:lang w:val="es-DO" w:eastAsia="es-DO"/>
              </w:rPr>
            </w:pPr>
          </w:p>
        </w:tc>
        <w:tc>
          <w:tcPr>
            <w:tcW w:w="238" w:type="pct"/>
            <w:shd w:val="clear" w:color="auto" w:fill="auto"/>
            <w:noWrap/>
            <w:vAlign w:val="center"/>
          </w:tcPr>
          <w:p w14:paraId="5D0C1198" w14:textId="6578E46F" w:rsidR="004C43F1" w:rsidRPr="001E237E" w:rsidRDefault="004C43F1" w:rsidP="003A11A2">
            <w:pPr>
              <w:spacing w:after="0" w:line="240" w:lineRule="auto"/>
              <w:jc w:val="center"/>
              <w:rPr>
                <w:rFonts w:eastAsia="Times New Roman"/>
                <w:lang w:val="es-DO" w:eastAsia="es-DO"/>
              </w:rPr>
            </w:pPr>
          </w:p>
        </w:tc>
        <w:tc>
          <w:tcPr>
            <w:tcW w:w="449" w:type="pct"/>
            <w:shd w:val="clear" w:color="auto" w:fill="auto"/>
            <w:noWrap/>
            <w:vAlign w:val="center"/>
          </w:tcPr>
          <w:p w14:paraId="330BD7A6" w14:textId="3D5E4B3B" w:rsidR="004C43F1" w:rsidRPr="001E237E" w:rsidRDefault="004C43F1" w:rsidP="003A11A2">
            <w:pPr>
              <w:spacing w:after="0" w:line="240" w:lineRule="auto"/>
              <w:jc w:val="center"/>
              <w:rPr>
                <w:rFonts w:eastAsia="Times New Roman"/>
                <w:lang w:val="es-DO" w:eastAsia="es-DO"/>
              </w:rPr>
            </w:pPr>
          </w:p>
        </w:tc>
        <w:tc>
          <w:tcPr>
            <w:tcW w:w="178" w:type="pct"/>
            <w:shd w:val="clear" w:color="auto" w:fill="auto"/>
            <w:noWrap/>
            <w:vAlign w:val="center"/>
          </w:tcPr>
          <w:p w14:paraId="685CD691" w14:textId="00B1BAF7" w:rsidR="004C43F1" w:rsidRPr="001E237E" w:rsidRDefault="004C43F1" w:rsidP="003A11A2">
            <w:pPr>
              <w:spacing w:after="0" w:line="240" w:lineRule="auto"/>
              <w:jc w:val="center"/>
              <w:rPr>
                <w:rFonts w:eastAsia="Times New Roman"/>
                <w:lang w:val="es-DO" w:eastAsia="es-DO"/>
              </w:rPr>
            </w:pPr>
          </w:p>
        </w:tc>
        <w:tc>
          <w:tcPr>
            <w:tcW w:w="393" w:type="pct"/>
            <w:shd w:val="clear" w:color="auto" w:fill="auto"/>
            <w:noWrap/>
            <w:vAlign w:val="center"/>
          </w:tcPr>
          <w:p w14:paraId="4CA05BA8" w14:textId="34AA34A0" w:rsidR="004C43F1" w:rsidRPr="001E237E" w:rsidRDefault="004C43F1" w:rsidP="003A11A2">
            <w:pPr>
              <w:spacing w:after="0" w:line="240" w:lineRule="auto"/>
              <w:jc w:val="center"/>
              <w:rPr>
                <w:rFonts w:eastAsia="Times New Roman"/>
                <w:lang w:val="es-DO" w:eastAsia="es-DO"/>
              </w:rPr>
            </w:pPr>
          </w:p>
        </w:tc>
        <w:tc>
          <w:tcPr>
            <w:tcW w:w="476" w:type="pct"/>
            <w:shd w:val="clear" w:color="auto" w:fill="auto"/>
            <w:noWrap/>
            <w:vAlign w:val="center"/>
          </w:tcPr>
          <w:p w14:paraId="3EE913D9" w14:textId="0C88957E" w:rsidR="004C43F1" w:rsidRPr="001E237E" w:rsidRDefault="00D74F69" w:rsidP="003A11A2">
            <w:pPr>
              <w:spacing w:after="0" w:line="240" w:lineRule="auto"/>
              <w:jc w:val="center"/>
              <w:rPr>
                <w:rFonts w:eastAsia="Times New Roman"/>
                <w:lang w:val="es-DO" w:eastAsia="es-DO"/>
              </w:rPr>
            </w:pPr>
            <w:r>
              <w:rPr>
                <w:rFonts w:eastAsia="Times New Roman"/>
                <w:lang w:val="es-DO" w:eastAsia="es-DO"/>
              </w:rPr>
              <w:t>100%</w:t>
            </w:r>
          </w:p>
        </w:tc>
        <w:tc>
          <w:tcPr>
            <w:tcW w:w="170" w:type="pct"/>
            <w:shd w:val="clear" w:color="auto" w:fill="auto"/>
            <w:noWrap/>
            <w:vAlign w:val="center"/>
          </w:tcPr>
          <w:p w14:paraId="0EAB412E" w14:textId="26F60AD0" w:rsidR="004C43F1" w:rsidRPr="001E237E" w:rsidRDefault="004C43F1" w:rsidP="003A11A2">
            <w:pPr>
              <w:spacing w:after="0" w:line="240" w:lineRule="auto"/>
              <w:jc w:val="center"/>
              <w:rPr>
                <w:rFonts w:eastAsia="Times New Roman"/>
                <w:lang w:val="es-DO" w:eastAsia="es-DO"/>
              </w:rPr>
            </w:pPr>
          </w:p>
        </w:tc>
        <w:tc>
          <w:tcPr>
            <w:tcW w:w="212" w:type="pct"/>
            <w:shd w:val="clear" w:color="auto" w:fill="auto"/>
            <w:noWrap/>
            <w:vAlign w:val="center"/>
          </w:tcPr>
          <w:p w14:paraId="5AF030EA" w14:textId="63574B71" w:rsidR="004C43F1" w:rsidRPr="001E237E" w:rsidRDefault="004C43F1" w:rsidP="003A11A2">
            <w:pPr>
              <w:spacing w:after="0" w:line="240" w:lineRule="auto"/>
              <w:jc w:val="center"/>
              <w:rPr>
                <w:rFonts w:eastAsia="Times New Roman"/>
                <w:lang w:val="es-DO" w:eastAsia="es-DO"/>
              </w:rPr>
            </w:pPr>
          </w:p>
        </w:tc>
        <w:tc>
          <w:tcPr>
            <w:tcW w:w="393" w:type="pct"/>
            <w:shd w:val="clear" w:color="auto" w:fill="auto"/>
            <w:noWrap/>
            <w:vAlign w:val="center"/>
          </w:tcPr>
          <w:p w14:paraId="4B916B7B" w14:textId="0DE9F48C" w:rsidR="004C43F1" w:rsidRPr="001E237E" w:rsidRDefault="004C43F1" w:rsidP="003A11A2">
            <w:pPr>
              <w:spacing w:after="0" w:line="240" w:lineRule="auto"/>
              <w:jc w:val="center"/>
              <w:rPr>
                <w:rFonts w:eastAsia="Times New Roman"/>
                <w:lang w:val="es-DO" w:eastAsia="es-DO"/>
              </w:rPr>
            </w:pPr>
          </w:p>
        </w:tc>
        <w:tc>
          <w:tcPr>
            <w:tcW w:w="449" w:type="pct"/>
            <w:shd w:val="clear" w:color="auto" w:fill="auto"/>
            <w:noWrap/>
            <w:vAlign w:val="center"/>
          </w:tcPr>
          <w:p w14:paraId="24D52BCC" w14:textId="77A4F222" w:rsidR="004C43F1" w:rsidRPr="001E237E" w:rsidRDefault="004C43F1" w:rsidP="003A11A2">
            <w:pPr>
              <w:spacing w:after="0" w:line="240" w:lineRule="auto"/>
              <w:jc w:val="center"/>
              <w:rPr>
                <w:rFonts w:eastAsia="Times New Roman"/>
                <w:lang w:val="es-DO" w:eastAsia="es-DO"/>
              </w:rPr>
            </w:pPr>
          </w:p>
        </w:tc>
        <w:tc>
          <w:tcPr>
            <w:tcW w:w="449" w:type="pct"/>
            <w:shd w:val="clear" w:color="auto" w:fill="auto"/>
            <w:noWrap/>
            <w:vAlign w:val="center"/>
          </w:tcPr>
          <w:p w14:paraId="20FDE9FB" w14:textId="328D73EC" w:rsidR="004C43F1" w:rsidRPr="001E237E" w:rsidRDefault="004C43F1" w:rsidP="003A11A2">
            <w:pPr>
              <w:spacing w:after="0" w:line="240" w:lineRule="auto"/>
              <w:jc w:val="center"/>
              <w:rPr>
                <w:rFonts w:eastAsia="Times New Roman"/>
                <w:lang w:val="es-DO" w:eastAsia="es-DO"/>
              </w:rPr>
            </w:pPr>
          </w:p>
        </w:tc>
        <w:tc>
          <w:tcPr>
            <w:tcW w:w="435" w:type="pct"/>
            <w:shd w:val="clear" w:color="auto" w:fill="auto"/>
            <w:noWrap/>
            <w:vAlign w:val="center"/>
          </w:tcPr>
          <w:p w14:paraId="480616DA" w14:textId="6A35F1E3" w:rsidR="004C43F1" w:rsidRPr="001E237E" w:rsidRDefault="004C43F1" w:rsidP="003A11A2">
            <w:pPr>
              <w:spacing w:after="0" w:line="240" w:lineRule="auto"/>
              <w:jc w:val="center"/>
              <w:rPr>
                <w:rFonts w:eastAsia="Times New Roman"/>
                <w:lang w:val="es-DO" w:eastAsia="es-DO"/>
              </w:rPr>
            </w:pPr>
          </w:p>
        </w:tc>
        <w:tc>
          <w:tcPr>
            <w:tcW w:w="476" w:type="pct"/>
            <w:shd w:val="clear" w:color="auto" w:fill="auto"/>
            <w:noWrap/>
            <w:vAlign w:val="center"/>
          </w:tcPr>
          <w:p w14:paraId="2CA78CC7" w14:textId="4344DAB9" w:rsidR="004C43F1" w:rsidRPr="001E237E" w:rsidRDefault="00D74F69" w:rsidP="003A11A2">
            <w:pPr>
              <w:spacing w:after="0" w:line="240" w:lineRule="auto"/>
              <w:jc w:val="center"/>
              <w:rPr>
                <w:rFonts w:eastAsia="Times New Roman"/>
                <w:lang w:val="es-DO" w:eastAsia="es-DO"/>
              </w:rPr>
            </w:pPr>
            <w:r>
              <w:rPr>
                <w:rFonts w:eastAsia="Times New Roman"/>
                <w:lang w:val="es-DO" w:eastAsia="es-DO"/>
              </w:rPr>
              <w:t>100%</w:t>
            </w:r>
          </w:p>
        </w:tc>
      </w:tr>
      <w:tr w:rsidR="007400C6" w:rsidRPr="00D13B4F" w14:paraId="6D5CBB65" w14:textId="77777777" w:rsidTr="007400C6">
        <w:trPr>
          <w:trHeight w:val="331"/>
        </w:trPr>
        <w:tc>
          <w:tcPr>
            <w:tcW w:w="489" w:type="pct"/>
            <w:shd w:val="clear" w:color="auto" w:fill="auto"/>
            <w:vAlign w:val="center"/>
          </w:tcPr>
          <w:p w14:paraId="3FDE5E6A" w14:textId="2BA3EC84" w:rsidR="00D74F69" w:rsidRPr="00D74F69" w:rsidRDefault="00D74F69" w:rsidP="003A11A2">
            <w:pPr>
              <w:spacing w:after="0" w:line="240" w:lineRule="auto"/>
              <w:rPr>
                <w:rFonts w:eastAsia="Times New Roman"/>
                <w:lang w:val="es-DO" w:eastAsia="es-DO"/>
              </w:rPr>
            </w:pPr>
            <w:r w:rsidRPr="00D74F69">
              <w:rPr>
                <w:rFonts w:eastAsia="Times New Roman"/>
                <w:lang w:val="es-DO" w:eastAsia="es-DO"/>
              </w:rPr>
              <w:t>Inversión producto - Acercamiento al Usuario (Fase III)</w:t>
            </w:r>
          </w:p>
        </w:tc>
        <w:tc>
          <w:tcPr>
            <w:tcW w:w="193" w:type="pct"/>
            <w:shd w:val="clear" w:color="auto" w:fill="auto"/>
            <w:noWrap/>
            <w:vAlign w:val="center"/>
          </w:tcPr>
          <w:p w14:paraId="50D8CDF7" w14:textId="77777777" w:rsidR="00D74F69" w:rsidRPr="001E237E" w:rsidRDefault="00D74F69" w:rsidP="003A11A2">
            <w:pPr>
              <w:spacing w:after="0" w:line="240" w:lineRule="auto"/>
              <w:jc w:val="center"/>
              <w:rPr>
                <w:rFonts w:eastAsia="Times New Roman"/>
                <w:lang w:val="es-DO" w:eastAsia="es-DO"/>
              </w:rPr>
            </w:pPr>
          </w:p>
        </w:tc>
        <w:tc>
          <w:tcPr>
            <w:tcW w:w="238" w:type="pct"/>
            <w:shd w:val="clear" w:color="auto" w:fill="auto"/>
            <w:noWrap/>
            <w:vAlign w:val="center"/>
          </w:tcPr>
          <w:p w14:paraId="2862652F" w14:textId="77777777" w:rsidR="00D74F69" w:rsidRPr="001E237E" w:rsidRDefault="00D74F69" w:rsidP="003A11A2">
            <w:pPr>
              <w:spacing w:after="0" w:line="240" w:lineRule="auto"/>
              <w:jc w:val="center"/>
              <w:rPr>
                <w:rFonts w:eastAsia="Times New Roman"/>
                <w:lang w:val="es-DO" w:eastAsia="es-DO"/>
              </w:rPr>
            </w:pPr>
          </w:p>
        </w:tc>
        <w:tc>
          <w:tcPr>
            <w:tcW w:w="449" w:type="pct"/>
            <w:shd w:val="clear" w:color="auto" w:fill="auto"/>
            <w:noWrap/>
            <w:vAlign w:val="center"/>
          </w:tcPr>
          <w:p w14:paraId="61D0777E" w14:textId="77777777" w:rsidR="00D74F69" w:rsidRPr="001E237E" w:rsidRDefault="00D74F69" w:rsidP="003A11A2">
            <w:pPr>
              <w:spacing w:after="0" w:line="240" w:lineRule="auto"/>
              <w:jc w:val="center"/>
              <w:rPr>
                <w:rFonts w:eastAsia="Times New Roman"/>
                <w:lang w:val="es-DO" w:eastAsia="es-DO"/>
              </w:rPr>
            </w:pPr>
          </w:p>
        </w:tc>
        <w:tc>
          <w:tcPr>
            <w:tcW w:w="178" w:type="pct"/>
            <w:shd w:val="clear" w:color="auto" w:fill="auto"/>
            <w:noWrap/>
            <w:vAlign w:val="center"/>
          </w:tcPr>
          <w:p w14:paraId="1584F830" w14:textId="77777777" w:rsidR="00D74F69" w:rsidRPr="001E237E" w:rsidRDefault="00D74F69" w:rsidP="003A11A2">
            <w:pPr>
              <w:spacing w:after="0" w:line="240" w:lineRule="auto"/>
              <w:jc w:val="center"/>
              <w:rPr>
                <w:rFonts w:eastAsia="Times New Roman"/>
                <w:lang w:val="es-DO" w:eastAsia="es-DO"/>
              </w:rPr>
            </w:pPr>
          </w:p>
        </w:tc>
        <w:tc>
          <w:tcPr>
            <w:tcW w:w="393" w:type="pct"/>
            <w:shd w:val="clear" w:color="auto" w:fill="auto"/>
            <w:noWrap/>
            <w:vAlign w:val="center"/>
          </w:tcPr>
          <w:p w14:paraId="293213FE" w14:textId="77777777" w:rsidR="00D74F69" w:rsidRPr="001E237E" w:rsidRDefault="00D74F69" w:rsidP="003A11A2">
            <w:pPr>
              <w:spacing w:after="0" w:line="240" w:lineRule="auto"/>
              <w:jc w:val="center"/>
              <w:rPr>
                <w:rFonts w:eastAsia="Times New Roman"/>
                <w:lang w:val="es-DO" w:eastAsia="es-DO"/>
              </w:rPr>
            </w:pPr>
          </w:p>
        </w:tc>
        <w:tc>
          <w:tcPr>
            <w:tcW w:w="476" w:type="pct"/>
            <w:shd w:val="clear" w:color="auto" w:fill="auto"/>
            <w:noWrap/>
            <w:vAlign w:val="center"/>
          </w:tcPr>
          <w:p w14:paraId="0135C6DA" w14:textId="63413FB0" w:rsidR="00D74F69" w:rsidRDefault="00D74F69" w:rsidP="003A11A2">
            <w:pPr>
              <w:spacing w:after="0" w:line="240" w:lineRule="auto"/>
              <w:jc w:val="center"/>
              <w:rPr>
                <w:rFonts w:eastAsia="Times New Roman"/>
                <w:lang w:val="es-DO" w:eastAsia="es-DO"/>
              </w:rPr>
            </w:pPr>
            <w:r>
              <w:rPr>
                <w:rFonts w:eastAsia="Times New Roman"/>
                <w:lang w:val="es-DO" w:eastAsia="es-DO"/>
              </w:rPr>
              <w:t xml:space="preserve">RD$ </w:t>
            </w:r>
            <w:r w:rsidRPr="00D74F69">
              <w:rPr>
                <w:rFonts w:eastAsia="Times New Roman"/>
                <w:lang w:val="es-DO" w:eastAsia="es-DO"/>
              </w:rPr>
              <w:t>30,572,718.00</w:t>
            </w:r>
          </w:p>
        </w:tc>
        <w:tc>
          <w:tcPr>
            <w:tcW w:w="170" w:type="pct"/>
            <w:shd w:val="clear" w:color="auto" w:fill="auto"/>
            <w:noWrap/>
            <w:vAlign w:val="center"/>
          </w:tcPr>
          <w:p w14:paraId="071A48EE" w14:textId="77777777" w:rsidR="00D74F69" w:rsidRPr="001E237E" w:rsidRDefault="00D74F69" w:rsidP="003A11A2">
            <w:pPr>
              <w:spacing w:after="0" w:line="240" w:lineRule="auto"/>
              <w:jc w:val="center"/>
              <w:rPr>
                <w:rFonts w:eastAsia="Times New Roman"/>
                <w:lang w:val="es-DO" w:eastAsia="es-DO"/>
              </w:rPr>
            </w:pPr>
          </w:p>
        </w:tc>
        <w:tc>
          <w:tcPr>
            <w:tcW w:w="212" w:type="pct"/>
            <w:shd w:val="clear" w:color="auto" w:fill="auto"/>
            <w:noWrap/>
            <w:vAlign w:val="center"/>
          </w:tcPr>
          <w:p w14:paraId="166C7AA0" w14:textId="77777777" w:rsidR="00D74F69" w:rsidRPr="001E237E" w:rsidRDefault="00D74F69" w:rsidP="003A11A2">
            <w:pPr>
              <w:spacing w:after="0" w:line="240" w:lineRule="auto"/>
              <w:jc w:val="center"/>
              <w:rPr>
                <w:rFonts w:eastAsia="Times New Roman"/>
                <w:lang w:val="es-DO" w:eastAsia="es-DO"/>
              </w:rPr>
            </w:pPr>
          </w:p>
        </w:tc>
        <w:tc>
          <w:tcPr>
            <w:tcW w:w="393" w:type="pct"/>
            <w:shd w:val="clear" w:color="auto" w:fill="auto"/>
            <w:noWrap/>
            <w:vAlign w:val="center"/>
          </w:tcPr>
          <w:p w14:paraId="5AA918E3" w14:textId="77777777" w:rsidR="00D74F69" w:rsidRPr="001E237E" w:rsidRDefault="00D74F69" w:rsidP="003A11A2">
            <w:pPr>
              <w:spacing w:after="0" w:line="240" w:lineRule="auto"/>
              <w:jc w:val="center"/>
              <w:rPr>
                <w:rFonts w:eastAsia="Times New Roman"/>
                <w:lang w:val="es-DO" w:eastAsia="es-DO"/>
              </w:rPr>
            </w:pPr>
          </w:p>
        </w:tc>
        <w:tc>
          <w:tcPr>
            <w:tcW w:w="449" w:type="pct"/>
            <w:shd w:val="clear" w:color="auto" w:fill="auto"/>
            <w:noWrap/>
            <w:vAlign w:val="center"/>
          </w:tcPr>
          <w:p w14:paraId="242CACF9" w14:textId="77777777" w:rsidR="00D74F69" w:rsidRPr="001E237E" w:rsidRDefault="00D74F69" w:rsidP="003A11A2">
            <w:pPr>
              <w:spacing w:after="0" w:line="240" w:lineRule="auto"/>
              <w:jc w:val="center"/>
              <w:rPr>
                <w:rFonts w:eastAsia="Times New Roman"/>
                <w:lang w:val="es-DO" w:eastAsia="es-DO"/>
              </w:rPr>
            </w:pPr>
          </w:p>
        </w:tc>
        <w:tc>
          <w:tcPr>
            <w:tcW w:w="449" w:type="pct"/>
            <w:shd w:val="clear" w:color="auto" w:fill="auto"/>
            <w:noWrap/>
            <w:vAlign w:val="center"/>
          </w:tcPr>
          <w:p w14:paraId="60F488D9" w14:textId="77777777" w:rsidR="00D74F69" w:rsidRPr="001E237E" w:rsidRDefault="00D74F69" w:rsidP="003A11A2">
            <w:pPr>
              <w:spacing w:after="0" w:line="240" w:lineRule="auto"/>
              <w:jc w:val="center"/>
              <w:rPr>
                <w:rFonts w:eastAsia="Times New Roman"/>
                <w:lang w:val="es-DO" w:eastAsia="es-DO"/>
              </w:rPr>
            </w:pPr>
          </w:p>
        </w:tc>
        <w:tc>
          <w:tcPr>
            <w:tcW w:w="435" w:type="pct"/>
            <w:shd w:val="clear" w:color="auto" w:fill="auto"/>
            <w:noWrap/>
            <w:vAlign w:val="center"/>
          </w:tcPr>
          <w:p w14:paraId="2032D61C" w14:textId="77777777" w:rsidR="00D74F69" w:rsidRPr="001E237E" w:rsidRDefault="00D74F69" w:rsidP="003A11A2">
            <w:pPr>
              <w:spacing w:after="0" w:line="240" w:lineRule="auto"/>
              <w:jc w:val="center"/>
              <w:rPr>
                <w:rFonts w:eastAsia="Times New Roman"/>
                <w:lang w:val="es-DO" w:eastAsia="es-DO"/>
              </w:rPr>
            </w:pPr>
          </w:p>
        </w:tc>
        <w:tc>
          <w:tcPr>
            <w:tcW w:w="476" w:type="pct"/>
            <w:shd w:val="clear" w:color="auto" w:fill="auto"/>
            <w:noWrap/>
            <w:vAlign w:val="center"/>
          </w:tcPr>
          <w:p w14:paraId="594CAB84" w14:textId="593540F7" w:rsidR="00D74F69" w:rsidRPr="001E237E" w:rsidRDefault="00D74F69" w:rsidP="003A11A2">
            <w:pPr>
              <w:spacing w:after="0" w:line="240" w:lineRule="auto"/>
              <w:jc w:val="center"/>
              <w:rPr>
                <w:rFonts w:eastAsia="Times New Roman"/>
                <w:lang w:val="es-DO" w:eastAsia="es-DO"/>
              </w:rPr>
            </w:pPr>
            <w:r>
              <w:rPr>
                <w:rFonts w:eastAsia="Times New Roman"/>
                <w:lang w:val="es-DO" w:eastAsia="es-DO"/>
              </w:rPr>
              <w:t xml:space="preserve">RD$ </w:t>
            </w:r>
            <w:r>
              <w:t>30,572,718.00</w:t>
            </w:r>
          </w:p>
        </w:tc>
      </w:tr>
      <w:tr w:rsidR="007400C6" w:rsidRPr="00D13B4F" w14:paraId="5A42DF7D" w14:textId="77777777" w:rsidTr="007400C6">
        <w:trPr>
          <w:trHeight w:val="331"/>
        </w:trPr>
        <w:tc>
          <w:tcPr>
            <w:tcW w:w="489" w:type="pct"/>
            <w:shd w:val="clear" w:color="auto" w:fill="auto"/>
            <w:vAlign w:val="center"/>
          </w:tcPr>
          <w:p w14:paraId="0190D9BB" w14:textId="0B9D1EB2" w:rsidR="004C43F1" w:rsidRPr="00D11C11" w:rsidRDefault="00D13B4F" w:rsidP="003A11A2">
            <w:pPr>
              <w:spacing w:after="0" w:line="240" w:lineRule="auto"/>
              <w:rPr>
                <w:rFonts w:eastAsia="Times New Roman"/>
                <w:b/>
                <w:bCs/>
                <w:lang w:val="es-DO" w:eastAsia="es-DO"/>
              </w:rPr>
            </w:pPr>
            <w:r w:rsidRPr="00D13B4F">
              <w:rPr>
                <w:rFonts w:eastAsia="Times New Roman"/>
                <w:b/>
                <w:bCs/>
                <w:lang w:val="es-DO" w:eastAsia="es-DO"/>
              </w:rPr>
              <w:t xml:space="preserve">Interoperabilidad Consultoría jurídica </w:t>
            </w:r>
            <w:r w:rsidRPr="00D13B4F">
              <w:rPr>
                <w:rFonts w:eastAsia="Times New Roman"/>
                <w:b/>
                <w:bCs/>
                <w:lang w:val="es-DO" w:eastAsia="es-DO"/>
              </w:rPr>
              <w:lastRenderedPageBreak/>
              <w:t>de la SB – Dirección Nacional de Registro de Títulos</w:t>
            </w:r>
          </w:p>
        </w:tc>
        <w:tc>
          <w:tcPr>
            <w:tcW w:w="193" w:type="pct"/>
            <w:shd w:val="clear" w:color="auto" w:fill="auto"/>
            <w:noWrap/>
            <w:vAlign w:val="center"/>
          </w:tcPr>
          <w:p w14:paraId="2CFD8D23" w14:textId="05507A8F" w:rsidR="004C43F1" w:rsidRPr="00D11C11" w:rsidRDefault="004C43F1" w:rsidP="003A11A2">
            <w:pPr>
              <w:spacing w:after="0" w:line="240" w:lineRule="auto"/>
              <w:jc w:val="center"/>
              <w:rPr>
                <w:rFonts w:eastAsia="Times New Roman"/>
                <w:lang w:val="es-DO" w:eastAsia="es-DO"/>
              </w:rPr>
            </w:pPr>
          </w:p>
        </w:tc>
        <w:tc>
          <w:tcPr>
            <w:tcW w:w="238" w:type="pct"/>
            <w:shd w:val="clear" w:color="auto" w:fill="auto"/>
            <w:noWrap/>
            <w:vAlign w:val="center"/>
          </w:tcPr>
          <w:p w14:paraId="161C4605" w14:textId="67F38C0B" w:rsidR="004C43F1" w:rsidRPr="00D11C11" w:rsidRDefault="004C43F1" w:rsidP="003A11A2">
            <w:pPr>
              <w:spacing w:after="0" w:line="240" w:lineRule="auto"/>
              <w:jc w:val="center"/>
              <w:rPr>
                <w:rFonts w:eastAsia="Times New Roman"/>
                <w:lang w:val="es-DO" w:eastAsia="es-DO"/>
              </w:rPr>
            </w:pPr>
          </w:p>
        </w:tc>
        <w:tc>
          <w:tcPr>
            <w:tcW w:w="449" w:type="pct"/>
            <w:shd w:val="clear" w:color="auto" w:fill="auto"/>
            <w:noWrap/>
            <w:vAlign w:val="center"/>
          </w:tcPr>
          <w:p w14:paraId="55B6E5AD" w14:textId="065AE443" w:rsidR="004C43F1" w:rsidRPr="00D11C11" w:rsidRDefault="004C43F1" w:rsidP="003A11A2">
            <w:pPr>
              <w:spacing w:after="0" w:line="240" w:lineRule="auto"/>
              <w:jc w:val="center"/>
              <w:rPr>
                <w:rFonts w:eastAsia="Times New Roman"/>
                <w:lang w:val="es-DO" w:eastAsia="es-DO"/>
              </w:rPr>
            </w:pPr>
          </w:p>
        </w:tc>
        <w:tc>
          <w:tcPr>
            <w:tcW w:w="178" w:type="pct"/>
            <w:shd w:val="clear" w:color="auto" w:fill="auto"/>
            <w:noWrap/>
            <w:vAlign w:val="center"/>
          </w:tcPr>
          <w:p w14:paraId="6495F45A" w14:textId="4EF77546" w:rsidR="004C43F1" w:rsidRPr="00D11C11" w:rsidRDefault="004C43F1" w:rsidP="003A11A2">
            <w:pPr>
              <w:spacing w:after="0" w:line="240" w:lineRule="auto"/>
              <w:jc w:val="center"/>
              <w:rPr>
                <w:rFonts w:eastAsia="Times New Roman"/>
                <w:lang w:val="es-DO" w:eastAsia="es-DO"/>
              </w:rPr>
            </w:pPr>
          </w:p>
        </w:tc>
        <w:tc>
          <w:tcPr>
            <w:tcW w:w="393" w:type="pct"/>
            <w:shd w:val="clear" w:color="auto" w:fill="auto"/>
            <w:noWrap/>
            <w:vAlign w:val="center"/>
          </w:tcPr>
          <w:p w14:paraId="67CC0266" w14:textId="7E02DD79" w:rsidR="004C43F1" w:rsidRPr="00D11C11" w:rsidRDefault="004C43F1" w:rsidP="003A11A2">
            <w:pPr>
              <w:spacing w:after="0" w:line="240" w:lineRule="auto"/>
              <w:jc w:val="center"/>
              <w:rPr>
                <w:rFonts w:eastAsia="Times New Roman"/>
                <w:lang w:val="es-DO" w:eastAsia="es-DO"/>
              </w:rPr>
            </w:pPr>
          </w:p>
        </w:tc>
        <w:tc>
          <w:tcPr>
            <w:tcW w:w="476" w:type="pct"/>
            <w:shd w:val="clear" w:color="auto" w:fill="auto"/>
            <w:noWrap/>
            <w:vAlign w:val="center"/>
          </w:tcPr>
          <w:p w14:paraId="1884FDDD" w14:textId="25D1D5C6" w:rsidR="004C43F1" w:rsidRPr="00D11C11" w:rsidRDefault="004C43F1" w:rsidP="003A11A2">
            <w:pPr>
              <w:spacing w:after="0" w:line="240" w:lineRule="auto"/>
              <w:jc w:val="center"/>
              <w:rPr>
                <w:rFonts w:eastAsia="Times New Roman"/>
                <w:lang w:val="es-DO" w:eastAsia="es-DO"/>
              </w:rPr>
            </w:pPr>
          </w:p>
        </w:tc>
        <w:tc>
          <w:tcPr>
            <w:tcW w:w="170" w:type="pct"/>
            <w:shd w:val="clear" w:color="auto" w:fill="auto"/>
            <w:noWrap/>
            <w:vAlign w:val="center"/>
          </w:tcPr>
          <w:p w14:paraId="410BD5F6" w14:textId="70486EDC" w:rsidR="004C43F1" w:rsidRPr="00D11C11" w:rsidRDefault="004C43F1" w:rsidP="003A11A2">
            <w:pPr>
              <w:spacing w:after="0" w:line="240" w:lineRule="auto"/>
              <w:jc w:val="center"/>
              <w:rPr>
                <w:rFonts w:eastAsia="Times New Roman"/>
                <w:lang w:val="es-DO" w:eastAsia="es-DO"/>
              </w:rPr>
            </w:pPr>
          </w:p>
        </w:tc>
        <w:tc>
          <w:tcPr>
            <w:tcW w:w="212" w:type="pct"/>
            <w:shd w:val="clear" w:color="auto" w:fill="auto"/>
            <w:noWrap/>
            <w:vAlign w:val="center"/>
          </w:tcPr>
          <w:p w14:paraId="7E1C0D90" w14:textId="428E831B" w:rsidR="004C43F1" w:rsidRPr="00D11C11" w:rsidRDefault="004C43F1" w:rsidP="003A11A2">
            <w:pPr>
              <w:spacing w:after="0" w:line="240" w:lineRule="auto"/>
              <w:jc w:val="center"/>
              <w:rPr>
                <w:rFonts w:eastAsia="Times New Roman"/>
                <w:lang w:val="es-DO" w:eastAsia="es-DO"/>
              </w:rPr>
            </w:pPr>
          </w:p>
        </w:tc>
        <w:tc>
          <w:tcPr>
            <w:tcW w:w="393" w:type="pct"/>
            <w:shd w:val="clear" w:color="auto" w:fill="auto"/>
            <w:noWrap/>
            <w:vAlign w:val="center"/>
          </w:tcPr>
          <w:p w14:paraId="15414D4B" w14:textId="7B5D3A32" w:rsidR="004C43F1" w:rsidRPr="00D11C11" w:rsidRDefault="004C43F1" w:rsidP="003A11A2">
            <w:pPr>
              <w:spacing w:after="0" w:line="240" w:lineRule="auto"/>
              <w:jc w:val="center"/>
              <w:rPr>
                <w:rFonts w:eastAsia="Times New Roman"/>
                <w:lang w:val="es-DO" w:eastAsia="es-DO"/>
              </w:rPr>
            </w:pPr>
          </w:p>
        </w:tc>
        <w:tc>
          <w:tcPr>
            <w:tcW w:w="449" w:type="pct"/>
            <w:shd w:val="clear" w:color="auto" w:fill="auto"/>
            <w:noWrap/>
            <w:vAlign w:val="center"/>
          </w:tcPr>
          <w:p w14:paraId="053EF304" w14:textId="3DD3A492" w:rsidR="004C43F1" w:rsidRPr="00D11C11" w:rsidRDefault="004C43F1" w:rsidP="003A11A2">
            <w:pPr>
              <w:spacing w:after="0" w:line="240" w:lineRule="auto"/>
              <w:jc w:val="center"/>
              <w:rPr>
                <w:rFonts w:eastAsia="Times New Roman"/>
                <w:lang w:val="es-DO" w:eastAsia="es-DO"/>
              </w:rPr>
            </w:pPr>
          </w:p>
        </w:tc>
        <w:tc>
          <w:tcPr>
            <w:tcW w:w="449" w:type="pct"/>
            <w:shd w:val="clear" w:color="auto" w:fill="auto"/>
            <w:noWrap/>
            <w:vAlign w:val="center"/>
          </w:tcPr>
          <w:p w14:paraId="5AFD9FD7" w14:textId="791B3563" w:rsidR="004C43F1" w:rsidRPr="00D11C11" w:rsidRDefault="00D74F69" w:rsidP="003A11A2">
            <w:pPr>
              <w:spacing w:after="0" w:line="240" w:lineRule="auto"/>
              <w:jc w:val="center"/>
              <w:rPr>
                <w:rFonts w:eastAsia="Times New Roman"/>
                <w:lang w:val="es-DO" w:eastAsia="es-DO"/>
              </w:rPr>
            </w:pPr>
            <w:r>
              <w:rPr>
                <w:rFonts w:eastAsia="Times New Roman"/>
                <w:lang w:val="es-DO" w:eastAsia="es-DO"/>
              </w:rPr>
              <w:t>100%</w:t>
            </w:r>
          </w:p>
        </w:tc>
        <w:tc>
          <w:tcPr>
            <w:tcW w:w="435" w:type="pct"/>
            <w:shd w:val="clear" w:color="auto" w:fill="auto"/>
            <w:noWrap/>
            <w:vAlign w:val="center"/>
          </w:tcPr>
          <w:p w14:paraId="4EE9EE92" w14:textId="5FA95352" w:rsidR="004C43F1" w:rsidRPr="00D11C11" w:rsidRDefault="004C43F1" w:rsidP="003A11A2">
            <w:pPr>
              <w:spacing w:after="0" w:line="240" w:lineRule="auto"/>
              <w:jc w:val="center"/>
              <w:rPr>
                <w:rFonts w:eastAsia="Times New Roman"/>
                <w:lang w:val="es-DO" w:eastAsia="es-DO"/>
              </w:rPr>
            </w:pPr>
          </w:p>
        </w:tc>
        <w:tc>
          <w:tcPr>
            <w:tcW w:w="476" w:type="pct"/>
            <w:shd w:val="clear" w:color="auto" w:fill="auto"/>
            <w:noWrap/>
            <w:vAlign w:val="center"/>
          </w:tcPr>
          <w:p w14:paraId="7F722D5A" w14:textId="03DCDA18" w:rsidR="004C43F1" w:rsidRPr="00D11C11" w:rsidRDefault="00D74F69" w:rsidP="003A11A2">
            <w:pPr>
              <w:spacing w:after="0" w:line="240" w:lineRule="auto"/>
              <w:jc w:val="center"/>
              <w:rPr>
                <w:rFonts w:eastAsia="Times New Roman"/>
                <w:lang w:val="es-DO" w:eastAsia="es-DO"/>
              </w:rPr>
            </w:pPr>
            <w:r>
              <w:rPr>
                <w:rFonts w:eastAsia="Times New Roman"/>
                <w:lang w:val="es-DO" w:eastAsia="es-DO"/>
              </w:rPr>
              <w:t>100%</w:t>
            </w:r>
          </w:p>
        </w:tc>
      </w:tr>
      <w:tr w:rsidR="007400C6" w:rsidRPr="00D13B4F" w14:paraId="522AA974" w14:textId="77777777" w:rsidTr="007400C6">
        <w:trPr>
          <w:trHeight w:val="331"/>
        </w:trPr>
        <w:tc>
          <w:tcPr>
            <w:tcW w:w="489" w:type="pct"/>
            <w:shd w:val="clear" w:color="auto" w:fill="auto"/>
            <w:vAlign w:val="center"/>
          </w:tcPr>
          <w:p w14:paraId="06303985" w14:textId="1855226D" w:rsidR="00D74F69" w:rsidRPr="00D74F69" w:rsidRDefault="00D74F69" w:rsidP="003A11A2">
            <w:pPr>
              <w:spacing w:after="0" w:line="240" w:lineRule="auto"/>
              <w:rPr>
                <w:rFonts w:eastAsia="Times New Roman"/>
                <w:lang w:val="es-DO" w:eastAsia="es-DO"/>
              </w:rPr>
            </w:pPr>
            <w:r w:rsidRPr="00D74F69">
              <w:rPr>
                <w:rFonts w:eastAsia="Times New Roman"/>
                <w:lang w:val="es-DO" w:eastAsia="es-DO"/>
              </w:rPr>
              <w:t xml:space="preserve">Inversión producto </w:t>
            </w:r>
            <w:r w:rsidRPr="00D74F69">
              <w:rPr>
                <w:rFonts w:eastAsia="Times New Roman"/>
                <w:lang w:val="es-DO" w:eastAsia="es-DO"/>
              </w:rPr>
              <w:t>-</w:t>
            </w:r>
            <w:r>
              <w:rPr>
                <w:rFonts w:eastAsia="Times New Roman"/>
                <w:lang w:val="es-DO" w:eastAsia="es-DO"/>
              </w:rPr>
              <w:t xml:space="preserve"> </w:t>
            </w:r>
            <w:r w:rsidRPr="00CA7BDA">
              <w:rPr>
                <w:rFonts w:eastAsia="Times New Roman"/>
                <w:lang w:val="es-DO" w:eastAsia="es-DO"/>
              </w:rPr>
              <w:t>Interoperabilidad</w:t>
            </w:r>
            <w:r w:rsidRPr="00CA7BDA">
              <w:rPr>
                <w:rFonts w:eastAsia="Times New Roman"/>
                <w:lang w:val="es-DO" w:eastAsia="es-DO"/>
              </w:rPr>
              <w:t xml:space="preserve"> Consultoría jurídica de la SB – Dirección Nacional de</w:t>
            </w:r>
            <w:r w:rsidRPr="00D13B4F">
              <w:rPr>
                <w:rFonts w:eastAsia="Times New Roman"/>
                <w:b/>
                <w:bCs/>
                <w:lang w:val="es-DO" w:eastAsia="es-DO"/>
              </w:rPr>
              <w:t xml:space="preserve"> </w:t>
            </w:r>
            <w:r w:rsidRPr="00CA7BDA">
              <w:rPr>
                <w:rFonts w:eastAsia="Times New Roman"/>
                <w:lang w:val="es-DO" w:eastAsia="es-DO"/>
              </w:rPr>
              <w:t xml:space="preserve">Registro </w:t>
            </w:r>
            <w:r w:rsidRPr="00CA7BDA">
              <w:rPr>
                <w:rFonts w:eastAsia="Times New Roman"/>
                <w:lang w:val="es-DO" w:eastAsia="es-DO"/>
              </w:rPr>
              <w:lastRenderedPageBreak/>
              <w:t>de Títulos</w:t>
            </w:r>
          </w:p>
        </w:tc>
        <w:tc>
          <w:tcPr>
            <w:tcW w:w="193" w:type="pct"/>
            <w:shd w:val="clear" w:color="auto" w:fill="auto"/>
            <w:noWrap/>
            <w:vAlign w:val="center"/>
          </w:tcPr>
          <w:p w14:paraId="031B451D" w14:textId="77777777" w:rsidR="00D74F69" w:rsidRPr="00D11C11" w:rsidRDefault="00D74F69" w:rsidP="003A11A2">
            <w:pPr>
              <w:spacing w:after="0" w:line="240" w:lineRule="auto"/>
              <w:jc w:val="center"/>
              <w:rPr>
                <w:rFonts w:eastAsia="Times New Roman"/>
                <w:lang w:val="es-DO" w:eastAsia="es-DO"/>
              </w:rPr>
            </w:pPr>
          </w:p>
        </w:tc>
        <w:tc>
          <w:tcPr>
            <w:tcW w:w="238" w:type="pct"/>
            <w:shd w:val="clear" w:color="auto" w:fill="auto"/>
            <w:noWrap/>
            <w:vAlign w:val="center"/>
          </w:tcPr>
          <w:p w14:paraId="483719F0" w14:textId="77777777" w:rsidR="00D74F69" w:rsidRPr="00D11C11" w:rsidRDefault="00D74F69" w:rsidP="003A11A2">
            <w:pPr>
              <w:spacing w:after="0" w:line="240" w:lineRule="auto"/>
              <w:jc w:val="center"/>
              <w:rPr>
                <w:rFonts w:eastAsia="Times New Roman"/>
                <w:lang w:val="es-DO" w:eastAsia="es-DO"/>
              </w:rPr>
            </w:pPr>
          </w:p>
        </w:tc>
        <w:tc>
          <w:tcPr>
            <w:tcW w:w="449" w:type="pct"/>
            <w:shd w:val="clear" w:color="auto" w:fill="auto"/>
            <w:noWrap/>
            <w:vAlign w:val="center"/>
          </w:tcPr>
          <w:p w14:paraId="04EAF312" w14:textId="77777777" w:rsidR="00D74F69" w:rsidRPr="00D11C11" w:rsidRDefault="00D74F69" w:rsidP="003A11A2">
            <w:pPr>
              <w:spacing w:after="0" w:line="240" w:lineRule="auto"/>
              <w:jc w:val="center"/>
              <w:rPr>
                <w:rFonts w:eastAsia="Times New Roman"/>
                <w:lang w:val="es-DO" w:eastAsia="es-DO"/>
              </w:rPr>
            </w:pPr>
          </w:p>
        </w:tc>
        <w:tc>
          <w:tcPr>
            <w:tcW w:w="178" w:type="pct"/>
            <w:shd w:val="clear" w:color="auto" w:fill="auto"/>
            <w:noWrap/>
            <w:vAlign w:val="center"/>
          </w:tcPr>
          <w:p w14:paraId="447BACB7" w14:textId="77777777" w:rsidR="00D74F69" w:rsidRPr="00D11C11" w:rsidRDefault="00D74F69" w:rsidP="003A11A2">
            <w:pPr>
              <w:spacing w:after="0" w:line="240" w:lineRule="auto"/>
              <w:jc w:val="center"/>
              <w:rPr>
                <w:rFonts w:eastAsia="Times New Roman"/>
                <w:lang w:val="es-DO" w:eastAsia="es-DO"/>
              </w:rPr>
            </w:pPr>
          </w:p>
        </w:tc>
        <w:tc>
          <w:tcPr>
            <w:tcW w:w="393" w:type="pct"/>
            <w:shd w:val="clear" w:color="auto" w:fill="auto"/>
            <w:noWrap/>
            <w:vAlign w:val="center"/>
          </w:tcPr>
          <w:p w14:paraId="579DC4A4" w14:textId="77777777" w:rsidR="00D74F69" w:rsidRPr="00D11C11" w:rsidRDefault="00D74F69" w:rsidP="003A11A2">
            <w:pPr>
              <w:spacing w:after="0" w:line="240" w:lineRule="auto"/>
              <w:jc w:val="center"/>
              <w:rPr>
                <w:rFonts w:eastAsia="Times New Roman"/>
                <w:lang w:val="es-DO" w:eastAsia="es-DO"/>
              </w:rPr>
            </w:pPr>
          </w:p>
        </w:tc>
        <w:tc>
          <w:tcPr>
            <w:tcW w:w="476" w:type="pct"/>
            <w:shd w:val="clear" w:color="auto" w:fill="auto"/>
            <w:noWrap/>
            <w:vAlign w:val="center"/>
          </w:tcPr>
          <w:p w14:paraId="5A8DB173" w14:textId="77777777" w:rsidR="00D74F69" w:rsidRPr="00D11C11" w:rsidRDefault="00D74F69" w:rsidP="003A11A2">
            <w:pPr>
              <w:spacing w:after="0" w:line="240" w:lineRule="auto"/>
              <w:jc w:val="center"/>
              <w:rPr>
                <w:rFonts w:eastAsia="Times New Roman"/>
                <w:lang w:val="es-DO" w:eastAsia="es-DO"/>
              </w:rPr>
            </w:pPr>
          </w:p>
        </w:tc>
        <w:tc>
          <w:tcPr>
            <w:tcW w:w="170" w:type="pct"/>
            <w:shd w:val="clear" w:color="auto" w:fill="auto"/>
            <w:noWrap/>
            <w:vAlign w:val="center"/>
          </w:tcPr>
          <w:p w14:paraId="08DD7BDF" w14:textId="77777777" w:rsidR="00D74F69" w:rsidRPr="00D11C11" w:rsidRDefault="00D74F69" w:rsidP="003A11A2">
            <w:pPr>
              <w:spacing w:after="0" w:line="240" w:lineRule="auto"/>
              <w:jc w:val="center"/>
              <w:rPr>
                <w:rFonts w:eastAsia="Times New Roman"/>
                <w:lang w:val="es-DO" w:eastAsia="es-DO"/>
              </w:rPr>
            </w:pPr>
          </w:p>
        </w:tc>
        <w:tc>
          <w:tcPr>
            <w:tcW w:w="212" w:type="pct"/>
            <w:shd w:val="clear" w:color="auto" w:fill="auto"/>
            <w:noWrap/>
            <w:vAlign w:val="center"/>
          </w:tcPr>
          <w:p w14:paraId="33E5CD7D" w14:textId="77777777" w:rsidR="00D74F69" w:rsidRPr="00D11C11" w:rsidRDefault="00D74F69" w:rsidP="003A11A2">
            <w:pPr>
              <w:spacing w:after="0" w:line="240" w:lineRule="auto"/>
              <w:jc w:val="center"/>
              <w:rPr>
                <w:rFonts w:eastAsia="Times New Roman"/>
                <w:lang w:val="es-DO" w:eastAsia="es-DO"/>
              </w:rPr>
            </w:pPr>
          </w:p>
        </w:tc>
        <w:tc>
          <w:tcPr>
            <w:tcW w:w="393" w:type="pct"/>
            <w:shd w:val="clear" w:color="auto" w:fill="auto"/>
            <w:noWrap/>
            <w:vAlign w:val="center"/>
          </w:tcPr>
          <w:p w14:paraId="12090616" w14:textId="77777777" w:rsidR="00D74F69" w:rsidRPr="00D11C11" w:rsidRDefault="00D74F69" w:rsidP="003A11A2">
            <w:pPr>
              <w:spacing w:after="0" w:line="240" w:lineRule="auto"/>
              <w:jc w:val="center"/>
              <w:rPr>
                <w:rFonts w:eastAsia="Times New Roman"/>
                <w:lang w:val="es-DO" w:eastAsia="es-DO"/>
              </w:rPr>
            </w:pPr>
          </w:p>
        </w:tc>
        <w:tc>
          <w:tcPr>
            <w:tcW w:w="449" w:type="pct"/>
            <w:shd w:val="clear" w:color="auto" w:fill="auto"/>
            <w:noWrap/>
            <w:vAlign w:val="center"/>
          </w:tcPr>
          <w:p w14:paraId="7F3B2D04" w14:textId="77777777" w:rsidR="00D74F69" w:rsidRPr="00D11C11" w:rsidRDefault="00D74F69" w:rsidP="003A11A2">
            <w:pPr>
              <w:spacing w:after="0" w:line="240" w:lineRule="auto"/>
              <w:jc w:val="center"/>
              <w:rPr>
                <w:rFonts w:eastAsia="Times New Roman"/>
                <w:lang w:val="es-DO" w:eastAsia="es-DO"/>
              </w:rPr>
            </w:pPr>
          </w:p>
        </w:tc>
        <w:tc>
          <w:tcPr>
            <w:tcW w:w="449" w:type="pct"/>
            <w:shd w:val="clear" w:color="auto" w:fill="auto"/>
            <w:noWrap/>
            <w:vAlign w:val="center"/>
          </w:tcPr>
          <w:p w14:paraId="1C3AE70B" w14:textId="1409918D" w:rsidR="00D74F69" w:rsidRDefault="00D74F69" w:rsidP="003A11A2">
            <w:pPr>
              <w:spacing w:after="0" w:line="240" w:lineRule="auto"/>
              <w:jc w:val="center"/>
              <w:rPr>
                <w:rFonts w:eastAsia="Times New Roman"/>
                <w:lang w:val="es-DO" w:eastAsia="es-DO"/>
              </w:rPr>
            </w:pPr>
            <w:r>
              <w:rPr>
                <w:rFonts w:eastAsia="Times New Roman"/>
                <w:lang w:val="es-DO" w:eastAsia="es-DO"/>
              </w:rPr>
              <w:t>RD$100,000.00</w:t>
            </w:r>
          </w:p>
        </w:tc>
        <w:tc>
          <w:tcPr>
            <w:tcW w:w="435" w:type="pct"/>
            <w:shd w:val="clear" w:color="auto" w:fill="auto"/>
            <w:noWrap/>
            <w:vAlign w:val="center"/>
          </w:tcPr>
          <w:p w14:paraId="1ABE5CC0" w14:textId="77777777" w:rsidR="00D74F69" w:rsidRPr="00D11C11" w:rsidRDefault="00D74F69" w:rsidP="003A11A2">
            <w:pPr>
              <w:spacing w:after="0" w:line="240" w:lineRule="auto"/>
              <w:jc w:val="center"/>
              <w:rPr>
                <w:rFonts w:eastAsia="Times New Roman"/>
                <w:lang w:val="es-DO" w:eastAsia="es-DO"/>
              </w:rPr>
            </w:pPr>
          </w:p>
        </w:tc>
        <w:tc>
          <w:tcPr>
            <w:tcW w:w="476" w:type="pct"/>
            <w:shd w:val="clear" w:color="auto" w:fill="auto"/>
            <w:noWrap/>
            <w:vAlign w:val="center"/>
          </w:tcPr>
          <w:p w14:paraId="13F8FDBB" w14:textId="712F45FF" w:rsidR="00D74F69" w:rsidRPr="00D11C11" w:rsidRDefault="00D74F69" w:rsidP="003A11A2">
            <w:pPr>
              <w:spacing w:after="0" w:line="240" w:lineRule="auto"/>
              <w:jc w:val="center"/>
              <w:rPr>
                <w:rFonts w:eastAsia="Times New Roman"/>
                <w:lang w:val="es-DO" w:eastAsia="es-DO"/>
              </w:rPr>
            </w:pPr>
            <w:r>
              <w:rPr>
                <w:rFonts w:eastAsia="Times New Roman"/>
                <w:lang w:val="es-DO" w:eastAsia="es-DO"/>
              </w:rPr>
              <w:t>RD$100,000.00</w:t>
            </w:r>
          </w:p>
        </w:tc>
      </w:tr>
      <w:tr w:rsidR="007400C6" w:rsidRPr="00D13B4F" w14:paraId="05301232" w14:textId="77777777" w:rsidTr="007400C6">
        <w:trPr>
          <w:trHeight w:val="331"/>
        </w:trPr>
        <w:tc>
          <w:tcPr>
            <w:tcW w:w="489" w:type="pct"/>
            <w:shd w:val="clear" w:color="auto" w:fill="auto"/>
            <w:vAlign w:val="center"/>
            <w:hideMark/>
          </w:tcPr>
          <w:p w14:paraId="528499BF" w14:textId="6AA95E1D" w:rsidR="00CA7BDA" w:rsidRPr="00D11C11" w:rsidRDefault="00CA7BDA" w:rsidP="00CA7BDA">
            <w:pPr>
              <w:spacing w:after="0" w:line="240" w:lineRule="auto"/>
              <w:rPr>
                <w:rFonts w:eastAsia="Times New Roman"/>
                <w:b/>
                <w:bCs/>
                <w:lang w:val="es-DO" w:eastAsia="es-DO"/>
              </w:rPr>
            </w:pPr>
            <w:r w:rsidRPr="00D13B4F">
              <w:rPr>
                <w:rFonts w:eastAsia="Times New Roman"/>
                <w:b/>
                <w:bCs/>
                <w:lang w:val="es-DO" w:eastAsia="es-DO"/>
              </w:rPr>
              <w:t>Agenda Académica de Consultoría Jurídica</w:t>
            </w:r>
          </w:p>
        </w:tc>
        <w:tc>
          <w:tcPr>
            <w:tcW w:w="193" w:type="pct"/>
            <w:shd w:val="clear" w:color="auto" w:fill="auto"/>
            <w:noWrap/>
            <w:vAlign w:val="center"/>
          </w:tcPr>
          <w:p w14:paraId="440B1E56" w14:textId="5A4A14C7" w:rsidR="00CA7BDA" w:rsidRPr="00D11C11" w:rsidRDefault="00CA7BDA" w:rsidP="00CA7BDA">
            <w:pPr>
              <w:spacing w:after="0" w:line="240" w:lineRule="auto"/>
              <w:jc w:val="center"/>
              <w:rPr>
                <w:rFonts w:eastAsia="Times New Roman"/>
                <w:lang w:val="es-DO" w:eastAsia="es-DO"/>
              </w:rPr>
            </w:pPr>
          </w:p>
        </w:tc>
        <w:tc>
          <w:tcPr>
            <w:tcW w:w="238" w:type="pct"/>
            <w:shd w:val="clear" w:color="auto" w:fill="auto"/>
            <w:noWrap/>
            <w:vAlign w:val="center"/>
          </w:tcPr>
          <w:p w14:paraId="79979CEF" w14:textId="272F3D29" w:rsidR="00CA7BDA" w:rsidRPr="00D11C11" w:rsidRDefault="00CA7BDA" w:rsidP="00CA7BDA">
            <w:pPr>
              <w:spacing w:after="0" w:line="240" w:lineRule="auto"/>
              <w:jc w:val="center"/>
              <w:rPr>
                <w:rFonts w:eastAsia="Times New Roman"/>
                <w:lang w:val="es-DO" w:eastAsia="es-DO"/>
              </w:rPr>
            </w:pPr>
          </w:p>
        </w:tc>
        <w:tc>
          <w:tcPr>
            <w:tcW w:w="449" w:type="pct"/>
            <w:shd w:val="clear" w:color="auto" w:fill="auto"/>
            <w:noWrap/>
            <w:vAlign w:val="center"/>
          </w:tcPr>
          <w:p w14:paraId="486C78E8" w14:textId="6621510D" w:rsidR="00CA7BDA" w:rsidRPr="00D11C11" w:rsidRDefault="00CA7BDA" w:rsidP="00CA7BDA">
            <w:pPr>
              <w:spacing w:after="0" w:line="240" w:lineRule="auto"/>
              <w:jc w:val="center"/>
              <w:rPr>
                <w:rFonts w:eastAsia="Times New Roman"/>
                <w:lang w:val="es-DO" w:eastAsia="es-DO"/>
              </w:rPr>
            </w:pPr>
          </w:p>
        </w:tc>
        <w:tc>
          <w:tcPr>
            <w:tcW w:w="178" w:type="pct"/>
            <w:shd w:val="clear" w:color="auto" w:fill="auto"/>
            <w:noWrap/>
            <w:vAlign w:val="center"/>
          </w:tcPr>
          <w:p w14:paraId="04672E55" w14:textId="5EAE773D" w:rsidR="00CA7BDA" w:rsidRPr="00D11C11" w:rsidRDefault="00CA7BDA" w:rsidP="00CA7BDA">
            <w:pPr>
              <w:spacing w:after="0" w:line="240" w:lineRule="auto"/>
              <w:jc w:val="center"/>
              <w:rPr>
                <w:rFonts w:eastAsia="Times New Roman"/>
                <w:lang w:val="es-DO" w:eastAsia="es-DO"/>
              </w:rPr>
            </w:pPr>
          </w:p>
        </w:tc>
        <w:tc>
          <w:tcPr>
            <w:tcW w:w="393" w:type="pct"/>
            <w:shd w:val="clear" w:color="auto" w:fill="auto"/>
            <w:noWrap/>
            <w:vAlign w:val="center"/>
          </w:tcPr>
          <w:p w14:paraId="05692263" w14:textId="37A56207" w:rsidR="00CA7BDA" w:rsidRPr="00D11C11" w:rsidRDefault="00CA7BDA" w:rsidP="00CA7BDA">
            <w:pPr>
              <w:spacing w:after="0" w:line="240" w:lineRule="auto"/>
              <w:jc w:val="center"/>
              <w:rPr>
                <w:rFonts w:eastAsia="Times New Roman"/>
                <w:lang w:val="es-DO" w:eastAsia="es-DO"/>
              </w:rPr>
            </w:pPr>
          </w:p>
        </w:tc>
        <w:tc>
          <w:tcPr>
            <w:tcW w:w="476" w:type="pct"/>
            <w:shd w:val="clear" w:color="auto" w:fill="auto"/>
            <w:noWrap/>
            <w:vAlign w:val="center"/>
          </w:tcPr>
          <w:p w14:paraId="2D58E996" w14:textId="049A89CE" w:rsidR="00CA7BDA" w:rsidRPr="00D11C11" w:rsidRDefault="00CA7BDA" w:rsidP="00CA7BDA">
            <w:pPr>
              <w:spacing w:after="0" w:line="240" w:lineRule="auto"/>
              <w:jc w:val="center"/>
              <w:rPr>
                <w:rFonts w:eastAsia="Times New Roman"/>
                <w:lang w:val="es-DO" w:eastAsia="es-DO"/>
              </w:rPr>
            </w:pPr>
          </w:p>
        </w:tc>
        <w:tc>
          <w:tcPr>
            <w:tcW w:w="170" w:type="pct"/>
            <w:shd w:val="clear" w:color="auto" w:fill="auto"/>
            <w:noWrap/>
            <w:vAlign w:val="center"/>
          </w:tcPr>
          <w:p w14:paraId="4705ED1E" w14:textId="5BFFEFAC" w:rsidR="00CA7BDA" w:rsidRPr="00D11C11" w:rsidRDefault="00CA7BDA" w:rsidP="00CA7BDA">
            <w:pPr>
              <w:spacing w:after="0" w:line="240" w:lineRule="auto"/>
              <w:jc w:val="center"/>
              <w:rPr>
                <w:rFonts w:eastAsia="Times New Roman"/>
                <w:lang w:val="es-DO" w:eastAsia="es-DO"/>
              </w:rPr>
            </w:pPr>
          </w:p>
        </w:tc>
        <w:tc>
          <w:tcPr>
            <w:tcW w:w="212" w:type="pct"/>
            <w:shd w:val="clear" w:color="auto" w:fill="auto"/>
            <w:noWrap/>
            <w:vAlign w:val="center"/>
          </w:tcPr>
          <w:p w14:paraId="496678A1" w14:textId="6FB3B3A7" w:rsidR="00CA7BDA" w:rsidRPr="00D11C11" w:rsidRDefault="00CA7BDA" w:rsidP="00CA7BDA">
            <w:pPr>
              <w:spacing w:after="0" w:line="240" w:lineRule="auto"/>
              <w:jc w:val="center"/>
              <w:rPr>
                <w:rFonts w:eastAsia="Times New Roman"/>
                <w:lang w:val="es-DO" w:eastAsia="es-DO"/>
              </w:rPr>
            </w:pPr>
          </w:p>
        </w:tc>
        <w:tc>
          <w:tcPr>
            <w:tcW w:w="393" w:type="pct"/>
            <w:shd w:val="clear" w:color="auto" w:fill="auto"/>
            <w:noWrap/>
            <w:vAlign w:val="center"/>
          </w:tcPr>
          <w:p w14:paraId="7B2EA56E" w14:textId="5F3E2F91" w:rsidR="00CA7BDA" w:rsidRPr="00D11C11" w:rsidRDefault="00CA7BDA" w:rsidP="00CA7BDA">
            <w:pPr>
              <w:spacing w:after="0" w:line="240" w:lineRule="auto"/>
              <w:jc w:val="center"/>
              <w:rPr>
                <w:rFonts w:eastAsia="Times New Roman"/>
                <w:lang w:val="es-DO" w:eastAsia="es-DO"/>
              </w:rPr>
            </w:pPr>
          </w:p>
        </w:tc>
        <w:tc>
          <w:tcPr>
            <w:tcW w:w="449" w:type="pct"/>
            <w:shd w:val="clear" w:color="auto" w:fill="auto"/>
            <w:noWrap/>
            <w:vAlign w:val="center"/>
          </w:tcPr>
          <w:p w14:paraId="478D7136" w14:textId="3A18A9FD" w:rsidR="00CA7BDA" w:rsidRPr="00D11C11" w:rsidRDefault="00CA7BDA" w:rsidP="00CA7BDA">
            <w:pPr>
              <w:spacing w:after="0" w:line="240" w:lineRule="auto"/>
              <w:jc w:val="center"/>
              <w:rPr>
                <w:rFonts w:eastAsia="Times New Roman"/>
                <w:lang w:val="es-DO" w:eastAsia="es-DO"/>
              </w:rPr>
            </w:pPr>
          </w:p>
        </w:tc>
        <w:tc>
          <w:tcPr>
            <w:tcW w:w="449" w:type="pct"/>
            <w:shd w:val="clear" w:color="auto" w:fill="auto"/>
            <w:noWrap/>
            <w:vAlign w:val="center"/>
          </w:tcPr>
          <w:p w14:paraId="183CEF06" w14:textId="026B8E34" w:rsidR="00CA7BDA" w:rsidRPr="00D11C11" w:rsidRDefault="00CA7BDA" w:rsidP="00CA7BDA">
            <w:pPr>
              <w:spacing w:after="0" w:line="240" w:lineRule="auto"/>
              <w:jc w:val="center"/>
              <w:rPr>
                <w:rFonts w:eastAsia="Times New Roman"/>
                <w:lang w:val="es-DO" w:eastAsia="es-DO"/>
              </w:rPr>
            </w:pPr>
            <w:r>
              <w:rPr>
                <w:rFonts w:eastAsia="Times New Roman"/>
                <w:lang w:val="es-DO" w:eastAsia="es-DO"/>
              </w:rPr>
              <w:t>100%</w:t>
            </w:r>
          </w:p>
        </w:tc>
        <w:tc>
          <w:tcPr>
            <w:tcW w:w="435" w:type="pct"/>
            <w:shd w:val="clear" w:color="auto" w:fill="auto"/>
            <w:noWrap/>
            <w:vAlign w:val="center"/>
          </w:tcPr>
          <w:p w14:paraId="74AA7AD0" w14:textId="7B7A7D63" w:rsidR="00CA7BDA" w:rsidRPr="00D11C11" w:rsidRDefault="00CA7BDA" w:rsidP="00CA7BDA">
            <w:pPr>
              <w:spacing w:after="0" w:line="240" w:lineRule="auto"/>
              <w:jc w:val="center"/>
              <w:rPr>
                <w:rFonts w:eastAsia="Times New Roman"/>
                <w:lang w:val="es-DO" w:eastAsia="es-DO"/>
              </w:rPr>
            </w:pPr>
          </w:p>
        </w:tc>
        <w:tc>
          <w:tcPr>
            <w:tcW w:w="476" w:type="pct"/>
            <w:shd w:val="clear" w:color="auto" w:fill="auto"/>
            <w:noWrap/>
            <w:vAlign w:val="center"/>
          </w:tcPr>
          <w:p w14:paraId="4B368243" w14:textId="6B5E9449" w:rsidR="00CA7BDA" w:rsidRPr="00D11C11" w:rsidRDefault="00CA7BDA" w:rsidP="00CA7BDA">
            <w:pPr>
              <w:spacing w:after="0" w:line="240" w:lineRule="auto"/>
              <w:jc w:val="center"/>
              <w:rPr>
                <w:rFonts w:eastAsia="Times New Roman"/>
                <w:lang w:val="es-DO" w:eastAsia="es-DO"/>
              </w:rPr>
            </w:pPr>
            <w:r>
              <w:rPr>
                <w:rFonts w:eastAsia="Times New Roman"/>
                <w:lang w:val="es-DO" w:eastAsia="es-DO"/>
              </w:rPr>
              <w:t>100%</w:t>
            </w:r>
          </w:p>
        </w:tc>
      </w:tr>
      <w:tr w:rsidR="007400C6" w:rsidRPr="00D13B4F" w14:paraId="154EEF07" w14:textId="77777777" w:rsidTr="007400C6">
        <w:trPr>
          <w:trHeight w:val="331"/>
        </w:trPr>
        <w:tc>
          <w:tcPr>
            <w:tcW w:w="489" w:type="pct"/>
            <w:shd w:val="clear" w:color="auto" w:fill="auto"/>
            <w:vAlign w:val="center"/>
          </w:tcPr>
          <w:p w14:paraId="74CD21F0" w14:textId="75C592C1" w:rsidR="00CA7BDA" w:rsidRPr="00CA7BDA" w:rsidRDefault="00CA7BDA" w:rsidP="00CA7BDA">
            <w:pPr>
              <w:spacing w:after="0" w:line="240" w:lineRule="auto"/>
              <w:rPr>
                <w:rFonts w:eastAsia="Times New Roman"/>
                <w:lang w:val="es-DO" w:eastAsia="es-DO"/>
              </w:rPr>
            </w:pPr>
            <w:r w:rsidRPr="00CA7BDA">
              <w:rPr>
                <w:rFonts w:eastAsia="Times New Roman"/>
                <w:lang w:val="es-DO" w:eastAsia="es-DO"/>
              </w:rPr>
              <w:t xml:space="preserve">Inversión Producto - </w:t>
            </w:r>
            <w:r w:rsidRPr="00CA7BDA">
              <w:rPr>
                <w:lang w:val="es-DO"/>
              </w:rPr>
              <w:t>Agenda</w:t>
            </w:r>
            <w:r w:rsidRPr="00CA7BDA">
              <w:rPr>
                <w:rFonts w:eastAsia="Times New Roman"/>
                <w:lang w:val="es-DO" w:eastAsia="es-DO"/>
              </w:rPr>
              <w:t xml:space="preserve"> Académica de Consultoría Jurídica</w:t>
            </w:r>
          </w:p>
        </w:tc>
        <w:tc>
          <w:tcPr>
            <w:tcW w:w="193" w:type="pct"/>
            <w:shd w:val="clear" w:color="auto" w:fill="auto"/>
            <w:noWrap/>
            <w:vAlign w:val="center"/>
          </w:tcPr>
          <w:p w14:paraId="7C9BE181" w14:textId="77777777" w:rsidR="00CA7BDA" w:rsidRPr="00D11C11" w:rsidRDefault="00CA7BDA" w:rsidP="00CA7BDA">
            <w:pPr>
              <w:spacing w:after="0" w:line="240" w:lineRule="auto"/>
              <w:jc w:val="center"/>
              <w:rPr>
                <w:rFonts w:eastAsia="Times New Roman"/>
                <w:lang w:val="es-DO" w:eastAsia="es-DO"/>
              </w:rPr>
            </w:pPr>
          </w:p>
        </w:tc>
        <w:tc>
          <w:tcPr>
            <w:tcW w:w="238" w:type="pct"/>
            <w:shd w:val="clear" w:color="auto" w:fill="auto"/>
            <w:noWrap/>
            <w:vAlign w:val="center"/>
          </w:tcPr>
          <w:p w14:paraId="032712AB" w14:textId="77777777" w:rsidR="00CA7BDA" w:rsidRPr="00D11C11" w:rsidRDefault="00CA7BDA" w:rsidP="00CA7BDA">
            <w:pPr>
              <w:spacing w:after="0" w:line="240" w:lineRule="auto"/>
              <w:jc w:val="center"/>
              <w:rPr>
                <w:rFonts w:eastAsia="Times New Roman"/>
                <w:lang w:val="es-DO" w:eastAsia="es-DO"/>
              </w:rPr>
            </w:pPr>
          </w:p>
        </w:tc>
        <w:tc>
          <w:tcPr>
            <w:tcW w:w="449" w:type="pct"/>
            <w:shd w:val="clear" w:color="auto" w:fill="auto"/>
            <w:noWrap/>
            <w:vAlign w:val="center"/>
          </w:tcPr>
          <w:p w14:paraId="0D03E6E4" w14:textId="77777777" w:rsidR="00CA7BDA" w:rsidRPr="00D11C11" w:rsidRDefault="00CA7BDA" w:rsidP="00CA7BDA">
            <w:pPr>
              <w:spacing w:after="0" w:line="240" w:lineRule="auto"/>
              <w:jc w:val="center"/>
              <w:rPr>
                <w:rFonts w:eastAsia="Times New Roman"/>
                <w:lang w:val="es-DO" w:eastAsia="es-DO"/>
              </w:rPr>
            </w:pPr>
          </w:p>
        </w:tc>
        <w:tc>
          <w:tcPr>
            <w:tcW w:w="178" w:type="pct"/>
            <w:shd w:val="clear" w:color="auto" w:fill="auto"/>
            <w:noWrap/>
            <w:vAlign w:val="center"/>
          </w:tcPr>
          <w:p w14:paraId="69BD7838" w14:textId="77777777" w:rsidR="00CA7BDA" w:rsidRPr="00D11C11" w:rsidRDefault="00CA7BDA" w:rsidP="00CA7BDA">
            <w:pPr>
              <w:spacing w:after="0" w:line="240" w:lineRule="auto"/>
              <w:jc w:val="center"/>
              <w:rPr>
                <w:rFonts w:eastAsia="Times New Roman"/>
                <w:lang w:val="es-DO" w:eastAsia="es-DO"/>
              </w:rPr>
            </w:pPr>
          </w:p>
        </w:tc>
        <w:tc>
          <w:tcPr>
            <w:tcW w:w="393" w:type="pct"/>
            <w:shd w:val="clear" w:color="auto" w:fill="auto"/>
            <w:noWrap/>
            <w:vAlign w:val="center"/>
          </w:tcPr>
          <w:p w14:paraId="24B9E071" w14:textId="77777777" w:rsidR="00CA7BDA" w:rsidRPr="00D11C11" w:rsidRDefault="00CA7BDA" w:rsidP="00CA7BDA">
            <w:pPr>
              <w:spacing w:after="0" w:line="240" w:lineRule="auto"/>
              <w:jc w:val="center"/>
              <w:rPr>
                <w:rFonts w:eastAsia="Times New Roman"/>
                <w:lang w:val="es-DO" w:eastAsia="es-DO"/>
              </w:rPr>
            </w:pPr>
          </w:p>
        </w:tc>
        <w:tc>
          <w:tcPr>
            <w:tcW w:w="476" w:type="pct"/>
            <w:shd w:val="clear" w:color="auto" w:fill="auto"/>
            <w:noWrap/>
            <w:vAlign w:val="center"/>
          </w:tcPr>
          <w:p w14:paraId="09E40D05" w14:textId="77777777" w:rsidR="00CA7BDA" w:rsidRPr="00D11C11" w:rsidRDefault="00CA7BDA" w:rsidP="00CA7BDA">
            <w:pPr>
              <w:spacing w:after="0" w:line="240" w:lineRule="auto"/>
              <w:jc w:val="center"/>
              <w:rPr>
                <w:rFonts w:eastAsia="Times New Roman"/>
                <w:lang w:val="es-DO" w:eastAsia="es-DO"/>
              </w:rPr>
            </w:pPr>
          </w:p>
        </w:tc>
        <w:tc>
          <w:tcPr>
            <w:tcW w:w="170" w:type="pct"/>
            <w:shd w:val="clear" w:color="auto" w:fill="auto"/>
            <w:noWrap/>
            <w:vAlign w:val="center"/>
          </w:tcPr>
          <w:p w14:paraId="0CD4349D" w14:textId="77777777" w:rsidR="00CA7BDA" w:rsidRPr="00D11C11" w:rsidRDefault="00CA7BDA" w:rsidP="00CA7BDA">
            <w:pPr>
              <w:spacing w:after="0" w:line="240" w:lineRule="auto"/>
              <w:jc w:val="center"/>
              <w:rPr>
                <w:rFonts w:eastAsia="Times New Roman"/>
                <w:lang w:val="es-DO" w:eastAsia="es-DO"/>
              </w:rPr>
            </w:pPr>
          </w:p>
        </w:tc>
        <w:tc>
          <w:tcPr>
            <w:tcW w:w="212" w:type="pct"/>
            <w:shd w:val="clear" w:color="auto" w:fill="auto"/>
            <w:noWrap/>
            <w:vAlign w:val="center"/>
          </w:tcPr>
          <w:p w14:paraId="43F31C90" w14:textId="77777777" w:rsidR="00CA7BDA" w:rsidRPr="00D11C11" w:rsidRDefault="00CA7BDA" w:rsidP="00CA7BDA">
            <w:pPr>
              <w:spacing w:after="0" w:line="240" w:lineRule="auto"/>
              <w:jc w:val="center"/>
              <w:rPr>
                <w:rFonts w:eastAsia="Times New Roman"/>
                <w:lang w:val="es-DO" w:eastAsia="es-DO"/>
              </w:rPr>
            </w:pPr>
          </w:p>
        </w:tc>
        <w:tc>
          <w:tcPr>
            <w:tcW w:w="393" w:type="pct"/>
            <w:shd w:val="clear" w:color="auto" w:fill="auto"/>
            <w:noWrap/>
            <w:vAlign w:val="center"/>
          </w:tcPr>
          <w:p w14:paraId="609B9C9F" w14:textId="77777777" w:rsidR="00CA7BDA" w:rsidRPr="00D11C11" w:rsidRDefault="00CA7BDA" w:rsidP="00CA7BDA">
            <w:pPr>
              <w:spacing w:after="0" w:line="240" w:lineRule="auto"/>
              <w:jc w:val="center"/>
              <w:rPr>
                <w:rFonts w:eastAsia="Times New Roman"/>
                <w:lang w:val="es-DO" w:eastAsia="es-DO"/>
              </w:rPr>
            </w:pPr>
          </w:p>
        </w:tc>
        <w:tc>
          <w:tcPr>
            <w:tcW w:w="449" w:type="pct"/>
            <w:shd w:val="clear" w:color="auto" w:fill="auto"/>
            <w:noWrap/>
            <w:vAlign w:val="center"/>
          </w:tcPr>
          <w:p w14:paraId="4CD47792" w14:textId="77777777" w:rsidR="00CA7BDA" w:rsidRPr="00D11C11" w:rsidRDefault="00CA7BDA" w:rsidP="00CA7BDA">
            <w:pPr>
              <w:spacing w:after="0" w:line="240" w:lineRule="auto"/>
              <w:jc w:val="center"/>
              <w:rPr>
                <w:rFonts w:eastAsia="Times New Roman"/>
                <w:lang w:val="es-DO" w:eastAsia="es-DO"/>
              </w:rPr>
            </w:pPr>
          </w:p>
        </w:tc>
        <w:tc>
          <w:tcPr>
            <w:tcW w:w="449" w:type="pct"/>
            <w:shd w:val="clear" w:color="auto" w:fill="auto"/>
            <w:noWrap/>
            <w:vAlign w:val="center"/>
          </w:tcPr>
          <w:p w14:paraId="0DFC06E4" w14:textId="42A9436D" w:rsidR="00CA7BDA" w:rsidRDefault="00CA7BDA" w:rsidP="00CA7BDA">
            <w:pPr>
              <w:spacing w:after="0" w:line="240" w:lineRule="auto"/>
              <w:jc w:val="center"/>
              <w:rPr>
                <w:rFonts w:eastAsia="Times New Roman"/>
                <w:lang w:val="es-DO" w:eastAsia="es-DO"/>
              </w:rPr>
            </w:pPr>
            <w:r>
              <w:rPr>
                <w:rFonts w:eastAsia="Times New Roman"/>
                <w:lang w:val="es-DO" w:eastAsia="es-DO"/>
              </w:rPr>
              <w:t>RD$</w:t>
            </w:r>
            <w:r>
              <w:t xml:space="preserve"> </w:t>
            </w:r>
            <w:r w:rsidRPr="00CA7BDA">
              <w:rPr>
                <w:rFonts w:eastAsia="Times New Roman"/>
                <w:lang w:val="es-DO" w:eastAsia="es-DO"/>
              </w:rPr>
              <w:t>6,273,750.00</w:t>
            </w:r>
          </w:p>
        </w:tc>
        <w:tc>
          <w:tcPr>
            <w:tcW w:w="435" w:type="pct"/>
            <w:shd w:val="clear" w:color="auto" w:fill="auto"/>
            <w:noWrap/>
            <w:vAlign w:val="center"/>
          </w:tcPr>
          <w:p w14:paraId="18A10D0E" w14:textId="77777777" w:rsidR="00CA7BDA" w:rsidRPr="00D11C11" w:rsidRDefault="00CA7BDA" w:rsidP="00CA7BDA">
            <w:pPr>
              <w:spacing w:after="0" w:line="240" w:lineRule="auto"/>
              <w:jc w:val="center"/>
              <w:rPr>
                <w:rFonts w:eastAsia="Times New Roman"/>
                <w:lang w:val="es-DO" w:eastAsia="es-DO"/>
              </w:rPr>
            </w:pPr>
          </w:p>
        </w:tc>
        <w:tc>
          <w:tcPr>
            <w:tcW w:w="476" w:type="pct"/>
            <w:shd w:val="clear" w:color="auto" w:fill="auto"/>
            <w:noWrap/>
            <w:vAlign w:val="center"/>
          </w:tcPr>
          <w:p w14:paraId="757E9CB6" w14:textId="266B9EC5" w:rsidR="00CA7BDA" w:rsidRPr="00D11C11" w:rsidRDefault="00CA7BDA" w:rsidP="00CA7BDA">
            <w:pPr>
              <w:spacing w:after="0" w:line="240" w:lineRule="auto"/>
              <w:jc w:val="center"/>
              <w:rPr>
                <w:rFonts w:eastAsia="Times New Roman"/>
                <w:lang w:val="es-DO" w:eastAsia="es-DO"/>
              </w:rPr>
            </w:pPr>
            <w:r>
              <w:rPr>
                <w:rFonts w:eastAsia="Times New Roman"/>
                <w:lang w:val="es-DO" w:eastAsia="es-DO"/>
              </w:rPr>
              <w:t>RD$</w:t>
            </w:r>
            <w:r>
              <w:t xml:space="preserve"> </w:t>
            </w:r>
            <w:r w:rsidRPr="00CA7BDA">
              <w:rPr>
                <w:rFonts w:eastAsia="Times New Roman"/>
                <w:lang w:val="es-DO" w:eastAsia="es-DO"/>
              </w:rPr>
              <w:t>6,273,750.00</w:t>
            </w:r>
          </w:p>
        </w:tc>
      </w:tr>
      <w:tr w:rsidR="007400C6" w:rsidRPr="00D13B4F" w14:paraId="14C9753E" w14:textId="77777777" w:rsidTr="007400C6">
        <w:trPr>
          <w:trHeight w:val="331"/>
        </w:trPr>
        <w:tc>
          <w:tcPr>
            <w:tcW w:w="489" w:type="pct"/>
            <w:shd w:val="clear" w:color="auto" w:fill="auto"/>
            <w:vAlign w:val="center"/>
            <w:hideMark/>
          </w:tcPr>
          <w:p w14:paraId="2036B114" w14:textId="75BD88F3" w:rsidR="00CA7BDA" w:rsidRPr="00D11C11" w:rsidRDefault="00CA7BDA" w:rsidP="00CA7BDA">
            <w:pPr>
              <w:spacing w:after="0" w:line="240" w:lineRule="auto"/>
              <w:rPr>
                <w:rFonts w:eastAsia="Times New Roman"/>
                <w:b/>
                <w:bCs/>
                <w:lang w:val="es-DO" w:eastAsia="es-DO"/>
              </w:rPr>
            </w:pPr>
            <w:r>
              <w:rPr>
                <w:rFonts w:eastAsia="Times New Roman"/>
                <w:b/>
                <w:bCs/>
                <w:lang w:val="es-DO" w:eastAsia="es-DO"/>
              </w:rPr>
              <w:t xml:space="preserve">Proyecto de </w:t>
            </w:r>
            <w:r w:rsidRPr="00D13B4F">
              <w:rPr>
                <w:rFonts w:eastAsia="Times New Roman"/>
                <w:b/>
                <w:bCs/>
                <w:lang w:val="es-DO" w:eastAsia="es-DO"/>
              </w:rPr>
              <w:t>Ley de Embargo Retentivo</w:t>
            </w:r>
          </w:p>
        </w:tc>
        <w:tc>
          <w:tcPr>
            <w:tcW w:w="193" w:type="pct"/>
            <w:shd w:val="clear" w:color="auto" w:fill="auto"/>
            <w:noWrap/>
            <w:vAlign w:val="center"/>
            <w:hideMark/>
          </w:tcPr>
          <w:p w14:paraId="6D34067C" w14:textId="733B1FC1" w:rsidR="00CA7BDA" w:rsidRPr="00D11C11" w:rsidRDefault="00CA7BDA" w:rsidP="00CA7BDA">
            <w:pPr>
              <w:spacing w:after="0" w:line="240" w:lineRule="auto"/>
              <w:jc w:val="center"/>
              <w:rPr>
                <w:rFonts w:eastAsia="Times New Roman"/>
                <w:lang w:val="es-DO" w:eastAsia="es-DO"/>
              </w:rPr>
            </w:pPr>
          </w:p>
        </w:tc>
        <w:tc>
          <w:tcPr>
            <w:tcW w:w="238" w:type="pct"/>
            <w:shd w:val="clear" w:color="auto" w:fill="auto"/>
            <w:noWrap/>
            <w:vAlign w:val="center"/>
            <w:hideMark/>
          </w:tcPr>
          <w:p w14:paraId="7FE9A20D" w14:textId="3E3E182A" w:rsidR="00CA7BDA" w:rsidRPr="00D11C11" w:rsidRDefault="00CA7BDA" w:rsidP="00CA7BDA">
            <w:pPr>
              <w:spacing w:after="0" w:line="240" w:lineRule="auto"/>
              <w:jc w:val="center"/>
              <w:rPr>
                <w:rFonts w:eastAsia="Times New Roman"/>
                <w:lang w:val="es-DO" w:eastAsia="es-DO"/>
              </w:rPr>
            </w:pPr>
          </w:p>
        </w:tc>
        <w:tc>
          <w:tcPr>
            <w:tcW w:w="449" w:type="pct"/>
            <w:shd w:val="clear" w:color="auto" w:fill="auto"/>
            <w:noWrap/>
            <w:vAlign w:val="center"/>
            <w:hideMark/>
          </w:tcPr>
          <w:p w14:paraId="40FAD937" w14:textId="6F31E722" w:rsidR="00CA7BDA" w:rsidRPr="00D11C11" w:rsidRDefault="00CA7BDA" w:rsidP="00CA7BDA">
            <w:pPr>
              <w:spacing w:after="0" w:line="240" w:lineRule="auto"/>
              <w:jc w:val="center"/>
              <w:rPr>
                <w:rFonts w:eastAsia="Times New Roman"/>
                <w:lang w:val="es-DO" w:eastAsia="es-DO"/>
              </w:rPr>
            </w:pPr>
          </w:p>
        </w:tc>
        <w:tc>
          <w:tcPr>
            <w:tcW w:w="178" w:type="pct"/>
            <w:shd w:val="clear" w:color="auto" w:fill="auto"/>
            <w:noWrap/>
            <w:vAlign w:val="center"/>
            <w:hideMark/>
          </w:tcPr>
          <w:p w14:paraId="726BDCA2" w14:textId="687D086C" w:rsidR="00CA7BDA" w:rsidRPr="00D11C11" w:rsidRDefault="00CA7BDA" w:rsidP="00CA7BDA">
            <w:pPr>
              <w:spacing w:after="0" w:line="240" w:lineRule="auto"/>
              <w:jc w:val="center"/>
              <w:rPr>
                <w:rFonts w:eastAsia="Times New Roman"/>
                <w:lang w:val="es-DO" w:eastAsia="es-DO"/>
              </w:rPr>
            </w:pPr>
          </w:p>
        </w:tc>
        <w:tc>
          <w:tcPr>
            <w:tcW w:w="393" w:type="pct"/>
            <w:shd w:val="clear" w:color="auto" w:fill="auto"/>
            <w:noWrap/>
            <w:vAlign w:val="center"/>
            <w:hideMark/>
          </w:tcPr>
          <w:p w14:paraId="2EFC21E6" w14:textId="1FB907DB" w:rsidR="00CA7BDA" w:rsidRPr="00D11C11" w:rsidRDefault="00CA7BDA" w:rsidP="00CA7BDA">
            <w:pPr>
              <w:spacing w:after="0" w:line="240" w:lineRule="auto"/>
              <w:jc w:val="center"/>
              <w:rPr>
                <w:rFonts w:eastAsia="Times New Roman"/>
                <w:lang w:val="es-DO" w:eastAsia="es-DO"/>
              </w:rPr>
            </w:pPr>
          </w:p>
        </w:tc>
        <w:tc>
          <w:tcPr>
            <w:tcW w:w="476" w:type="pct"/>
            <w:shd w:val="clear" w:color="auto" w:fill="auto"/>
            <w:noWrap/>
            <w:vAlign w:val="center"/>
            <w:hideMark/>
          </w:tcPr>
          <w:p w14:paraId="19AD2F87" w14:textId="186F1043" w:rsidR="00CA7BDA" w:rsidRPr="00D11C11" w:rsidRDefault="00CA7BDA" w:rsidP="00CA7BDA">
            <w:pPr>
              <w:spacing w:after="0" w:line="240" w:lineRule="auto"/>
              <w:jc w:val="center"/>
              <w:rPr>
                <w:rFonts w:eastAsia="Times New Roman"/>
                <w:lang w:val="es-DO" w:eastAsia="es-DO"/>
              </w:rPr>
            </w:pPr>
          </w:p>
        </w:tc>
        <w:tc>
          <w:tcPr>
            <w:tcW w:w="170" w:type="pct"/>
            <w:shd w:val="clear" w:color="auto" w:fill="auto"/>
            <w:noWrap/>
            <w:vAlign w:val="center"/>
            <w:hideMark/>
          </w:tcPr>
          <w:p w14:paraId="2404FFA6" w14:textId="77CF9A8D" w:rsidR="00CA7BDA" w:rsidRPr="00D11C11" w:rsidRDefault="00CA7BDA" w:rsidP="00CA7BDA">
            <w:pPr>
              <w:spacing w:after="0" w:line="240" w:lineRule="auto"/>
              <w:jc w:val="center"/>
              <w:rPr>
                <w:rFonts w:eastAsia="Times New Roman"/>
                <w:lang w:val="es-DO" w:eastAsia="es-DO"/>
              </w:rPr>
            </w:pPr>
          </w:p>
        </w:tc>
        <w:tc>
          <w:tcPr>
            <w:tcW w:w="212" w:type="pct"/>
            <w:shd w:val="clear" w:color="auto" w:fill="auto"/>
            <w:noWrap/>
            <w:vAlign w:val="center"/>
            <w:hideMark/>
          </w:tcPr>
          <w:p w14:paraId="6ED04038" w14:textId="7269069C" w:rsidR="00CA7BDA" w:rsidRPr="00D11C11" w:rsidRDefault="00CA7BDA" w:rsidP="00CA7BDA">
            <w:pPr>
              <w:spacing w:after="0" w:line="240" w:lineRule="auto"/>
              <w:jc w:val="center"/>
              <w:rPr>
                <w:rFonts w:eastAsia="Times New Roman"/>
                <w:lang w:val="es-DO" w:eastAsia="es-DO"/>
              </w:rPr>
            </w:pPr>
          </w:p>
        </w:tc>
        <w:tc>
          <w:tcPr>
            <w:tcW w:w="393" w:type="pct"/>
            <w:shd w:val="clear" w:color="auto" w:fill="auto"/>
            <w:noWrap/>
            <w:vAlign w:val="center"/>
            <w:hideMark/>
          </w:tcPr>
          <w:p w14:paraId="463C9808" w14:textId="422F8462" w:rsidR="00CA7BDA" w:rsidRPr="00D11C11" w:rsidRDefault="00CA7BDA" w:rsidP="00CA7BDA">
            <w:pPr>
              <w:spacing w:after="0" w:line="240" w:lineRule="auto"/>
              <w:jc w:val="center"/>
              <w:rPr>
                <w:rFonts w:eastAsia="Times New Roman"/>
                <w:lang w:val="es-DO" w:eastAsia="es-DO"/>
              </w:rPr>
            </w:pPr>
          </w:p>
        </w:tc>
        <w:tc>
          <w:tcPr>
            <w:tcW w:w="449" w:type="pct"/>
            <w:shd w:val="clear" w:color="auto" w:fill="auto"/>
            <w:noWrap/>
            <w:vAlign w:val="center"/>
            <w:hideMark/>
          </w:tcPr>
          <w:p w14:paraId="1DA15622" w14:textId="489275F4" w:rsidR="00CA7BDA" w:rsidRPr="00D11C11" w:rsidRDefault="00CA7BDA" w:rsidP="00CA7BDA">
            <w:pPr>
              <w:spacing w:after="0" w:line="240" w:lineRule="auto"/>
              <w:jc w:val="center"/>
              <w:rPr>
                <w:rFonts w:eastAsia="Times New Roman"/>
                <w:lang w:val="es-DO" w:eastAsia="es-DO"/>
              </w:rPr>
            </w:pPr>
            <w:r>
              <w:rPr>
                <w:rFonts w:eastAsia="Times New Roman"/>
                <w:lang w:val="es-DO" w:eastAsia="es-DO"/>
              </w:rPr>
              <w:t>100%</w:t>
            </w:r>
          </w:p>
        </w:tc>
        <w:tc>
          <w:tcPr>
            <w:tcW w:w="449" w:type="pct"/>
            <w:shd w:val="clear" w:color="auto" w:fill="auto"/>
            <w:noWrap/>
            <w:vAlign w:val="center"/>
            <w:hideMark/>
          </w:tcPr>
          <w:p w14:paraId="5172070E" w14:textId="144811EE" w:rsidR="00CA7BDA" w:rsidRPr="00D11C11" w:rsidRDefault="00CA7BDA" w:rsidP="00CA7BDA">
            <w:pPr>
              <w:spacing w:after="0" w:line="240" w:lineRule="auto"/>
              <w:jc w:val="center"/>
              <w:rPr>
                <w:rFonts w:eastAsia="Times New Roman"/>
                <w:lang w:val="es-DO" w:eastAsia="es-DO"/>
              </w:rPr>
            </w:pPr>
          </w:p>
        </w:tc>
        <w:tc>
          <w:tcPr>
            <w:tcW w:w="435" w:type="pct"/>
            <w:shd w:val="clear" w:color="auto" w:fill="auto"/>
            <w:noWrap/>
            <w:vAlign w:val="center"/>
            <w:hideMark/>
          </w:tcPr>
          <w:p w14:paraId="1E85807A" w14:textId="2BE4937B" w:rsidR="00CA7BDA" w:rsidRPr="00D11C11" w:rsidRDefault="00CA7BDA" w:rsidP="00CA7BDA">
            <w:pPr>
              <w:spacing w:after="0" w:line="240" w:lineRule="auto"/>
              <w:jc w:val="center"/>
              <w:rPr>
                <w:rFonts w:eastAsia="Times New Roman"/>
                <w:lang w:val="es-DO" w:eastAsia="es-DO"/>
              </w:rPr>
            </w:pPr>
          </w:p>
        </w:tc>
        <w:tc>
          <w:tcPr>
            <w:tcW w:w="476" w:type="pct"/>
            <w:shd w:val="clear" w:color="auto" w:fill="auto"/>
            <w:noWrap/>
            <w:vAlign w:val="center"/>
            <w:hideMark/>
          </w:tcPr>
          <w:p w14:paraId="029E7A60" w14:textId="57D04B6D" w:rsidR="00CA7BDA" w:rsidRPr="00D11C11" w:rsidRDefault="00CA7BDA" w:rsidP="00CA7BDA">
            <w:pPr>
              <w:spacing w:after="0" w:line="240" w:lineRule="auto"/>
              <w:jc w:val="center"/>
              <w:rPr>
                <w:rFonts w:eastAsia="Times New Roman"/>
                <w:lang w:val="es-DO" w:eastAsia="es-DO"/>
              </w:rPr>
            </w:pPr>
            <w:r>
              <w:rPr>
                <w:rFonts w:eastAsia="Times New Roman"/>
                <w:lang w:val="es-DO" w:eastAsia="es-DO"/>
              </w:rPr>
              <w:t>100%</w:t>
            </w:r>
          </w:p>
        </w:tc>
      </w:tr>
      <w:tr w:rsidR="007400C6" w:rsidRPr="00D13B4F" w14:paraId="64B671C1" w14:textId="77777777" w:rsidTr="007400C6">
        <w:trPr>
          <w:trHeight w:val="331"/>
        </w:trPr>
        <w:tc>
          <w:tcPr>
            <w:tcW w:w="489" w:type="pct"/>
            <w:shd w:val="clear" w:color="auto" w:fill="auto"/>
            <w:vAlign w:val="center"/>
          </w:tcPr>
          <w:p w14:paraId="13A8E9C6" w14:textId="2EF534B7" w:rsidR="00CA7BDA" w:rsidRPr="00CA7BDA" w:rsidRDefault="00CA7BDA" w:rsidP="00CA7BDA">
            <w:pPr>
              <w:spacing w:after="0" w:line="240" w:lineRule="auto"/>
              <w:rPr>
                <w:rFonts w:eastAsia="Times New Roman"/>
                <w:lang w:val="es-DO" w:eastAsia="es-DO"/>
              </w:rPr>
            </w:pPr>
            <w:r>
              <w:rPr>
                <w:rFonts w:eastAsia="Times New Roman"/>
                <w:lang w:val="es-DO" w:eastAsia="es-DO"/>
              </w:rPr>
              <w:lastRenderedPageBreak/>
              <w:t xml:space="preserve">Inversión Producto - </w:t>
            </w:r>
            <w:r w:rsidRPr="00CA7BDA">
              <w:rPr>
                <w:lang w:val="es-DO"/>
              </w:rPr>
              <w:t>Proyecto</w:t>
            </w:r>
            <w:r w:rsidRPr="00CA7BDA">
              <w:rPr>
                <w:rFonts w:eastAsia="Times New Roman"/>
                <w:lang w:val="es-DO" w:eastAsia="es-DO"/>
              </w:rPr>
              <w:t xml:space="preserve"> de Ley de Embargo Retentivo</w:t>
            </w:r>
          </w:p>
        </w:tc>
        <w:tc>
          <w:tcPr>
            <w:tcW w:w="193" w:type="pct"/>
            <w:shd w:val="clear" w:color="auto" w:fill="auto"/>
            <w:noWrap/>
            <w:vAlign w:val="center"/>
          </w:tcPr>
          <w:p w14:paraId="521D1BDB" w14:textId="77777777" w:rsidR="00CA7BDA" w:rsidRPr="00D11C11" w:rsidRDefault="00CA7BDA" w:rsidP="00CA7BDA">
            <w:pPr>
              <w:spacing w:after="0" w:line="240" w:lineRule="auto"/>
              <w:jc w:val="center"/>
              <w:rPr>
                <w:rFonts w:eastAsia="Times New Roman"/>
                <w:lang w:val="es-DO" w:eastAsia="es-DO"/>
              </w:rPr>
            </w:pPr>
          </w:p>
        </w:tc>
        <w:tc>
          <w:tcPr>
            <w:tcW w:w="238" w:type="pct"/>
            <w:shd w:val="clear" w:color="auto" w:fill="auto"/>
            <w:noWrap/>
            <w:vAlign w:val="center"/>
          </w:tcPr>
          <w:p w14:paraId="41C292F9" w14:textId="77777777" w:rsidR="00CA7BDA" w:rsidRPr="00D11C11" w:rsidRDefault="00CA7BDA" w:rsidP="00CA7BDA">
            <w:pPr>
              <w:spacing w:after="0" w:line="240" w:lineRule="auto"/>
              <w:jc w:val="center"/>
              <w:rPr>
                <w:rFonts w:eastAsia="Times New Roman"/>
                <w:lang w:val="es-DO" w:eastAsia="es-DO"/>
              </w:rPr>
            </w:pPr>
          </w:p>
        </w:tc>
        <w:tc>
          <w:tcPr>
            <w:tcW w:w="449" w:type="pct"/>
            <w:shd w:val="clear" w:color="auto" w:fill="auto"/>
            <w:noWrap/>
            <w:vAlign w:val="center"/>
          </w:tcPr>
          <w:p w14:paraId="608D424E" w14:textId="77777777" w:rsidR="00CA7BDA" w:rsidRPr="00D11C11" w:rsidRDefault="00CA7BDA" w:rsidP="00CA7BDA">
            <w:pPr>
              <w:spacing w:after="0" w:line="240" w:lineRule="auto"/>
              <w:jc w:val="center"/>
              <w:rPr>
                <w:rFonts w:eastAsia="Times New Roman"/>
                <w:lang w:val="es-DO" w:eastAsia="es-DO"/>
              </w:rPr>
            </w:pPr>
          </w:p>
        </w:tc>
        <w:tc>
          <w:tcPr>
            <w:tcW w:w="178" w:type="pct"/>
            <w:shd w:val="clear" w:color="auto" w:fill="auto"/>
            <w:noWrap/>
            <w:vAlign w:val="center"/>
          </w:tcPr>
          <w:p w14:paraId="2635A119" w14:textId="77777777" w:rsidR="00CA7BDA" w:rsidRPr="00D11C11" w:rsidRDefault="00CA7BDA" w:rsidP="00CA7BDA">
            <w:pPr>
              <w:spacing w:after="0" w:line="240" w:lineRule="auto"/>
              <w:jc w:val="center"/>
              <w:rPr>
                <w:rFonts w:eastAsia="Times New Roman"/>
                <w:lang w:val="es-DO" w:eastAsia="es-DO"/>
              </w:rPr>
            </w:pPr>
          </w:p>
        </w:tc>
        <w:tc>
          <w:tcPr>
            <w:tcW w:w="393" w:type="pct"/>
            <w:shd w:val="clear" w:color="auto" w:fill="auto"/>
            <w:noWrap/>
            <w:vAlign w:val="center"/>
          </w:tcPr>
          <w:p w14:paraId="72721219" w14:textId="77777777" w:rsidR="00CA7BDA" w:rsidRPr="00D11C11" w:rsidRDefault="00CA7BDA" w:rsidP="00CA7BDA">
            <w:pPr>
              <w:spacing w:after="0" w:line="240" w:lineRule="auto"/>
              <w:jc w:val="center"/>
              <w:rPr>
                <w:rFonts w:eastAsia="Times New Roman"/>
                <w:lang w:val="es-DO" w:eastAsia="es-DO"/>
              </w:rPr>
            </w:pPr>
          </w:p>
        </w:tc>
        <w:tc>
          <w:tcPr>
            <w:tcW w:w="476" w:type="pct"/>
            <w:shd w:val="clear" w:color="auto" w:fill="auto"/>
            <w:noWrap/>
            <w:vAlign w:val="center"/>
          </w:tcPr>
          <w:p w14:paraId="1D2D3701" w14:textId="77777777" w:rsidR="00CA7BDA" w:rsidRPr="00D11C11" w:rsidRDefault="00CA7BDA" w:rsidP="00CA7BDA">
            <w:pPr>
              <w:spacing w:after="0" w:line="240" w:lineRule="auto"/>
              <w:jc w:val="center"/>
              <w:rPr>
                <w:rFonts w:eastAsia="Times New Roman"/>
                <w:lang w:val="es-DO" w:eastAsia="es-DO"/>
              </w:rPr>
            </w:pPr>
          </w:p>
        </w:tc>
        <w:tc>
          <w:tcPr>
            <w:tcW w:w="170" w:type="pct"/>
            <w:shd w:val="clear" w:color="auto" w:fill="auto"/>
            <w:noWrap/>
            <w:vAlign w:val="center"/>
          </w:tcPr>
          <w:p w14:paraId="6AA3E6D2" w14:textId="77777777" w:rsidR="00CA7BDA" w:rsidRPr="00D11C11" w:rsidRDefault="00CA7BDA" w:rsidP="00CA7BDA">
            <w:pPr>
              <w:spacing w:after="0" w:line="240" w:lineRule="auto"/>
              <w:jc w:val="center"/>
              <w:rPr>
                <w:rFonts w:eastAsia="Times New Roman"/>
                <w:lang w:val="es-DO" w:eastAsia="es-DO"/>
              </w:rPr>
            </w:pPr>
          </w:p>
        </w:tc>
        <w:tc>
          <w:tcPr>
            <w:tcW w:w="212" w:type="pct"/>
            <w:shd w:val="clear" w:color="auto" w:fill="auto"/>
            <w:noWrap/>
            <w:vAlign w:val="center"/>
          </w:tcPr>
          <w:p w14:paraId="2CDAEEBE" w14:textId="77777777" w:rsidR="00CA7BDA" w:rsidRPr="00D11C11" w:rsidRDefault="00CA7BDA" w:rsidP="00CA7BDA">
            <w:pPr>
              <w:spacing w:after="0" w:line="240" w:lineRule="auto"/>
              <w:jc w:val="center"/>
              <w:rPr>
                <w:rFonts w:eastAsia="Times New Roman"/>
                <w:lang w:val="es-DO" w:eastAsia="es-DO"/>
              </w:rPr>
            </w:pPr>
          </w:p>
        </w:tc>
        <w:tc>
          <w:tcPr>
            <w:tcW w:w="393" w:type="pct"/>
            <w:shd w:val="clear" w:color="auto" w:fill="auto"/>
            <w:noWrap/>
            <w:vAlign w:val="center"/>
          </w:tcPr>
          <w:p w14:paraId="6605AA71" w14:textId="77777777" w:rsidR="00CA7BDA" w:rsidRPr="00D11C11" w:rsidRDefault="00CA7BDA" w:rsidP="00CA7BDA">
            <w:pPr>
              <w:spacing w:after="0" w:line="240" w:lineRule="auto"/>
              <w:jc w:val="center"/>
              <w:rPr>
                <w:rFonts w:eastAsia="Times New Roman"/>
                <w:lang w:val="es-DO" w:eastAsia="es-DO"/>
              </w:rPr>
            </w:pPr>
          </w:p>
        </w:tc>
        <w:tc>
          <w:tcPr>
            <w:tcW w:w="449" w:type="pct"/>
            <w:shd w:val="clear" w:color="auto" w:fill="auto"/>
            <w:noWrap/>
            <w:vAlign w:val="center"/>
          </w:tcPr>
          <w:p w14:paraId="02688C78" w14:textId="335E1475" w:rsidR="00CA7BDA" w:rsidRDefault="00CA7BDA" w:rsidP="00CA7BDA">
            <w:pPr>
              <w:spacing w:after="0" w:line="240" w:lineRule="auto"/>
              <w:jc w:val="center"/>
              <w:rPr>
                <w:rFonts w:eastAsia="Times New Roman"/>
                <w:lang w:val="es-DO" w:eastAsia="es-DO"/>
              </w:rPr>
            </w:pPr>
            <w:r>
              <w:rPr>
                <w:rFonts w:eastAsia="Times New Roman"/>
                <w:lang w:val="es-DO" w:eastAsia="es-DO"/>
              </w:rPr>
              <w:t>RD$</w:t>
            </w:r>
            <w:r>
              <w:t xml:space="preserve"> </w:t>
            </w:r>
            <w:r w:rsidRPr="00CA7BDA">
              <w:rPr>
                <w:rFonts w:eastAsia="Times New Roman"/>
                <w:lang w:val="es-DO" w:eastAsia="es-DO"/>
              </w:rPr>
              <w:t>4,250,000.00</w:t>
            </w:r>
          </w:p>
        </w:tc>
        <w:tc>
          <w:tcPr>
            <w:tcW w:w="449" w:type="pct"/>
            <w:shd w:val="clear" w:color="auto" w:fill="auto"/>
            <w:noWrap/>
            <w:vAlign w:val="center"/>
          </w:tcPr>
          <w:p w14:paraId="7FE17BC8" w14:textId="77777777" w:rsidR="00CA7BDA" w:rsidRPr="00D11C11" w:rsidRDefault="00CA7BDA" w:rsidP="00CA7BDA">
            <w:pPr>
              <w:spacing w:after="0" w:line="240" w:lineRule="auto"/>
              <w:jc w:val="center"/>
              <w:rPr>
                <w:rFonts w:eastAsia="Times New Roman"/>
                <w:lang w:val="es-DO" w:eastAsia="es-DO"/>
              </w:rPr>
            </w:pPr>
          </w:p>
        </w:tc>
        <w:tc>
          <w:tcPr>
            <w:tcW w:w="435" w:type="pct"/>
            <w:shd w:val="clear" w:color="auto" w:fill="auto"/>
            <w:noWrap/>
            <w:vAlign w:val="center"/>
          </w:tcPr>
          <w:p w14:paraId="08569D99" w14:textId="77777777" w:rsidR="00CA7BDA" w:rsidRPr="00D11C11" w:rsidRDefault="00CA7BDA" w:rsidP="00CA7BDA">
            <w:pPr>
              <w:spacing w:after="0" w:line="240" w:lineRule="auto"/>
              <w:jc w:val="center"/>
              <w:rPr>
                <w:rFonts w:eastAsia="Times New Roman"/>
                <w:lang w:val="es-DO" w:eastAsia="es-DO"/>
              </w:rPr>
            </w:pPr>
          </w:p>
        </w:tc>
        <w:tc>
          <w:tcPr>
            <w:tcW w:w="476" w:type="pct"/>
            <w:shd w:val="clear" w:color="auto" w:fill="auto"/>
            <w:noWrap/>
            <w:vAlign w:val="center"/>
          </w:tcPr>
          <w:p w14:paraId="7DE8BD63" w14:textId="6CEA8450" w:rsidR="00CA7BDA" w:rsidRPr="00D11C11" w:rsidRDefault="00CA7BDA" w:rsidP="00CA7BDA">
            <w:pPr>
              <w:spacing w:after="0" w:line="240" w:lineRule="auto"/>
              <w:jc w:val="center"/>
              <w:rPr>
                <w:rFonts w:eastAsia="Times New Roman"/>
                <w:lang w:val="es-DO" w:eastAsia="es-DO"/>
              </w:rPr>
            </w:pPr>
            <w:r>
              <w:rPr>
                <w:rFonts w:eastAsia="Times New Roman"/>
                <w:lang w:val="es-DO" w:eastAsia="es-DO"/>
              </w:rPr>
              <w:t>RD$</w:t>
            </w:r>
            <w:r>
              <w:t xml:space="preserve"> </w:t>
            </w:r>
            <w:r w:rsidRPr="00CA7BDA">
              <w:rPr>
                <w:rFonts w:eastAsia="Times New Roman"/>
                <w:lang w:val="es-DO" w:eastAsia="es-DO"/>
              </w:rPr>
              <w:t>4,250,000.00</w:t>
            </w:r>
          </w:p>
        </w:tc>
      </w:tr>
      <w:tr w:rsidR="007400C6" w:rsidRPr="00D13B4F" w14:paraId="1C6B9CB7" w14:textId="77777777" w:rsidTr="007400C6">
        <w:trPr>
          <w:trHeight w:val="331"/>
        </w:trPr>
        <w:tc>
          <w:tcPr>
            <w:tcW w:w="489" w:type="pct"/>
            <w:shd w:val="clear" w:color="auto" w:fill="auto"/>
            <w:vAlign w:val="center"/>
          </w:tcPr>
          <w:p w14:paraId="28552700" w14:textId="529B753A" w:rsidR="00CA7BDA" w:rsidRPr="00D13B4F" w:rsidRDefault="00CA7BDA" w:rsidP="00CA7BDA">
            <w:pPr>
              <w:spacing w:after="0" w:line="240" w:lineRule="auto"/>
              <w:rPr>
                <w:rFonts w:eastAsia="Times New Roman"/>
                <w:b/>
                <w:bCs/>
                <w:lang w:val="es-DO" w:eastAsia="es-DO"/>
              </w:rPr>
            </w:pPr>
            <w:r w:rsidRPr="00D13B4F">
              <w:rPr>
                <w:rFonts w:eastAsia="Times New Roman"/>
                <w:b/>
                <w:bCs/>
                <w:lang w:val="es-DO" w:eastAsia="es-DO"/>
              </w:rPr>
              <w:t>Inclusión Financiera para América Latina y el Caribe (FILAC-2023)</w:t>
            </w:r>
          </w:p>
        </w:tc>
        <w:tc>
          <w:tcPr>
            <w:tcW w:w="193" w:type="pct"/>
            <w:shd w:val="clear" w:color="auto" w:fill="auto"/>
            <w:noWrap/>
            <w:vAlign w:val="center"/>
          </w:tcPr>
          <w:p w14:paraId="65C5F301" w14:textId="77777777" w:rsidR="00CA7BDA" w:rsidRPr="00D13B4F" w:rsidRDefault="00CA7BDA" w:rsidP="00CA7BDA">
            <w:pPr>
              <w:spacing w:after="0" w:line="240" w:lineRule="auto"/>
              <w:jc w:val="center"/>
              <w:rPr>
                <w:rFonts w:eastAsia="Times New Roman"/>
                <w:lang w:val="es-DO" w:eastAsia="es-DO"/>
              </w:rPr>
            </w:pPr>
          </w:p>
        </w:tc>
        <w:tc>
          <w:tcPr>
            <w:tcW w:w="238" w:type="pct"/>
            <w:shd w:val="clear" w:color="auto" w:fill="auto"/>
            <w:noWrap/>
            <w:vAlign w:val="center"/>
          </w:tcPr>
          <w:p w14:paraId="76085C8E" w14:textId="77777777" w:rsidR="00CA7BDA" w:rsidRPr="00D13B4F" w:rsidRDefault="00CA7BDA" w:rsidP="00CA7BDA">
            <w:pPr>
              <w:spacing w:after="0" w:line="240" w:lineRule="auto"/>
              <w:jc w:val="center"/>
              <w:rPr>
                <w:rFonts w:eastAsia="Times New Roman"/>
                <w:lang w:val="es-DO" w:eastAsia="es-DO"/>
              </w:rPr>
            </w:pPr>
          </w:p>
        </w:tc>
        <w:tc>
          <w:tcPr>
            <w:tcW w:w="449" w:type="pct"/>
            <w:shd w:val="clear" w:color="auto" w:fill="auto"/>
            <w:noWrap/>
            <w:vAlign w:val="center"/>
          </w:tcPr>
          <w:p w14:paraId="39D3A2B5" w14:textId="502CE389" w:rsidR="00CA7BDA" w:rsidRPr="00D13B4F" w:rsidRDefault="00CA7BDA" w:rsidP="00CA7BDA">
            <w:pPr>
              <w:spacing w:after="0" w:line="240" w:lineRule="auto"/>
              <w:jc w:val="center"/>
              <w:rPr>
                <w:rFonts w:eastAsia="Times New Roman"/>
                <w:lang w:val="es-DO" w:eastAsia="es-DO"/>
              </w:rPr>
            </w:pPr>
            <w:r>
              <w:rPr>
                <w:rFonts w:eastAsia="Times New Roman"/>
                <w:lang w:val="es-DO" w:eastAsia="es-DO"/>
              </w:rPr>
              <w:t>100%</w:t>
            </w:r>
          </w:p>
        </w:tc>
        <w:tc>
          <w:tcPr>
            <w:tcW w:w="178" w:type="pct"/>
            <w:shd w:val="clear" w:color="auto" w:fill="auto"/>
            <w:noWrap/>
            <w:vAlign w:val="center"/>
          </w:tcPr>
          <w:p w14:paraId="0715BB9F" w14:textId="77777777" w:rsidR="00CA7BDA" w:rsidRPr="00D13B4F" w:rsidRDefault="00CA7BDA" w:rsidP="00CA7BDA">
            <w:pPr>
              <w:spacing w:after="0" w:line="240" w:lineRule="auto"/>
              <w:jc w:val="center"/>
              <w:rPr>
                <w:rFonts w:eastAsia="Times New Roman"/>
                <w:lang w:val="es-DO" w:eastAsia="es-DO"/>
              </w:rPr>
            </w:pPr>
          </w:p>
        </w:tc>
        <w:tc>
          <w:tcPr>
            <w:tcW w:w="393" w:type="pct"/>
            <w:shd w:val="clear" w:color="auto" w:fill="auto"/>
            <w:noWrap/>
            <w:vAlign w:val="center"/>
          </w:tcPr>
          <w:p w14:paraId="67CB6946" w14:textId="77777777" w:rsidR="00CA7BDA" w:rsidRPr="00D13B4F" w:rsidRDefault="00CA7BDA" w:rsidP="00CA7BDA">
            <w:pPr>
              <w:spacing w:after="0" w:line="240" w:lineRule="auto"/>
              <w:jc w:val="center"/>
              <w:rPr>
                <w:rFonts w:eastAsia="Times New Roman"/>
                <w:lang w:val="es-DO" w:eastAsia="es-DO"/>
              </w:rPr>
            </w:pPr>
          </w:p>
        </w:tc>
        <w:tc>
          <w:tcPr>
            <w:tcW w:w="476" w:type="pct"/>
            <w:shd w:val="clear" w:color="auto" w:fill="auto"/>
            <w:noWrap/>
            <w:vAlign w:val="center"/>
          </w:tcPr>
          <w:p w14:paraId="01928A36" w14:textId="77777777" w:rsidR="00CA7BDA" w:rsidRPr="00D13B4F" w:rsidRDefault="00CA7BDA" w:rsidP="00CA7BDA">
            <w:pPr>
              <w:spacing w:after="0" w:line="240" w:lineRule="auto"/>
              <w:jc w:val="center"/>
              <w:rPr>
                <w:rFonts w:eastAsia="Times New Roman"/>
                <w:lang w:val="es-DO" w:eastAsia="es-DO"/>
              </w:rPr>
            </w:pPr>
          </w:p>
        </w:tc>
        <w:tc>
          <w:tcPr>
            <w:tcW w:w="170" w:type="pct"/>
            <w:shd w:val="clear" w:color="auto" w:fill="auto"/>
            <w:noWrap/>
            <w:vAlign w:val="center"/>
          </w:tcPr>
          <w:p w14:paraId="6DCCDCAE" w14:textId="77777777" w:rsidR="00CA7BDA" w:rsidRPr="00D11C11" w:rsidRDefault="00CA7BDA" w:rsidP="00CA7BDA">
            <w:pPr>
              <w:spacing w:after="0" w:line="240" w:lineRule="auto"/>
              <w:jc w:val="center"/>
              <w:rPr>
                <w:rFonts w:eastAsia="Times New Roman"/>
                <w:lang w:val="es-DO" w:eastAsia="es-DO"/>
              </w:rPr>
            </w:pPr>
          </w:p>
        </w:tc>
        <w:tc>
          <w:tcPr>
            <w:tcW w:w="212" w:type="pct"/>
            <w:shd w:val="clear" w:color="auto" w:fill="auto"/>
            <w:noWrap/>
            <w:vAlign w:val="center"/>
          </w:tcPr>
          <w:p w14:paraId="673AFFB6" w14:textId="77777777" w:rsidR="00CA7BDA" w:rsidRPr="00D11C11" w:rsidRDefault="00CA7BDA" w:rsidP="00CA7BDA">
            <w:pPr>
              <w:spacing w:after="0" w:line="240" w:lineRule="auto"/>
              <w:jc w:val="center"/>
              <w:rPr>
                <w:rFonts w:eastAsia="Times New Roman"/>
                <w:lang w:val="es-DO" w:eastAsia="es-DO"/>
              </w:rPr>
            </w:pPr>
          </w:p>
        </w:tc>
        <w:tc>
          <w:tcPr>
            <w:tcW w:w="393" w:type="pct"/>
            <w:shd w:val="clear" w:color="auto" w:fill="auto"/>
            <w:noWrap/>
            <w:vAlign w:val="center"/>
          </w:tcPr>
          <w:p w14:paraId="5D70E246" w14:textId="77777777" w:rsidR="00CA7BDA" w:rsidRPr="00D11C11" w:rsidRDefault="00CA7BDA" w:rsidP="00CA7BDA">
            <w:pPr>
              <w:spacing w:after="0" w:line="240" w:lineRule="auto"/>
              <w:jc w:val="center"/>
              <w:rPr>
                <w:rFonts w:eastAsia="Times New Roman"/>
                <w:lang w:val="es-DO" w:eastAsia="es-DO"/>
              </w:rPr>
            </w:pPr>
          </w:p>
        </w:tc>
        <w:tc>
          <w:tcPr>
            <w:tcW w:w="449" w:type="pct"/>
            <w:shd w:val="clear" w:color="auto" w:fill="auto"/>
            <w:noWrap/>
            <w:vAlign w:val="center"/>
          </w:tcPr>
          <w:p w14:paraId="4EA58C9E" w14:textId="77777777" w:rsidR="00CA7BDA" w:rsidRPr="00D11C11" w:rsidRDefault="00CA7BDA" w:rsidP="00CA7BDA">
            <w:pPr>
              <w:spacing w:after="0" w:line="240" w:lineRule="auto"/>
              <w:jc w:val="center"/>
              <w:rPr>
                <w:rFonts w:eastAsia="Times New Roman"/>
                <w:lang w:val="es-DO" w:eastAsia="es-DO"/>
              </w:rPr>
            </w:pPr>
          </w:p>
        </w:tc>
        <w:tc>
          <w:tcPr>
            <w:tcW w:w="449" w:type="pct"/>
            <w:shd w:val="clear" w:color="auto" w:fill="auto"/>
            <w:noWrap/>
            <w:vAlign w:val="center"/>
          </w:tcPr>
          <w:p w14:paraId="40106689" w14:textId="77777777" w:rsidR="00CA7BDA" w:rsidRPr="00D11C11" w:rsidRDefault="00CA7BDA" w:rsidP="00CA7BDA">
            <w:pPr>
              <w:spacing w:after="0" w:line="240" w:lineRule="auto"/>
              <w:jc w:val="center"/>
              <w:rPr>
                <w:rFonts w:eastAsia="Times New Roman"/>
                <w:lang w:val="es-DO" w:eastAsia="es-DO"/>
              </w:rPr>
            </w:pPr>
          </w:p>
        </w:tc>
        <w:tc>
          <w:tcPr>
            <w:tcW w:w="435" w:type="pct"/>
            <w:shd w:val="clear" w:color="auto" w:fill="auto"/>
            <w:noWrap/>
            <w:vAlign w:val="center"/>
          </w:tcPr>
          <w:p w14:paraId="503A6724" w14:textId="77777777" w:rsidR="00CA7BDA" w:rsidRPr="00D11C11" w:rsidRDefault="00CA7BDA" w:rsidP="00CA7BDA">
            <w:pPr>
              <w:spacing w:after="0" w:line="240" w:lineRule="auto"/>
              <w:jc w:val="center"/>
              <w:rPr>
                <w:rFonts w:eastAsia="Times New Roman"/>
                <w:lang w:val="es-DO" w:eastAsia="es-DO"/>
              </w:rPr>
            </w:pPr>
          </w:p>
        </w:tc>
        <w:tc>
          <w:tcPr>
            <w:tcW w:w="476" w:type="pct"/>
            <w:shd w:val="clear" w:color="auto" w:fill="auto"/>
            <w:noWrap/>
            <w:vAlign w:val="center"/>
          </w:tcPr>
          <w:p w14:paraId="6B93B3F5" w14:textId="4E7B5FBA" w:rsidR="00CA7BDA" w:rsidRPr="00D11C11" w:rsidRDefault="00CA7BDA" w:rsidP="00CA7BDA">
            <w:pPr>
              <w:spacing w:after="0" w:line="240" w:lineRule="auto"/>
              <w:jc w:val="center"/>
              <w:rPr>
                <w:rFonts w:eastAsia="Times New Roman"/>
                <w:lang w:val="es-DO" w:eastAsia="es-DO"/>
              </w:rPr>
            </w:pPr>
            <w:r>
              <w:rPr>
                <w:rFonts w:eastAsia="Times New Roman"/>
                <w:lang w:val="es-DO" w:eastAsia="es-DO"/>
              </w:rPr>
              <w:t>100%</w:t>
            </w:r>
          </w:p>
        </w:tc>
      </w:tr>
      <w:tr w:rsidR="007400C6" w:rsidRPr="00D13B4F" w14:paraId="297FB25A" w14:textId="77777777" w:rsidTr="007400C6">
        <w:trPr>
          <w:trHeight w:val="331"/>
        </w:trPr>
        <w:tc>
          <w:tcPr>
            <w:tcW w:w="489" w:type="pct"/>
            <w:shd w:val="clear" w:color="auto" w:fill="auto"/>
            <w:vAlign w:val="center"/>
          </w:tcPr>
          <w:p w14:paraId="11799B79" w14:textId="67D262C8" w:rsidR="00CA7BDA" w:rsidRPr="00CA7BDA" w:rsidRDefault="00CA7BDA" w:rsidP="00CA7BDA">
            <w:pPr>
              <w:spacing w:after="0" w:line="240" w:lineRule="auto"/>
              <w:rPr>
                <w:rFonts w:eastAsia="Times New Roman"/>
                <w:lang w:val="es-DO" w:eastAsia="es-DO"/>
              </w:rPr>
            </w:pPr>
            <w:r>
              <w:rPr>
                <w:rFonts w:eastAsia="Times New Roman"/>
                <w:lang w:val="es-DO" w:eastAsia="es-DO"/>
              </w:rPr>
              <w:t xml:space="preserve">Inversión Proyecto - </w:t>
            </w:r>
            <w:r w:rsidRPr="00CA7BDA">
              <w:rPr>
                <w:lang w:val="es-DO"/>
              </w:rPr>
              <w:t>Inclusión</w:t>
            </w:r>
            <w:r w:rsidRPr="00CA7BDA">
              <w:rPr>
                <w:rFonts w:eastAsia="Times New Roman"/>
                <w:lang w:val="es-DO" w:eastAsia="es-DO"/>
              </w:rPr>
              <w:t xml:space="preserve"> </w:t>
            </w:r>
            <w:r w:rsidRPr="00CA7BDA">
              <w:rPr>
                <w:rFonts w:eastAsia="Times New Roman"/>
                <w:lang w:val="es-DO" w:eastAsia="es-DO"/>
              </w:rPr>
              <w:lastRenderedPageBreak/>
              <w:t>Financiera para América Latina y el Caribe (FILAC-2023)</w:t>
            </w:r>
          </w:p>
        </w:tc>
        <w:tc>
          <w:tcPr>
            <w:tcW w:w="193" w:type="pct"/>
            <w:shd w:val="clear" w:color="auto" w:fill="auto"/>
            <w:noWrap/>
            <w:vAlign w:val="center"/>
          </w:tcPr>
          <w:p w14:paraId="014E3871" w14:textId="77777777" w:rsidR="00CA7BDA" w:rsidRPr="00D13B4F" w:rsidRDefault="00CA7BDA" w:rsidP="00CA7BDA">
            <w:pPr>
              <w:spacing w:after="0" w:line="240" w:lineRule="auto"/>
              <w:jc w:val="center"/>
              <w:rPr>
                <w:rFonts w:eastAsia="Times New Roman"/>
                <w:lang w:val="es-DO" w:eastAsia="es-DO"/>
              </w:rPr>
            </w:pPr>
          </w:p>
        </w:tc>
        <w:tc>
          <w:tcPr>
            <w:tcW w:w="238" w:type="pct"/>
            <w:shd w:val="clear" w:color="auto" w:fill="auto"/>
            <w:noWrap/>
            <w:vAlign w:val="center"/>
          </w:tcPr>
          <w:p w14:paraId="30D80578" w14:textId="77777777" w:rsidR="00CA7BDA" w:rsidRPr="00D13B4F" w:rsidRDefault="00CA7BDA" w:rsidP="00CA7BDA">
            <w:pPr>
              <w:spacing w:after="0" w:line="240" w:lineRule="auto"/>
              <w:jc w:val="center"/>
              <w:rPr>
                <w:rFonts w:eastAsia="Times New Roman"/>
                <w:lang w:val="es-DO" w:eastAsia="es-DO"/>
              </w:rPr>
            </w:pPr>
          </w:p>
        </w:tc>
        <w:tc>
          <w:tcPr>
            <w:tcW w:w="449" w:type="pct"/>
            <w:shd w:val="clear" w:color="auto" w:fill="auto"/>
            <w:noWrap/>
            <w:vAlign w:val="center"/>
          </w:tcPr>
          <w:p w14:paraId="6A568BD5" w14:textId="02A2ADD1" w:rsidR="00CA7BDA" w:rsidRDefault="00CA7BDA" w:rsidP="00CA7BDA">
            <w:pPr>
              <w:spacing w:after="0" w:line="240" w:lineRule="auto"/>
              <w:jc w:val="center"/>
              <w:rPr>
                <w:rFonts w:eastAsia="Times New Roman"/>
                <w:lang w:val="es-DO" w:eastAsia="es-DO"/>
              </w:rPr>
            </w:pPr>
            <w:r>
              <w:rPr>
                <w:rFonts w:eastAsia="Times New Roman"/>
                <w:lang w:val="es-DO" w:eastAsia="es-DO"/>
              </w:rPr>
              <w:t xml:space="preserve">RD$ </w:t>
            </w:r>
            <w:r>
              <w:t>3,500,000.00</w:t>
            </w:r>
          </w:p>
        </w:tc>
        <w:tc>
          <w:tcPr>
            <w:tcW w:w="178" w:type="pct"/>
            <w:shd w:val="clear" w:color="auto" w:fill="auto"/>
            <w:noWrap/>
            <w:vAlign w:val="center"/>
          </w:tcPr>
          <w:p w14:paraId="153F5B69" w14:textId="77777777" w:rsidR="00CA7BDA" w:rsidRPr="00D13B4F" w:rsidRDefault="00CA7BDA" w:rsidP="00CA7BDA">
            <w:pPr>
              <w:spacing w:after="0" w:line="240" w:lineRule="auto"/>
              <w:jc w:val="center"/>
              <w:rPr>
                <w:rFonts w:eastAsia="Times New Roman"/>
                <w:lang w:val="es-DO" w:eastAsia="es-DO"/>
              </w:rPr>
            </w:pPr>
          </w:p>
        </w:tc>
        <w:tc>
          <w:tcPr>
            <w:tcW w:w="393" w:type="pct"/>
            <w:shd w:val="clear" w:color="auto" w:fill="auto"/>
            <w:noWrap/>
            <w:vAlign w:val="center"/>
          </w:tcPr>
          <w:p w14:paraId="3AA29207" w14:textId="77777777" w:rsidR="00CA7BDA" w:rsidRPr="00D13B4F" w:rsidRDefault="00CA7BDA" w:rsidP="00CA7BDA">
            <w:pPr>
              <w:spacing w:after="0" w:line="240" w:lineRule="auto"/>
              <w:jc w:val="center"/>
              <w:rPr>
                <w:rFonts w:eastAsia="Times New Roman"/>
                <w:lang w:val="es-DO" w:eastAsia="es-DO"/>
              </w:rPr>
            </w:pPr>
          </w:p>
        </w:tc>
        <w:tc>
          <w:tcPr>
            <w:tcW w:w="476" w:type="pct"/>
            <w:shd w:val="clear" w:color="auto" w:fill="auto"/>
            <w:noWrap/>
            <w:vAlign w:val="center"/>
          </w:tcPr>
          <w:p w14:paraId="09C8E9F1" w14:textId="77777777" w:rsidR="00CA7BDA" w:rsidRPr="00D13B4F" w:rsidRDefault="00CA7BDA" w:rsidP="00CA7BDA">
            <w:pPr>
              <w:spacing w:after="0" w:line="240" w:lineRule="auto"/>
              <w:jc w:val="center"/>
              <w:rPr>
                <w:rFonts w:eastAsia="Times New Roman"/>
                <w:lang w:val="es-DO" w:eastAsia="es-DO"/>
              </w:rPr>
            </w:pPr>
          </w:p>
        </w:tc>
        <w:tc>
          <w:tcPr>
            <w:tcW w:w="170" w:type="pct"/>
            <w:shd w:val="clear" w:color="auto" w:fill="auto"/>
            <w:noWrap/>
            <w:vAlign w:val="center"/>
          </w:tcPr>
          <w:p w14:paraId="7BC37C64" w14:textId="77777777" w:rsidR="00CA7BDA" w:rsidRPr="00D11C11" w:rsidRDefault="00CA7BDA" w:rsidP="00CA7BDA">
            <w:pPr>
              <w:spacing w:after="0" w:line="240" w:lineRule="auto"/>
              <w:jc w:val="center"/>
              <w:rPr>
                <w:rFonts w:eastAsia="Times New Roman"/>
                <w:lang w:val="es-DO" w:eastAsia="es-DO"/>
              </w:rPr>
            </w:pPr>
          </w:p>
        </w:tc>
        <w:tc>
          <w:tcPr>
            <w:tcW w:w="212" w:type="pct"/>
            <w:shd w:val="clear" w:color="auto" w:fill="auto"/>
            <w:noWrap/>
            <w:vAlign w:val="center"/>
          </w:tcPr>
          <w:p w14:paraId="1588113A" w14:textId="77777777" w:rsidR="00CA7BDA" w:rsidRPr="00D11C11" w:rsidRDefault="00CA7BDA" w:rsidP="00CA7BDA">
            <w:pPr>
              <w:spacing w:after="0" w:line="240" w:lineRule="auto"/>
              <w:jc w:val="center"/>
              <w:rPr>
                <w:rFonts w:eastAsia="Times New Roman"/>
                <w:lang w:val="es-DO" w:eastAsia="es-DO"/>
              </w:rPr>
            </w:pPr>
          </w:p>
        </w:tc>
        <w:tc>
          <w:tcPr>
            <w:tcW w:w="393" w:type="pct"/>
            <w:shd w:val="clear" w:color="auto" w:fill="auto"/>
            <w:noWrap/>
            <w:vAlign w:val="center"/>
          </w:tcPr>
          <w:p w14:paraId="20098C27" w14:textId="77777777" w:rsidR="00CA7BDA" w:rsidRPr="00D11C11" w:rsidRDefault="00CA7BDA" w:rsidP="00CA7BDA">
            <w:pPr>
              <w:spacing w:after="0" w:line="240" w:lineRule="auto"/>
              <w:jc w:val="center"/>
              <w:rPr>
                <w:rFonts w:eastAsia="Times New Roman"/>
                <w:lang w:val="es-DO" w:eastAsia="es-DO"/>
              </w:rPr>
            </w:pPr>
          </w:p>
        </w:tc>
        <w:tc>
          <w:tcPr>
            <w:tcW w:w="449" w:type="pct"/>
            <w:shd w:val="clear" w:color="auto" w:fill="auto"/>
            <w:noWrap/>
            <w:vAlign w:val="center"/>
          </w:tcPr>
          <w:p w14:paraId="295282D8" w14:textId="77777777" w:rsidR="00CA7BDA" w:rsidRPr="00D11C11" w:rsidRDefault="00CA7BDA" w:rsidP="00CA7BDA">
            <w:pPr>
              <w:spacing w:after="0" w:line="240" w:lineRule="auto"/>
              <w:jc w:val="center"/>
              <w:rPr>
                <w:rFonts w:eastAsia="Times New Roman"/>
                <w:lang w:val="es-DO" w:eastAsia="es-DO"/>
              </w:rPr>
            </w:pPr>
          </w:p>
        </w:tc>
        <w:tc>
          <w:tcPr>
            <w:tcW w:w="449" w:type="pct"/>
            <w:shd w:val="clear" w:color="auto" w:fill="auto"/>
            <w:noWrap/>
            <w:vAlign w:val="center"/>
          </w:tcPr>
          <w:p w14:paraId="5D7267AB" w14:textId="77777777" w:rsidR="00CA7BDA" w:rsidRPr="00D11C11" w:rsidRDefault="00CA7BDA" w:rsidP="00CA7BDA">
            <w:pPr>
              <w:spacing w:after="0" w:line="240" w:lineRule="auto"/>
              <w:jc w:val="center"/>
              <w:rPr>
                <w:rFonts w:eastAsia="Times New Roman"/>
                <w:lang w:val="es-DO" w:eastAsia="es-DO"/>
              </w:rPr>
            </w:pPr>
          </w:p>
        </w:tc>
        <w:tc>
          <w:tcPr>
            <w:tcW w:w="435" w:type="pct"/>
            <w:shd w:val="clear" w:color="auto" w:fill="auto"/>
            <w:noWrap/>
            <w:vAlign w:val="center"/>
          </w:tcPr>
          <w:p w14:paraId="08FFE4BD" w14:textId="77777777" w:rsidR="00CA7BDA" w:rsidRPr="00D11C11" w:rsidRDefault="00CA7BDA" w:rsidP="00CA7BDA">
            <w:pPr>
              <w:spacing w:after="0" w:line="240" w:lineRule="auto"/>
              <w:jc w:val="center"/>
              <w:rPr>
                <w:rFonts w:eastAsia="Times New Roman"/>
                <w:lang w:val="es-DO" w:eastAsia="es-DO"/>
              </w:rPr>
            </w:pPr>
          </w:p>
        </w:tc>
        <w:tc>
          <w:tcPr>
            <w:tcW w:w="476" w:type="pct"/>
            <w:shd w:val="clear" w:color="auto" w:fill="auto"/>
            <w:noWrap/>
            <w:vAlign w:val="center"/>
          </w:tcPr>
          <w:p w14:paraId="5BF6E36D" w14:textId="6E1443F9" w:rsidR="00CA7BDA" w:rsidRPr="00D11C11" w:rsidRDefault="00CA7BDA" w:rsidP="00CA7BDA">
            <w:pPr>
              <w:spacing w:after="0" w:line="240" w:lineRule="auto"/>
              <w:jc w:val="center"/>
              <w:rPr>
                <w:rFonts w:eastAsia="Times New Roman"/>
                <w:lang w:val="es-DO" w:eastAsia="es-DO"/>
              </w:rPr>
            </w:pPr>
            <w:r>
              <w:rPr>
                <w:rFonts w:eastAsia="Times New Roman"/>
                <w:lang w:val="es-DO" w:eastAsia="es-DO"/>
              </w:rPr>
              <w:t xml:space="preserve">RD$ </w:t>
            </w:r>
            <w:r>
              <w:t>3,500,000.00</w:t>
            </w:r>
          </w:p>
        </w:tc>
      </w:tr>
      <w:tr w:rsidR="007400C6" w:rsidRPr="00D13B4F" w14:paraId="5897819D" w14:textId="77777777" w:rsidTr="007400C6">
        <w:trPr>
          <w:trHeight w:val="331"/>
        </w:trPr>
        <w:tc>
          <w:tcPr>
            <w:tcW w:w="489" w:type="pct"/>
            <w:shd w:val="clear" w:color="auto" w:fill="auto"/>
            <w:vAlign w:val="center"/>
          </w:tcPr>
          <w:p w14:paraId="79625997" w14:textId="0FBAEF62" w:rsidR="00CA7BDA" w:rsidRPr="00D13B4F" w:rsidRDefault="00CA7BDA" w:rsidP="00CA7BDA">
            <w:pPr>
              <w:spacing w:after="0" w:line="240" w:lineRule="auto"/>
              <w:rPr>
                <w:rFonts w:eastAsia="Times New Roman"/>
                <w:b/>
                <w:bCs/>
                <w:lang w:val="es-DO" w:eastAsia="es-DO"/>
              </w:rPr>
            </w:pPr>
            <w:r w:rsidRPr="00D13B4F">
              <w:rPr>
                <w:rFonts w:eastAsia="Times New Roman"/>
                <w:b/>
                <w:bCs/>
                <w:lang w:val="es-DO" w:eastAsia="es-DO"/>
              </w:rPr>
              <w:t>Open Banking – Fase II</w:t>
            </w:r>
          </w:p>
        </w:tc>
        <w:tc>
          <w:tcPr>
            <w:tcW w:w="193" w:type="pct"/>
            <w:shd w:val="clear" w:color="auto" w:fill="auto"/>
            <w:noWrap/>
            <w:vAlign w:val="center"/>
          </w:tcPr>
          <w:p w14:paraId="4D1400D9" w14:textId="77777777" w:rsidR="00CA7BDA" w:rsidRPr="00D13B4F" w:rsidRDefault="00CA7BDA" w:rsidP="00CA7BDA">
            <w:pPr>
              <w:spacing w:after="0" w:line="240" w:lineRule="auto"/>
              <w:jc w:val="center"/>
              <w:rPr>
                <w:rFonts w:eastAsia="Times New Roman"/>
                <w:lang w:val="es-DO" w:eastAsia="es-DO"/>
              </w:rPr>
            </w:pPr>
          </w:p>
        </w:tc>
        <w:tc>
          <w:tcPr>
            <w:tcW w:w="238" w:type="pct"/>
            <w:shd w:val="clear" w:color="auto" w:fill="auto"/>
            <w:noWrap/>
            <w:vAlign w:val="center"/>
          </w:tcPr>
          <w:p w14:paraId="13715C93" w14:textId="77777777" w:rsidR="00CA7BDA" w:rsidRPr="00D13B4F" w:rsidRDefault="00CA7BDA" w:rsidP="00CA7BDA">
            <w:pPr>
              <w:spacing w:after="0" w:line="240" w:lineRule="auto"/>
              <w:jc w:val="center"/>
              <w:rPr>
                <w:rFonts w:eastAsia="Times New Roman"/>
                <w:lang w:val="es-DO" w:eastAsia="es-DO"/>
              </w:rPr>
            </w:pPr>
          </w:p>
        </w:tc>
        <w:tc>
          <w:tcPr>
            <w:tcW w:w="449" w:type="pct"/>
            <w:shd w:val="clear" w:color="auto" w:fill="auto"/>
            <w:noWrap/>
            <w:vAlign w:val="center"/>
          </w:tcPr>
          <w:p w14:paraId="7EF941C6" w14:textId="77777777" w:rsidR="00CA7BDA" w:rsidRPr="00D13B4F" w:rsidRDefault="00CA7BDA" w:rsidP="00CA7BDA">
            <w:pPr>
              <w:spacing w:after="0" w:line="240" w:lineRule="auto"/>
              <w:jc w:val="center"/>
              <w:rPr>
                <w:rFonts w:eastAsia="Times New Roman"/>
                <w:lang w:val="es-DO" w:eastAsia="es-DO"/>
              </w:rPr>
            </w:pPr>
          </w:p>
        </w:tc>
        <w:tc>
          <w:tcPr>
            <w:tcW w:w="178" w:type="pct"/>
            <w:shd w:val="clear" w:color="auto" w:fill="auto"/>
            <w:noWrap/>
            <w:vAlign w:val="center"/>
          </w:tcPr>
          <w:p w14:paraId="3B5D48FC" w14:textId="77777777" w:rsidR="00CA7BDA" w:rsidRPr="00D13B4F" w:rsidRDefault="00CA7BDA" w:rsidP="00CA7BDA">
            <w:pPr>
              <w:spacing w:after="0" w:line="240" w:lineRule="auto"/>
              <w:jc w:val="center"/>
              <w:rPr>
                <w:rFonts w:eastAsia="Times New Roman"/>
                <w:lang w:val="es-DO" w:eastAsia="es-DO"/>
              </w:rPr>
            </w:pPr>
          </w:p>
        </w:tc>
        <w:tc>
          <w:tcPr>
            <w:tcW w:w="393" w:type="pct"/>
            <w:shd w:val="clear" w:color="auto" w:fill="auto"/>
            <w:noWrap/>
            <w:vAlign w:val="center"/>
          </w:tcPr>
          <w:p w14:paraId="04C5AF5C" w14:textId="77777777" w:rsidR="00CA7BDA" w:rsidRPr="00D13B4F" w:rsidRDefault="00CA7BDA" w:rsidP="00CA7BDA">
            <w:pPr>
              <w:spacing w:after="0" w:line="240" w:lineRule="auto"/>
              <w:jc w:val="center"/>
              <w:rPr>
                <w:rFonts w:eastAsia="Times New Roman"/>
                <w:lang w:val="es-DO" w:eastAsia="es-DO"/>
              </w:rPr>
            </w:pPr>
          </w:p>
        </w:tc>
        <w:tc>
          <w:tcPr>
            <w:tcW w:w="476" w:type="pct"/>
            <w:shd w:val="clear" w:color="auto" w:fill="auto"/>
            <w:noWrap/>
            <w:vAlign w:val="center"/>
          </w:tcPr>
          <w:p w14:paraId="2EE51EA9" w14:textId="77777777" w:rsidR="00CA7BDA" w:rsidRPr="00D13B4F" w:rsidRDefault="00CA7BDA" w:rsidP="00CA7BDA">
            <w:pPr>
              <w:spacing w:after="0" w:line="240" w:lineRule="auto"/>
              <w:jc w:val="center"/>
              <w:rPr>
                <w:rFonts w:eastAsia="Times New Roman"/>
                <w:lang w:val="es-DO" w:eastAsia="es-DO"/>
              </w:rPr>
            </w:pPr>
          </w:p>
        </w:tc>
        <w:tc>
          <w:tcPr>
            <w:tcW w:w="170" w:type="pct"/>
            <w:shd w:val="clear" w:color="auto" w:fill="auto"/>
            <w:noWrap/>
            <w:vAlign w:val="center"/>
          </w:tcPr>
          <w:p w14:paraId="26D602C0" w14:textId="77777777" w:rsidR="00CA7BDA" w:rsidRPr="00D11C11" w:rsidRDefault="00CA7BDA" w:rsidP="00CA7BDA">
            <w:pPr>
              <w:spacing w:after="0" w:line="240" w:lineRule="auto"/>
              <w:jc w:val="center"/>
              <w:rPr>
                <w:rFonts w:eastAsia="Times New Roman"/>
                <w:lang w:val="es-DO" w:eastAsia="es-DO"/>
              </w:rPr>
            </w:pPr>
          </w:p>
        </w:tc>
        <w:tc>
          <w:tcPr>
            <w:tcW w:w="212" w:type="pct"/>
            <w:shd w:val="clear" w:color="auto" w:fill="auto"/>
            <w:noWrap/>
            <w:vAlign w:val="center"/>
          </w:tcPr>
          <w:p w14:paraId="7B3452EB" w14:textId="77777777" w:rsidR="00CA7BDA" w:rsidRPr="00D11C11" w:rsidRDefault="00CA7BDA" w:rsidP="00CA7BDA">
            <w:pPr>
              <w:spacing w:after="0" w:line="240" w:lineRule="auto"/>
              <w:jc w:val="center"/>
              <w:rPr>
                <w:rFonts w:eastAsia="Times New Roman"/>
                <w:lang w:val="es-DO" w:eastAsia="es-DO"/>
              </w:rPr>
            </w:pPr>
          </w:p>
        </w:tc>
        <w:tc>
          <w:tcPr>
            <w:tcW w:w="393" w:type="pct"/>
            <w:shd w:val="clear" w:color="auto" w:fill="auto"/>
            <w:noWrap/>
            <w:vAlign w:val="center"/>
          </w:tcPr>
          <w:p w14:paraId="215DF30A" w14:textId="77777777" w:rsidR="00CA7BDA" w:rsidRPr="00D11C11" w:rsidRDefault="00CA7BDA" w:rsidP="00CA7BDA">
            <w:pPr>
              <w:spacing w:after="0" w:line="240" w:lineRule="auto"/>
              <w:jc w:val="center"/>
              <w:rPr>
                <w:rFonts w:eastAsia="Times New Roman"/>
                <w:lang w:val="es-DO" w:eastAsia="es-DO"/>
              </w:rPr>
            </w:pPr>
          </w:p>
        </w:tc>
        <w:tc>
          <w:tcPr>
            <w:tcW w:w="449" w:type="pct"/>
            <w:shd w:val="clear" w:color="auto" w:fill="auto"/>
            <w:noWrap/>
            <w:vAlign w:val="center"/>
          </w:tcPr>
          <w:p w14:paraId="2C418F3D" w14:textId="77777777" w:rsidR="00CA7BDA" w:rsidRPr="00D11C11" w:rsidRDefault="00CA7BDA" w:rsidP="00CA7BDA">
            <w:pPr>
              <w:spacing w:after="0" w:line="240" w:lineRule="auto"/>
              <w:jc w:val="center"/>
              <w:rPr>
                <w:rFonts w:eastAsia="Times New Roman"/>
                <w:lang w:val="es-DO" w:eastAsia="es-DO"/>
              </w:rPr>
            </w:pPr>
          </w:p>
        </w:tc>
        <w:tc>
          <w:tcPr>
            <w:tcW w:w="449" w:type="pct"/>
            <w:shd w:val="clear" w:color="auto" w:fill="auto"/>
            <w:noWrap/>
            <w:vAlign w:val="center"/>
          </w:tcPr>
          <w:p w14:paraId="6A20F15F" w14:textId="77777777" w:rsidR="00CA7BDA" w:rsidRPr="00D11C11" w:rsidRDefault="00CA7BDA" w:rsidP="00CA7BDA">
            <w:pPr>
              <w:spacing w:after="0" w:line="240" w:lineRule="auto"/>
              <w:jc w:val="center"/>
              <w:rPr>
                <w:rFonts w:eastAsia="Times New Roman"/>
                <w:lang w:val="es-DO" w:eastAsia="es-DO"/>
              </w:rPr>
            </w:pPr>
          </w:p>
        </w:tc>
        <w:tc>
          <w:tcPr>
            <w:tcW w:w="435" w:type="pct"/>
            <w:shd w:val="clear" w:color="auto" w:fill="auto"/>
            <w:noWrap/>
            <w:vAlign w:val="center"/>
          </w:tcPr>
          <w:p w14:paraId="0CD8BE07" w14:textId="63B8680D" w:rsidR="00CA7BDA" w:rsidRPr="00D11C11" w:rsidRDefault="00CA7BDA" w:rsidP="00CA7BDA">
            <w:pPr>
              <w:spacing w:after="0" w:line="240" w:lineRule="auto"/>
              <w:jc w:val="center"/>
              <w:rPr>
                <w:rFonts w:eastAsia="Times New Roman"/>
                <w:lang w:val="es-DO" w:eastAsia="es-DO"/>
              </w:rPr>
            </w:pPr>
            <w:r>
              <w:rPr>
                <w:rFonts w:eastAsia="Times New Roman"/>
                <w:lang w:val="es-DO" w:eastAsia="es-DO"/>
              </w:rPr>
              <w:t>100%</w:t>
            </w:r>
          </w:p>
        </w:tc>
        <w:tc>
          <w:tcPr>
            <w:tcW w:w="476" w:type="pct"/>
            <w:shd w:val="clear" w:color="auto" w:fill="auto"/>
            <w:noWrap/>
            <w:vAlign w:val="center"/>
          </w:tcPr>
          <w:p w14:paraId="71FED753" w14:textId="2E7AB415" w:rsidR="00CA7BDA" w:rsidRPr="00D11C11" w:rsidRDefault="00CA7BDA" w:rsidP="00CA7BDA">
            <w:pPr>
              <w:spacing w:after="0" w:line="240" w:lineRule="auto"/>
              <w:jc w:val="center"/>
              <w:rPr>
                <w:rFonts w:eastAsia="Times New Roman"/>
                <w:lang w:val="es-DO" w:eastAsia="es-DO"/>
              </w:rPr>
            </w:pPr>
            <w:r>
              <w:rPr>
                <w:rFonts w:eastAsia="Times New Roman"/>
                <w:lang w:val="es-DO" w:eastAsia="es-DO"/>
              </w:rPr>
              <w:t>100%</w:t>
            </w:r>
          </w:p>
        </w:tc>
      </w:tr>
      <w:tr w:rsidR="007400C6" w:rsidRPr="00D13B4F" w14:paraId="56C2D1F5" w14:textId="77777777" w:rsidTr="007400C6">
        <w:trPr>
          <w:trHeight w:val="331"/>
        </w:trPr>
        <w:tc>
          <w:tcPr>
            <w:tcW w:w="489" w:type="pct"/>
            <w:shd w:val="clear" w:color="auto" w:fill="auto"/>
            <w:vAlign w:val="center"/>
          </w:tcPr>
          <w:p w14:paraId="03A376D1" w14:textId="7364340D" w:rsidR="00CA7BDA" w:rsidRPr="00CA7BDA" w:rsidRDefault="00CA7BDA" w:rsidP="00CA7BDA">
            <w:pPr>
              <w:spacing w:after="0" w:line="240" w:lineRule="auto"/>
              <w:rPr>
                <w:rFonts w:eastAsia="Times New Roman"/>
                <w:lang w:val="es-DO" w:eastAsia="es-DO"/>
              </w:rPr>
            </w:pPr>
            <w:r>
              <w:rPr>
                <w:rFonts w:eastAsia="Times New Roman"/>
                <w:lang w:val="es-DO" w:eastAsia="es-DO"/>
              </w:rPr>
              <w:t>Inversión Proyecto -</w:t>
            </w:r>
            <w:r w:rsidRPr="00CA7BDA">
              <w:rPr>
                <w:lang w:val="es-DO"/>
              </w:rPr>
              <w:t xml:space="preserve"> </w:t>
            </w:r>
            <w:r w:rsidRPr="00CA7BDA">
              <w:rPr>
                <w:rFonts w:eastAsia="Times New Roman"/>
                <w:lang w:val="es-DO" w:eastAsia="es-DO"/>
              </w:rPr>
              <w:t xml:space="preserve">Open </w:t>
            </w:r>
            <w:proofErr w:type="spellStart"/>
            <w:r w:rsidRPr="00CA7BDA">
              <w:rPr>
                <w:rFonts w:eastAsia="Times New Roman"/>
                <w:lang w:val="es-DO" w:eastAsia="es-DO"/>
              </w:rPr>
              <w:t>Banking</w:t>
            </w:r>
            <w:proofErr w:type="spellEnd"/>
            <w:r w:rsidRPr="00CA7BDA">
              <w:rPr>
                <w:rFonts w:eastAsia="Times New Roman"/>
                <w:lang w:val="es-DO" w:eastAsia="es-DO"/>
              </w:rPr>
              <w:t xml:space="preserve"> – Fase II</w:t>
            </w:r>
          </w:p>
        </w:tc>
        <w:tc>
          <w:tcPr>
            <w:tcW w:w="193" w:type="pct"/>
            <w:shd w:val="clear" w:color="auto" w:fill="auto"/>
            <w:noWrap/>
            <w:vAlign w:val="center"/>
          </w:tcPr>
          <w:p w14:paraId="3111CF8C" w14:textId="77777777" w:rsidR="00CA7BDA" w:rsidRPr="00D13B4F" w:rsidRDefault="00CA7BDA" w:rsidP="00CA7BDA">
            <w:pPr>
              <w:spacing w:after="0" w:line="240" w:lineRule="auto"/>
              <w:jc w:val="center"/>
              <w:rPr>
                <w:rFonts w:eastAsia="Times New Roman"/>
                <w:lang w:val="es-DO" w:eastAsia="es-DO"/>
              </w:rPr>
            </w:pPr>
          </w:p>
        </w:tc>
        <w:tc>
          <w:tcPr>
            <w:tcW w:w="238" w:type="pct"/>
            <w:shd w:val="clear" w:color="auto" w:fill="auto"/>
            <w:noWrap/>
            <w:vAlign w:val="center"/>
          </w:tcPr>
          <w:p w14:paraId="1353FA5D" w14:textId="77777777" w:rsidR="00CA7BDA" w:rsidRPr="00D13B4F" w:rsidRDefault="00CA7BDA" w:rsidP="00CA7BDA">
            <w:pPr>
              <w:spacing w:after="0" w:line="240" w:lineRule="auto"/>
              <w:jc w:val="center"/>
              <w:rPr>
                <w:rFonts w:eastAsia="Times New Roman"/>
                <w:lang w:val="es-DO" w:eastAsia="es-DO"/>
              </w:rPr>
            </w:pPr>
          </w:p>
        </w:tc>
        <w:tc>
          <w:tcPr>
            <w:tcW w:w="449" w:type="pct"/>
            <w:shd w:val="clear" w:color="auto" w:fill="auto"/>
            <w:noWrap/>
            <w:vAlign w:val="center"/>
          </w:tcPr>
          <w:p w14:paraId="17B886B9" w14:textId="77777777" w:rsidR="00CA7BDA" w:rsidRPr="00D13B4F" w:rsidRDefault="00CA7BDA" w:rsidP="00CA7BDA">
            <w:pPr>
              <w:spacing w:after="0" w:line="240" w:lineRule="auto"/>
              <w:jc w:val="center"/>
              <w:rPr>
                <w:rFonts w:eastAsia="Times New Roman"/>
                <w:lang w:val="es-DO" w:eastAsia="es-DO"/>
              </w:rPr>
            </w:pPr>
          </w:p>
        </w:tc>
        <w:tc>
          <w:tcPr>
            <w:tcW w:w="178" w:type="pct"/>
            <w:shd w:val="clear" w:color="auto" w:fill="auto"/>
            <w:noWrap/>
            <w:vAlign w:val="center"/>
          </w:tcPr>
          <w:p w14:paraId="1D151EE2" w14:textId="77777777" w:rsidR="00CA7BDA" w:rsidRPr="00D13B4F" w:rsidRDefault="00CA7BDA" w:rsidP="00CA7BDA">
            <w:pPr>
              <w:spacing w:after="0" w:line="240" w:lineRule="auto"/>
              <w:jc w:val="center"/>
              <w:rPr>
                <w:rFonts w:eastAsia="Times New Roman"/>
                <w:lang w:val="es-DO" w:eastAsia="es-DO"/>
              </w:rPr>
            </w:pPr>
          </w:p>
        </w:tc>
        <w:tc>
          <w:tcPr>
            <w:tcW w:w="393" w:type="pct"/>
            <w:shd w:val="clear" w:color="auto" w:fill="auto"/>
            <w:noWrap/>
            <w:vAlign w:val="center"/>
          </w:tcPr>
          <w:p w14:paraId="4E4E7601" w14:textId="77777777" w:rsidR="00CA7BDA" w:rsidRPr="00D13B4F" w:rsidRDefault="00CA7BDA" w:rsidP="00CA7BDA">
            <w:pPr>
              <w:spacing w:after="0" w:line="240" w:lineRule="auto"/>
              <w:jc w:val="center"/>
              <w:rPr>
                <w:rFonts w:eastAsia="Times New Roman"/>
                <w:lang w:val="es-DO" w:eastAsia="es-DO"/>
              </w:rPr>
            </w:pPr>
          </w:p>
        </w:tc>
        <w:tc>
          <w:tcPr>
            <w:tcW w:w="476" w:type="pct"/>
            <w:shd w:val="clear" w:color="auto" w:fill="auto"/>
            <w:noWrap/>
            <w:vAlign w:val="center"/>
          </w:tcPr>
          <w:p w14:paraId="3311DD28" w14:textId="77777777" w:rsidR="00CA7BDA" w:rsidRPr="00D13B4F" w:rsidRDefault="00CA7BDA" w:rsidP="00CA7BDA">
            <w:pPr>
              <w:spacing w:after="0" w:line="240" w:lineRule="auto"/>
              <w:jc w:val="center"/>
              <w:rPr>
                <w:rFonts w:eastAsia="Times New Roman"/>
                <w:lang w:val="es-DO" w:eastAsia="es-DO"/>
              </w:rPr>
            </w:pPr>
          </w:p>
        </w:tc>
        <w:tc>
          <w:tcPr>
            <w:tcW w:w="170" w:type="pct"/>
            <w:shd w:val="clear" w:color="auto" w:fill="auto"/>
            <w:noWrap/>
            <w:vAlign w:val="center"/>
          </w:tcPr>
          <w:p w14:paraId="4F5E045F" w14:textId="77777777" w:rsidR="00CA7BDA" w:rsidRPr="00D11C11" w:rsidRDefault="00CA7BDA" w:rsidP="00CA7BDA">
            <w:pPr>
              <w:spacing w:after="0" w:line="240" w:lineRule="auto"/>
              <w:jc w:val="center"/>
              <w:rPr>
                <w:rFonts w:eastAsia="Times New Roman"/>
                <w:lang w:val="es-DO" w:eastAsia="es-DO"/>
              </w:rPr>
            </w:pPr>
          </w:p>
        </w:tc>
        <w:tc>
          <w:tcPr>
            <w:tcW w:w="212" w:type="pct"/>
            <w:shd w:val="clear" w:color="auto" w:fill="auto"/>
            <w:noWrap/>
            <w:vAlign w:val="center"/>
          </w:tcPr>
          <w:p w14:paraId="64DA9D3B" w14:textId="77777777" w:rsidR="00CA7BDA" w:rsidRPr="00D11C11" w:rsidRDefault="00CA7BDA" w:rsidP="00CA7BDA">
            <w:pPr>
              <w:spacing w:after="0" w:line="240" w:lineRule="auto"/>
              <w:jc w:val="center"/>
              <w:rPr>
                <w:rFonts w:eastAsia="Times New Roman"/>
                <w:lang w:val="es-DO" w:eastAsia="es-DO"/>
              </w:rPr>
            </w:pPr>
          </w:p>
        </w:tc>
        <w:tc>
          <w:tcPr>
            <w:tcW w:w="393" w:type="pct"/>
            <w:shd w:val="clear" w:color="auto" w:fill="auto"/>
            <w:noWrap/>
            <w:vAlign w:val="center"/>
          </w:tcPr>
          <w:p w14:paraId="31CECFC7" w14:textId="77777777" w:rsidR="00CA7BDA" w:rsidRPr="00D11C11" w:rsidRDefault="00CA7BDA" w:rsidP="00CA7BDA">
            <w:pPr>
              <w:spacing w:after="0" w:line="240" w:lineRule="auto"/>
              <w:jc w:val="center"/>
              <w:rPr>
                <w:rFonts w:eastAsia="Times New Roman"/>
                <w:lang w:val="es-DO" w:eastAsia="es-DO"/>
              </w:rPr>
            </w:pPr>
          </w:p>
        </w:tc>
        <w:tc>
          <w:tcPr>
            <w:tcW w:w="449" w:type="pct"/>
            <w:shd w:val="clear" w:color="auto" w:fill="auto"/>
            <w:noWrap/>
            <w:vAlign w:val="center"/>
          </w:tcPr>
          <w:p w14:paraId="6605DBFC" w14:textId="77777777" w:rsidR="00CA7BDA" w:rsidRPr="00D11C11" w:rsidRDefault="00CA7BDA" w:rsidP="00CA7BDA">
            <w:pPr>
              <w:spacing w:after="0" w:line="240" w:lineRule="auto"/>
              <w:jc w:val="center"/>
              <w:rPr>
                <w:rFonts w:eastAsia="Times New Roman"/>
                <w:lang w:val="es-DO" w:eastAsia="es-DO"/>
              </w:rPr>
            </w:pPr>
          </w:p>
        </w:tc>
        <w:tc>
          <w:tcPr>
            <w:tcW w:w="449" w:type="pct"/>
            <w:shd w:val="clear" w:color="auto" w:fill="auto"/>
            <w:noWrap/>
            <w:vAlign w:val="center"/>
          </w:tcPr>
          <w:p w14:paraId="09D53275" w14:textId="77777777" w:rsidR="00CA7BDA" w:rsidRPr="00D11C11" w:rsidRDefault="00CA7BDA" w:rsidP="00CA7BDA">
            <w:pPr>
              <w:spacing w:after="0" w:line="240" w:lineRule="auto"/>
              <w:jc w:val="center"/>
              <w:rPr>
                <w:rFonts w:eastAsia="Times New Roman"/>
                <w:lang w:val="es-DO" w:eastAsia="es-DO"/>
              </w:rPr>
            </w:pPr>
          </w:p>
        </w:tc>
        <w:tc>
          <w:tcPr>
            <w:tcW w:w="435" w:type="pct"/>
            <w:shd w:val="clear" w:color="auto" w:fill="auto"/>
            <w:noWrap/>
            <w:vAlign w:val="center"/>
          </w:tcPr>
          <w:p w14:paraId="52FD7929" w14:textId="784ED39D" w:rsidR="00CA7BDA" w:rsidRDefault="00CA7BDA" w:rsidP="00CA7BDA">
            <w:pPr>
              <w:spacing w:after="0" w:line="240" w:lineRule="auto"/>
              <w:jc w:val="center"/>
              <w:rPr>
                <w:rFonts w:eastAsia="Times New Roman"/>
                <w:lang w:val="es-DO" w:eastAsia="es-DO"/>
              </w:rPr>
            </w:pPr>
            <w:r>
              <w:rPr>
                <w:rFonts w:eastAsia="Times New Roman"/>
                <w:lang w:val="es-DO" w:eastAsia="es-DO"/>
              </w:rPr>
              <w:t>RD$</w:t>
            </w:r>
            <w:r w:rsidRPr="00CA7BDA">
              <w:rPr>
                <w:rFonts w:eastAsia="Times New Roman"/>
                <w:lang w:val="es-DO" w:eastAsia="es-DO"/>
              </w:rPr>
              <w:t>1,758,500.00</w:t>
            </w:r>
          </w:p>
        </w:tc>
        <w:tc>
          <w:tcPr>
            <w:tcW w:w="476" w:type="pct"/>
            <w:shd w:val="clear" w:color="auto" w:fill="auto"/>
            <w:noWrap/>
            <w:vAlign w:val="center"/>
          </w:tcPr>
          <w:p w14:paraId="611DFEBF" w14:textId="345B66FE" w:rsidR="00CA7BDA" w:rsidRPr="00D11C11" w:rsidRDefault="00CA7BDA" w:rsidP="00CA7BDA">
            <w:pPr>
              <w:spacing w:after="0" w:line="240" w:lineRule="auto"/>
              <w:jc w:val="center"/>
              <w:rPr>
                <w:rFonts w:eastAsia="Times New Roman"/>
                <w:lang w:val="es-DO" w:eastAsia="es-DO"/>
              </w:rPr>
            </w:pPr>
            <w:r>
              <w:rPr>
                <w:rFonts w:eastAsia="Times New Roman"/>
                <w:lang w:val="es-DO" w:eastAsia="es-DO"/>
              </w:rPr>
              <w:t>RD$</w:t>
            </w:r>
            <w:r w:rsidRPr="00CA7BDA">
              <w:rPr>
                <w:rFonts w:eastAsia="Times New Roman"/>
                <w:lang w:val="es-DO" w:eastAsia="es-DO"/>
              </w:rPr>
              <w:t>1,758,500.00</w:t>
            </w:r>
          </w:p>
        </w:tc>
      </w:tr>
      <w:tr w:rsidR="007400C6" w:rsidRPr="00D13B4F" w14:paraId="2C1CDBCF" w14:textId="77777777" w:rsidTr="007400C6">
        <w:trPr>
          <w:trHeight w:val="331"/>
        </w:trPr>
        <w:tc>
          <w:tcPr>
            <w:tcW w:w="489" w:type="pct"/>
            <w:shd w:val="clear" w:color="auto" w:fill="auto"/>
            <w:vAlign w:val="center"/>
          </w:tcPr>
          <w:p w14:paraId="40F18ABC" w14:textId="786FEAF9" w:rsidR="00D13B4F" w:rsidRPr="00D13B4F" w:rsidRDefault="00D13B4F" w:rsidP="003A11A2">
            <w:pPr>
              <w:spacing w:after="0" w:line="240" w:lineRule="auto"/>
              <w:rPr>
                <w:rFonts w:eastAsia="Times New Roman"/>
                <w:b/>
                <w:bCs/>
                <w:lang w:val="es-DO" w:eastAsia="es-DO"/>
              </w:rPr>
            </w:pPr>
            <w:r w:rsidRPr="00D13B4F">
              <w:rPr>
                <w:rFonts w:eastAsia="Times New Roman"/>
                <w:b/>
                <w:bCs/>
                <w:lang w:val="es-DO" w:eastAsia="es-DO"/>
              </w:rPr>
              <w:t>Sellos de Subagentes Bancarios</w:t>
            </w:r>
          </w:p>
        </w:tc>
        <w:tc>
          <w:tcPr>
            <w:tcW w:w="193" w:type="pct"/>
            <w:shd w:val="clear" w:color="auto" w:fill="auto"/>
            <w:noWrap/>
            <w:vAlign w:val="center"/>
          </w:tcPr>
          <w:p w14:paraId="0D6426B7" w14:textId="77777777" w:rsidR="00D13B4F" w:rsidRPr="00D13B4F" w:rsidRDefault="00D13B4F" w:rsidP="00CA7BDA">
            <w:pPr>
              <w:spacing w:after="0" w:line="240" w:lineRule="auto"/>
              <w:jc w:val="center"/>
              <w:rPr>
                <w:rFonts w:eastAsia="Times New Roman"/>
                <w:lang w:val="es-DO" w:eastAsia="es-DO"/>
              </w:rPr>
            </w:pPr>
          </w:p>
        </w:tc>
        <w:tc>
          <w:tcPr>
            <w:tcW w:w="238" w:type="pct"/>
            <w:shd w:val="clear" w:color="auto" w:fill="auto"/>
            <w:noWrap/>
            <w:vAlign w:val="center"/>
          </w:tcPr>
          <w:p w14:paraId="562DFAD8" w14:textId="77777777" w:rsidR="00D13B4F" w:rsidRPr="00D13B4F" w:rsidRDefault="00D13B4F" w:rsidP="00CA7BDA">
            <w:pPr>
              <w:spacing w:after="0" w:line="240" w:lineRule="auto"/>
              <w:jc w:val="center"/>
              <w:rPr>
                <w:rFonts w:eastAsia="Times New Roman"/>
                <w:lang w:val="es-DO" w:eastAsia="es-DO"/>
              </w:rPr>
            </w:pPr>
          </w:p>
        </w:tc>
        <w:tc>
          <w:tcPr>
            <w:tcW w:w="449" w:type="pct"/>
            <w:shd w:val="clear" w:color="auto" w:fill="auto"/>
            <w:noWrap/>
            <w:vAlign w:val="center"/>
          </w:tcPr>
          <w:p w14:paraId="3CFD0B6F" w14:textId="77777777" w:rsidR="00D13B4F" w:rsidRPr="00D13B4F" w:rsidRDefault="00D13B4F" w:rsidP="00CA7BDA">
            <w:pPr>
              <w:spacing w:after="0" w:line="240" w:lineRule="auto"/>
              <w:jc w:val="center"/>
              <w:rPr>
                <w:rFonts w:eastAsia="Times New Roman"/>
                <w:lang w:val="es-DO" w:eastAsia="es-DO"/>
              </w:rPr>
            </w:pPr>
          </w:p>
        </w:tc>
        <w:tc>
          <w:tcPr>
            <w:tcW w:w="178" w:type="pct"/>
            <w:shd w:val="clear" w:color="auto" w:fill="auto"/>
            <w:noWrap/>
            <w:vAlign w:val="center"/>
          </w:tcPr>
          <w:p w14:paraId="52AC686E" w14:textId="77777777" w:rsidR="00D13B4F" w:rsidRPr="00D13B4F" w:rsidRDefault="00D13B4F" w:rsidP="00CA7BDA">
            <w:pPr>
              <w:spacing w:after="0" w:line="240" w:lineRule="auto"/>
              <w:jc w:val="center"/>
              <w:rPr>
                <w:rFonts w:eastAsia="Times New Roman"/>
                <w:lang w:val="es-DO" w:eastAsia="es-DO"/>
              </w:rPr>
            </w:pPr>
          </w:p>
        </w:tc>
        <w:tc>
          <w:tcPr>
            <w:tcW w:w="393" w:type="pct"/>
            <w:shd w:val="clear" w:color="auto" w:fill="auto"/>
            <w:noWrap/>
            <w:vAlign w:val="center"/>
          </w:tcPr>
          <w:p w14:paraId="3B2F2C43" w14:textId="77777777" w:rsidR="00D13B4F" w:rsidRPr="00D13B4F" w:rsidRDefault="00D13B4F" w:rsidP="00CA7BDA">
            <w:pPr>
              <w:spacing w:after="0" w:line="240" w:lineRule="auto"/>
              <w:jc w:val="center"/>
              <w:rPr>
                <w:rFonts w:eastAsia="Times New Roman"/>
                <w:lang w:val="es-DO" w:eastAsia="es-DO"/>
              </w:rPr>
            </w:pPr>
          </w:p>
        </w:tc>
        <w:tc>
          <w:tcPr>
            <w:tcW w:w="476" w:type="pct"/>
            <w:shd w:val="clear" w:color="auto" w:fill="auto"/>
            <w:noWrap/>
            <w:vAlign w:val="center"/>
          </w:tcPr>
          <w:p w14:paraId="1BC1DA30" w14:textId="77777777" w:rsidR="00D13B4F" w:rsidRPr="00D13B4F" w:rsidRDefault="00D13B4F" w:rsidP="00CA7BDA">
            <w:pPr>
              <w:spacing w:after="0" w:line="240" w:lineRule="auto"/>
              <w:jc w:val="center"/>
              <w:rPr>
                <w:rFonts w:eastAsia="Times New Roman"/>
                <w:lang w:val="es-DO" w:eastAsia="es-DO"/>
              </w:rPr>
            </w:pPr>
          </w:p>
        </w:tc>
        <w:tc>
          <w:tcPr>
            <w:tcW w:w="170" w:type="pct"/>
            <w:shd w:val="clear" w:color="auto" w:fill="auto"/>
            <w:noWrap/>
            <w:vAlign w:val="center"/>
          </w:tcPr>
          <w:p w14:paraId="76DC20BA" w14:textId="77777777" w:rsidR="00D13B4F" w:rsidRPr="00D11C11" w:rsidRDefault="00D13B4F" w:rsidP="00CA7BDA">
            <w:pPr>
              <w:spacing w:after="0" w:line="240" w:lineRule="auto"/>
              <w:jc w:val="center"/>
              <w:rPr>
                <w:rFonts w:eastAsia="Times New Roman"/>
                <w:lang w:val="es-DO" w:eastAsia="es-DO"/>
              </w:rPr>
            </w:pPr>
          </w:p>
        </w:tc>
        <w:tc>
          <w:tcPr>
            <w:tcW w:w="212" w:type="pct"/>
            <w:shd w:val="clear" w:color="auto" w:fill="auto"/>
            <w:noWrap/>
            <w:vAlign w:val="center"/>
          </w:tcPr>
          <w:p w14:paraId="75E06FBC" w14:textId="77777777" w:rsidR="00D13B4F" w:rsidRPr="00D11C11" w:rsidRDefault="00D13B4F" w:rsidP="00CA7BDA">
            <w:pPr>
              <w:spacing w:after="0" w:line="240" w:lineRule="auto"/>
              <w:jc w:val="center"/>
              <w:rPr>
                <w:rFonts w:eastAsia="Times New Roman"/>
                <w:lang w:val="es-DO" w:eastAsia="es-DO"/>
              </w:rPr>
            </w:pPr>
          </w:p>
        </w:tc>
        <w:tc>
          <w:tcPr>
            <w:tcW w:w="393" w:type="pct"/>
            <w:shd w:val="clear" w:color="auto" w:fill="auto"/>
            <w:noWrap/>
            <w:vAlign w:val="center"/>
          </w:tcPr>
          <w:p w14:paraId="3E2B7C5A" w14:textId="6FBE45F6" w:rsidR="00D13B4F" w:rsidRPr="00D11C11" w:rsidRDefault="00CA7BDA" w:rsidP="00CA7BDA">
            <w:pPr>
              <w:spacing w:after="0" w:line="240" w:lineRule="auto"/>
              <w:jc w:val="center"/>
              <w:rPr>
                <w:rFonts w:eastAsia="Times New Roman"/>
                <w:lang w:val="es-DO" w:eastAsia="es-DO"/>
              </w:rPr>
            </w:pPr>
            <w:r>
              <w:rPr>
                <w:rFonts w:eastAsia="Times New Roman"/>
                <w:lang w:val="es-DO" w:eastAsia="es-DO"/>
              </w:rPr>
              <w:t>100%</w:t>
            </w:r>
          </w:p>
        </w:tc>
        <w:tc>
          <w:tcPr>
            <w:tcW w:w="449" w:type="pct"/>
            <w:shd w:val="clear" w:color="auto" w:fill="auto"/>
            <w:noWrap/>
            <w:vAlign w:val="center"/>
          </w:tcPr>
          <w:p w14:paraId="254E68AE" w14:textId="77777777" w:rsidR="00D13B4F" w:rsidRPr="00D11C11" w:rsidRDefault="00D13B4F" w:rsidP="00CA7BDA">
            <w:pPr>
              <w:spacing w:after="0" w:line="240" w:lineRule="auto"/>
              <w:jc w:val="center"/>
              <w:rPr>
                <w:rFonts w:eastAsia="Times New Roman"/>
                <w:lang w:val="es-DO" w:eastAsia="es-DO"/>
              </w:rPr>
            </w:pPr>
          </w:p>
        </w:tc>
        <w:tc>
          <w:tcPr>
            <w:tcW w:w="449" w:type="pct"/>
            <w:shd w:val="clear" w:color="auto" w:fill="auto"/>
            <w:noWrap/>
            <w:vAlign w:val="center"/>
          </w:tcPr>
          <w:p w14:paraId="4C12A8D6" w14:textId="77777777" w:rsidR="00D13B4F" w:rsidRPr="00D11C11" w:rsidRDefault="00D13B4F" w:rsidP="00CA7BDA">
            <w:pPr>
              <w:spacing w:after="0" w:line="240" w:lineRule="auto"/>
              <w:jc w:val="center"/>
              <w:rPr>
                <w:rFonts w:eastAsia="Times New Roman"/>
                <w:lang w:val="es-DO" w:eastAsia="es-DO"/>
              </w:rPr>
            </w:pPr>
          </w:p>
        </w:tc>
        <w:tc>
          <w:tcPr>
            <w:tcW w:w="435" w:type="pct"/>
            <w:shd w:val="clear" w:color="auto" w:fill="auto"/>
            <w:noWrap/>
            <w:vAlign w:val="center"/>
          </w:tcPr>
          <w:p w14:paraId="02E3FA7B" w14:textId="77777777" w:rsidR="00D13B4F" w:rsidRPr="00D11C11" w:rsidRDefault="00D13B4F" w:rsidP="00CA7BDA">
            <w:pPr>
              <w:spacing w:after="0" w:line="240" w:lineRule="auto"/>
              <w:jc w:val="center"/>
              <w:rPr>
                <w:rFonts w:eastAsia="Times New Roman"/>
                <w:lang w:val="es-DO" w:eastAsia="es-DO"/>
              </w:rPr>
            </w:pPr>
          </w:p>
        </w:tc>
        <w:tc>
          <w:tcPr>
            <w:tcW w:w="476" w:type="pct"/>
            <w:shd w:val="clear" w:color="auto" w:fill="auto"/>
            <w:noWrap/>
            <w:vAlign w:val="center"/>
          </w:tcPr>
          <w:p w14:paraId="7F0CE0E6" w14:textId="1E4D25EC" w:rsidR="00D13B4F" w:rsidRPr="00D11C11" w:rsidRDefault="00CA7BDA" w:rsidP="00CA7BDA">
            <w:pPr>
              <w:spacing w:after="0" w:line="240" w:lineRule="auto"/>
              <w:jc w:val="center"/>
              <w:rPr>
                <w:rFonts w:eastAsia="Times New Roman"/>
                <w:lang w:val="es-DO" w:eastAsia="es-DO"/>
              </w:rPr>
            </w:pPr>
            <w:r>
              <w:rPr>
                <w:rFonts w:eastAsia="Times New Roman"/>
                <w:lang w:val="es-DO" w:eastAsia="es-DO"/>
              </w:rPr>
              <w:t>100%</w:t>
            </w:r>
          </w:p>
        </w:tc>
      </w:tr>
      <w:tr w:rsidR="007400C6" w:rsidRPr="00D13B4F" w14:paraId="51E05911" w14:textId="77777777" w:rsidTr="007400C6">
        <w:trPr>
          <w:trHeight w:val="331"/>
        </w:trPr>
        <w:tc>
          <w:tcPr>
            <w:tcW w:w="489" w:type="pct"/>
            <w:shd w:val="clear" w:color="auto" w:fill="auto"/>
            <w:vAlign w:val="center"/>
          </w:tcPr>
          <w:p w14:paraId="62D01ABB" w14:textId="0BF14BEE" w:rsidR="00CA7BDA" w:rsidRPr="00CA7BDA" w:rsidRDefault="00CA7BDA" w:rsidP="003A11A2">
            <w:pPr>
              <w:spacing w:after="0" w:line="240" w:lineRule="auto"/>
              <w:rPr>
                <w:rFonts w:eastAsia="Times New Roman"/>
                <w:lang w:val="es-DO" w:eastAsia="es-DO"/>
              </w:rPr>
            </w:pPr>
            <w:r>
              <w:rPr>
                <w:rFonts w:eastAsia="Times New Roman"/>
                <w:lang w:val="es-DO" w:eastAsia="es-DO"/>
              </w:rPr>
              <w:t xml:space="preserve">Inversión Proyecto - </w:t>
            </w:r>
            <w:r w:rsidRPr="00CA7BDA">
              <w:rPr>
                <w:lang w:val="es-DO"/>
              </w:rPr>
              <w:t>Sellos</w:t>
            </w:r>
            <w:r w:rsidRPr="00CA7BDA">
              <w:rPr>
                <w:rFonts w:eastAsia="Times New Roman"/>
                <w:lang w:val="es-DO" w:eastAsia="es-DO"/>
              </w:rPr>
              <w:t xml:space="preserve"> </w:t>
            </w:r>
            <w:r w:rsidRPr="00CA7BDA">
              <w:rPr>
                <w:rFonts w:eastAsia="Times New Roman"/>
                <w:lang w:val="es-DO" w:eastAsia="es-DO"/>
              </w:rPr>
              <w:lastRenderedPageBreak/>
              <w:t>de Subagentes Bancarios</w:t>
            </w:r>
          </w:p>
        </w:tc>
        <w:tc>
          <w:tcPr>
            <w:tcW w:w="193" w:type="pct"/>
            <w:shd w:val="clear" w:color="auto" w:fill="auto"/>
            <w:noWrap/>
            <w:vAlign w:val="center"/>
          </w:tcPr>
          <w:p w14:paraId="649E585D" w14:textId="77777777" w:rsidR="00CA7BDA" w:rsidRPr="00D13B4F" w:rsidRDefault="00CA7BDA" w:rsidP="00CA7BDA">
            <w:pPr>
              <w:spacing w:after="0" w:line="240" w:lineRule="auto"/>
              <w:jc w:val="center"/>
              <w:rPr>
                <w:rFonts w:eastAsia="Times New Roman"/>
                <w:lang w:val="es-DO" w:eastAsia="es-DO"/>
              </w:rPr>
            </w:pPr>
          </w:p>
        </w:tc>
        <w:tc>
          <w:tcPr>
            <w:tcW w:w="238" w:type="pct"/>
            <w:shd w:val="clear" w:color="auto" w:fill="auto"/>
            <w:noWrap/>
            <w:vAlign w:val="center"/>
          </w:tcPr>
          <w:p w14:paraId="29B0DF39" w14:textId="77777777" w:rsidR="00CA7BDA" w:rsidRPr="00D13B4F" w:rsidRDefault="00CA7BDA" w:rsidP="00CA7BDA">
            <w:pPr>
              <w:spacing w:after="0" w:line="240" w:lineRule="auto"/>
              <w:jc w:val="center"/>
              <w:rPr>
                <w:rFonts w:eastAsia="Times New Roman"/>
                <w:lang w:val="es-DO" w:eastAsia="es-DO"/>
              </w:rPr>
            </w:pPr>
          </w:p>
        </w:tc>
        <w:tc>
          <w:tcPr>
            <w:tcW w:w="449" w:type="pct"/>
            <w:shd w:val="clear" w:color="auto" w:fill="auto"/>
            <w:noWrap/>
            <w:vAlign w:val="center"/>
          </w:tcPr>
          <w:p w14:paraId="017055B8" w14:textId="77777777" w:rsidR="00CA7BDA" w:rsidRPr="00D13B4F" w:rsidRDefault="00CA7BDA" w:rsidP="00CA7BDA">
            <w:pPr>
              <w:spacing w:after="0" w:line="240" w:lineRule="auto"/>
              <w:jc w:val="center"/>
              <w:rPr>
                <w:rFonts w:eastAsia="Times New Roman"/>
                <w:lang w:val="es-DO" w:eastAsia="es-DO"/>
              </w:rPr>
            </w:pPr>
          </w:p>
        </w:tc>
        <w:tc>
          <w:tcPr>
            <w:tcW w:w="178" w:type="pct"/>
            <w:shd w:val="clear" w:color="auto" w:fill="auto"/>
            <w:noWrap/>
            <w:vAlign w:val="center"/>
          </w:tcPr>
          <w:p w14:paraId="4D95164F" w14:textId="77777777" w:rsidR="00CA7BDA" w:rsidRPr="00D13B4F" w:rsidRDefault="00CA7BDA" w:rsidP="00CA7BDA">
            <w:pPr>
              <w:spacing w:after="0" w:line="240" w:lineRule="auto"/>
              <w:jc w:val="center"/>
              <w:rPr>
                <w:rFonts w:eastAsia="Times New Roman"/>
                <w:lang w:val="es-DO" w:eastAsia="es-DO"/>
              </w:rPr>
            </w:pPr>
          </w:p>
        </w:tc>
        <w:tc>
          <w:tcPr>
            <w:tcW w:w="393" w:type="pct"/>
            <w:shd w:val="clear" w:color="auto" w:fill="auto"/>
            <w:noWrap/>
            <w:vAlign w:val="center"/>
          </w:tcPr>
          <w:p w14:paraId="6B85C3D1" w14:textId="77777777" w:rsidR="00CA7BDA" w:rsidRPr="00D13B4F" w:rsidRDefault="00CA7BDA" w:rsidP="00CA7BDA">
            <w:pPr>
              <w:spacing w:after="0" w:line="240" w:lineRule="auto"/>
              <w:jc w:val="center"/>
              <w:rPr>
                <w:rFonts w:eastAsia="Times New Roman"/>
                <w:lang w:val="es-DO" w:eastAsia="es-DO"/>
              </w:rPr>
            </w:pPr>
          </w:p>
        </w:tc>
        <w:tc>
          <w:tcPr>
            <w:tcW w:w="476" w:type="pct"/>
            <w:shd w:val="clear" w:color="auto" w:fill="auto"/>
            <w:noWrap/>
            <w:vAlign w:val="center"/>
          </w:tcPr>
          <w:p w14:paraId="05B61C8B" w14:textId="77777777" w:rsidR="00CA7BDA" w:rsidRPr="00D13B4F" w:rsidRDefault="00CA7BDA" w:rsidP="00CA7BDA">
            <w:pPr>
              <w:spacing w:after="0" w:line="240" w:lineRule="auto"/>
              <w:jc w:val="center"/>
              <w:rPr>
                <w:rFonts w:eastAsia="Times New Roman"/>
                <w:lang w:val="es-DO" w:eastAsia="es-DO"/>
              </w:rPr>
            </w:pPr>
          </w:p>
        </w:tc>
        <w:tc>
          <w:tcPr>
            <w:tcW w:w="170" w:type="pct"/>
            <w:shd w:val="clear" w:color="auto" w:fill="auto"/>
            <w:noWrap/>
            <w:vAlign w:val="center"/>
          </w:tcPr>
          <w:p w14:paraId="3671BE76" w14:textId="77777777" w:rsidR="00CA7BDA" w:rsidRPr="00D11C11" w:rsidRDefault="00CA7BDA" w:rsidP="00CA7BDA">
            <w:pPr>
              <w:spacing w:after="0" w:line="240" w:lineRule="auto"/>
              <w:jc w:val="center"/>
              <w:rPr>
                <w:rFonts w:eastAsia="Times New Roman"/>
                <w:lang w:val="es-DO" w:eastAsia="es-DO"/>
              </w:rPr>
            </w:pPr>
          </w:p>
        </w:tc>
        <w:tc>
          <w:tcPr>
            <w:tcW w:w="212" w:type="pct"/>
            <w:shd w:val="clear" w:color="auto" w:fill="auto"/>
            <w:noWrap/>
            <w:vAlign w:val="center"/>
          </w:tcPr>
          <w:p w14:paraId="44A49706" w14:textId="77777777" w:rsidR="00CA7BDA" w:rsidRPr="00D11C11" w:rsidRDefault="00CA7BDA" w:rsidP="00CA7BDA">
            <w:pPr>
              <w:spacing w:after="0" w:line="240" w:lineRule="auto"/>
              <w:jc w:val="center"/>
              <w:rPr>
                <w:rFonts w:eastAsia="Times New Roman"/>
                <w:lang w:val="es-DO" w:eastAsia="es-DO"/>
              </w:rPr>
            </w:pPr>
          </w:p>
        </w:tc>
        <w:tc>
          <w:tcPr>
            <w:tcW w:w="393" w:type="pct"/>
            <w:shd w:val="clear" w:color="auto" w:fill="auto"/>
            <w:noWrap/>
            <w:vAlign w:val="center"/>
          </w:tcPr>
          <w:p w14:paraId="79429911" w14:textId="0BB66A92" w:rsidR="00CA7BDA" w:rsidRDefault="00CA7BDA" w:rsidP="00CA7BDA">
            <w:pPr>
              <w:spacing w:after="0" w:line="240" w:lineRule="auto"/>
              <w:jc w:val="center"/>
              <w:rPr>
                <w:rFonts w:eastAsia="Times New Roman"/>
                <w:lang w:val="es-DO" w:eastAsia="es-DO"/>
              </w:rPr>
            </w:pPr>
            <w:r>
              <w:rPr>
                <w:rFonts w:eastAsia="Times New Roman"/>
                <w:lang w:val="es-DO" w:eastAsia="es-DO"/>
              </w:rPr>
              <w:t>N/A</w:t>
            </w:r>
          </w:p>
        </w:tc>
        <w:tc>
          <w:tcPr>
            <w:tcW w:w="449" w:type="pct"/>
            <w:shd w:val="clear" w:color="auto" w:fill="auto"/>
            <w:noWrap/>
            <w:vAlign w:val="center"/>
          </w:tcPr>
          <w:p w14:paraId="0AF723DB" w14:textId="77777777" w:rsidR="00CA7BDA" w:rsidRPr="00D11C11" w:rsidRDefault="00CA7BDA" w:rsidP="00CA7BDA">
            <w:pPr>
              <w:spacing w:after="0" w:line="240" w:lineRule="auto"/>
              <w:jc w:val="center"/>
              <w:rPr>
                <w:rFonts w:eastAsia="Times New Roman"/>
                <w:lang w:val="es-DO" w:eastAsia="es-DO"/>
              </w:rPr>
            </w:pPr>
          </w:p>
        </w:tc>
        <w:tc>
          <w:tcPr>
            <w:tcW w:w="449" w:type="pct"/>
            <w:shd w:val="clear" w:color="auto" w:fill="auto"/>
            <w:noWrap/>
            <w:vAlign w:val="center"/>
          </w:tcPr>
          <w:p w14:paraId="462733A4" w14:textId="77777777" w:rsidR="00CA7BDA" w:rsidRPr="00D11C11" w:rsidRDefault="00CA7BDA" w:rsidP="00CA7BDA">
            <w:pPr>
              <w:spacing w:after="0" w:line="240" w:lineRule="auto"/>
              <w:jc w:val="center"/>
              <w:rPr>
                <w:rFonts w:eastAsia="Times New Roman"/>
                <w:lang w:val="es-DO" w:eastAsia="es-DO"/>
              </w:rPr>
            </w:pPr>
          </w:p>
        </w:tc>
        <w:tc>
          <w:tcPr>
            <w:tcW w:w="435" w:type="pct"/>
            <w:shd w:val="clear" w:color="auto" w:fill="auto"/>
            <w:noWrap/>
            <w:vAlign w:val="center"/>
          </w:tcPr>
          <w:p w14:paraId="68F5056C" w14:textId="77777777" w:rsidR="00CA7BDA" w:rsidRPr="00D11C11" w:rsidRDefault="00CA7BDA" w:rsidP="00CA7BDA">
            <w:pPr>
              <w:spacing w:after="0" w:line="240" w:lineRule="auto"/>
              <w:jc w:val="center"/>
              <w:rPr>
                <w:rFonts w:eastAsia="Times New Roman"/>
                <w:lang w:val="es-DO" w:eastAsia="es-DO"/>
              </w:rPr>
            </w:pPr>
          </w:p>
        </w:tc>
        <w:tc>
          <w:tcPr>
            <w:tcW w:w="476" w:type="pct"/>
            <w:shd w:val="clear" w:color="auto" w:fill="auto"/>
            <w:noWrap/>
            <w:vAlign w:val="center"/>
          </w:tcPr>
          <w:p w14:paraId="1ADE0130" w14:textId="177BE4D9" w:rsidR="00CA7BDA" w:rsidRDefault="00CA7BDA" w:rsidP="00CA7BDA">
            <w:pPr>
              <w:spacing w:after="0" w:line="240" w:lineRule="auto"/>
              <w:jc w:val="center"/>
              <w:rPr>
                <w:rFonts w:eastAsia="Times New Roman"/>
                <w:lang w:val="es-DO" w:eastAsia="es-DO"/>
              </w:rPr>
            </w:pPr>
            <w:r>
              <w:rPr>
                <w:rFonts w:eastAsia="Times New Roman"/>
                <w:lang w:val="es-DO" w:eastAsia="es-DO"/>
              </w:rPr>
              <w:t>N/A</w:t>
            </w:r>
          </w:p>
        </w:tc>
      </w:tr>
      <w:tr w:rsidR="007400C6" w:rsidRPr="00D13B4F" w14:paraId="63320CAF" w14:textId="77777777" w:rsidTr="007400C6">
        <w:trPr>
          <w:trHeight w:val="331"/>
        </w:trPr>
        <w:tc>
          <w:tcPr>
            <w:tcW w:w="489" w:type="pct"/>
            <w:shd w:val="clear" w:color="auto" w:fill="auto"/>
            <w:vAlign w:val="center"/>
          </w:tcPr>
          <w:p w14:paraId="4BE3BB9A" w14:textId="09423EEC" w:rsidR="00D13B4F" w:rsidRPr="00D13B4F" w:rsidRDefault="00D13B4F" w:rsidP="003A11A2">
            <w:pPr>
              <w:spacing w:after="0" w:line="240" w:lineRule="auto"/>
              <w:rPr>
                <w:rFonts w:eastAsia="Times New Roman"/>
                <w:b/>
                <w:bCs/>
                <w:lang w:val="es-DO" w:eastAsia="es-DO"/>
              </w:rPr>
            </w:pPr>
            <w:r w:rsidRPr="00D13B4F">
              <w:rPr>
                <w:rFonts w:eastAsia="Times New Roman"/>
                <w:b/>
                <w:bCs/>
                <w:lang w:val="es-DO" w:eastAsia="es-DO"/>
              </w:rPr>
              <w:t>Implementación del Manual de Requerimientos de Información (MRI)</w:t>
            </w:r>
          </w:p>
        </w:tc>
        <w:tc>
          <w:tcPr>
            <w:tcW w:w="193" w:type="pct"/>
            <w:shd w:val="clear" w:color="auto" w:fill="auto"/>
            <w:noWrap/>
            <w:vAlign w:val="center"/>
          </w:tcPr>
          <w:p w14:paraId="7AA0D9A2" w14:textId="77777777" w:rsidR="00D13B4F" w:rsidRPr="00D13B4F" w:rsidRDefault="00D13B4F" w:rsidP="00CA7BDA">
            <w:pPr>
              <w:spacing w:after="0" w:line="240" w:lineRule="auto"/>
              <w:jc w:val="center"/>
              <w:rPr>
                <w:rFonts w:eastAsia="Times New Roman"/>
                <w:lang w:val="es-DO" w:eastAsia="es-DO"/>
              </w:rPr>
            </w:pPr>
          </w:p>
        </w:tc>
        <w:tc>
          <w:tcPr>
            <w:tcW w:w="238" w:type="pct"/>
            <w:shd w:val="clear" w:color="auto" w:fill="auto"/>
            <w:noWrap/>
            <w:vAlign w:val="center"/>
          </w:tcPr>
          <w:p w14:paraId="07CA2220" w14:textId="77777777" w:rsidR="00D13B4F" w:rsidRPr="00D13B4F" w:rsidRDefault="00D13B4F" w:rsidP="00CA7BDA">
            <w:pPr>
              <w:spacing w:after="0" w:line="240" w:lineRule="auto"/>
              <w:jc w:val="center"/>
              <w:rPr>
                <w:rFonts w:eastAsia="Times New Roman"/>
                <w:lang w:val="es-DO" w:eastAsia="es-DO"/>
              </w:rPr>
            </w:pPr>
          </w:p>
        </w:tc>
        <w:tc>
          <w:tcPr>
            <w:tcW w:w="449" w:type="pct"/>
            <w:shd w:val="clear" w:color="auto" w:fill="auto"/>
            <w:noWrap/>
            <w:vAlign w:val="center"/>
          </w:tcPr>
          <w:p w14:paraId="708BEC48" w14:textId="77777777" w:rsidR="00D13B4F" w:rsidRPr="00D13B4F" w:rsidRDefault="00D13B4F" w:rsidP="00CA7BDA">
            <w:pPr>
              <w:spacing w:after="0" w:line="240" w:lineRule="auto"/>
              <w:jc w:val="center"/>
              <w:rPr>
                <w:rFonts w:eastAsia="Times New Roman"/>
                <w:lang w:val="es-DO" w:eastAsia="es-DO"/>
              </w:rPr>
            </w:pPr>
          </w:p>
        </w:tc>
        <w:tc>
          <w:tcPr>
            <w:tcW w:w="178" w:type="pct"/>
            <w:shd w:val="clear" w:color="auto" w:fill="auto"/>
            <w:noWrap/>
            <w:vAlign w:val="center"/>
          </w:tcPr>
          <w:p w14:paraId="42F46B03" w14:textId="77777777" w:rsidR="00D13B4F" w:rsidRPr="00D13B4F" w:rsidRDefault="00D13B4F" w:rsidP="00CA7BDA">
            <w:pPr>
              <w:spacing w:after="0" w:line="240" w:lineRule="auto"/>
              <w:jc w:val="center"/>
              <w:rPr>
                <w:rFonts w:eastAsia="Times New Roman"/>
                <w:lang w:val="es-DO" w:eastAsia="es-DO"/>
              </w:rPr>
            </w:pPr>
          </w:p>
        </w:tc>
        <w:tc>
          <w:tcPr>
            <w:tcW w:w="393" w:type="pct"/>
            <w:shd w:val="clear" w:color="auto" w:fill="auto"/>
            <w:noWrap/>
            <w:vAlign w:val="center"/>
          </w:tcPr>
          <w:p w14:paraId="35BA1873" w14:textId="77777777" w:rsidR="00D13B4F" w:rsidRPr="00D13B4F" w:rsidRDefault="00D13B4F" w:rsidP="00CA7BDA">
            <w:pPr>
              <w:spacing w:after="0" w:line="240" w:lineRule="auto"/>
              <w:jc w:val="center"/>
              <w:rPr>
                <w:rFonts w:eastAsia="Times New Roman"/>
                <w:lang w:val="es-DO" w:eastAsia="es-DO"/>
              </w:rPr>
            </w:pPr>
          </w:p>
        </w:tc>
        <w:tc>
          <w:tcPr>
            <w:tcW w:w="476" w:type="pct"/>
            <w:shd w:val="clear" w:color="auto" w:fill="auto"/>
            <w:noWrap/>
            <w:vAlign w:val="center"/>
          </w:tcPr>
          <w:p w14:paraId="3F48BCC2" w14:textId="77777777" w:rsidR="00D13B4F" w:rsidRPr="00D13B4F" w:rsidRDefault="00D13B4F" w:rsidP="00CA7BDA">
            <w:pPr>
              <w:spacing w:after="0" w:line="240" w:lineRule="auto"/>
              <w:jc w:val="center"/>
              <w:rPr>
                <w:rFonts w:eastAsia="Times New Roman"/>
                <w:lang w:val="es-DO" w:eastAsia="es-DO"/>
              </w:rPr>
            </w:pPr>
          </w:p>
        </w:tc>
        <w:tc>
          <w:tcPr>
            <w:tcW w:w="170" w:type="pct"/>
            <w:shd w:val="clear" w:color="auto" w:fill="auto"/>
            <w:noWrap/>
            <w:vAlign w:val="center"/>
          </w:tcPr>
          <w:p w14:paraId="647E352B" w14:textId="77777777" w:rsidR="00D13B4F" w:rsidRPr="00D11C11" w:rsidRDefault="00D13B4F" w:rsidP="00CA7BDA">
            <w:pPr>
              <w:spacing w:after="0" w:line="240" w:lineRule="auto"/>
              <w:jc w:val="center"/>
              <w:rPr>
                <w:rFonts w:eastAsia="Times New Roman"/>
                <w:lang w:val="es-DO" w:eastAsia="es-DO"/>
              </w:rPr>
            </w:pPr>
          </w:p>
        </w:tc>
        <w:tc>
          <w:tcPr>
            <w:tcW w:w="212" w:type="pct"/>
            <w:shd w:val="clear" w:color="auto" w:fill="auto"/>
            <w:noWrap/>
            <w:vAlign w:val="center"/>
          </w:tcPr>
          <w:p w14:paraId="58CA9287" w14:textId="203EAD8B" w:rsidR="00D13B4F" w:rsidRPr="00D11C11" w:rsidRDefault="004B0B10" w:rsidP="00CA7BDA">
            <w:pPr>
              <w:spacing w:after="0" w:line="240" w:lineRule="auto"/>
              <w:jc w:val="center"/>
              <w:rPr>
                <w:rFonts w:eastAsia="Times New Roman"/>
                <w:lang w:val="es-DO" w:eastAsia="es-DO"/>
              </w:rPr>
            </w:pPr>
            <w:r>
              <w:rPr>
                <w:rFonts w:eastAsia="Times New Roman"/>
                <w:lang w:val="es-DO" w:eastAsia="es-DO"/>
              </w:rPr>
              <w:t>100%</w:t>
            </w:r>
          </w:p>
        </w:tc>
        <w:tc>
          <w:tcPr>
            <w:tcW w:w="393" w:type="pct"/>
            <w:shd w:val="clear" w:color="auto" w:fill="auto"/>
            <w:noWrap/>
            <w:vAlign w:val="center"/>
          </w:tcPr>
          <w:p w14:paraId="6E643210" w14:textId="3990EA7E" w:rsidR="00D13B4F" w:rsidRPr="00D11C11" w:rsidRDefault="00D13B4F" w:rsidP="00CA7BDA">
            <w:pPr>
              <w:spacing w:after="0" w:line="240" w:lineRule="auto"/>
              <w:jc w:val="center"/>
              <w:rPr>
                <w:rFonts w:eastAsia="Times New Roman"/>
                <w:lang w:val="es-DO" w:eastAsia="es-DO"/>
              </w:rPr>
            </w:pPr>
          </w:p>
        </w:tc>
        <w:tc>
          <w:tcPr>
            <w:tcW w:w="449" w:type="pct"/>
            <w:shd w:val="clear" w:color="auto" w:fill="auto"/>
            <w:noWrap/>
            <w:vAlign w:val="center"/>
          </w:tcPr>
          <w:p w14:paraId="14E174AB" w14:textId="77777777" w:rsidR="00D13B4F" w:rsidRPr="00D11C11" w:rsidRDefault="00D13B4F" w:rsidP="00CA7BDA">
            <w:pPr>
              <w:spacing w:after="0" w:line="240" w:lineRule="auto"/>
              <w:jc w:val="center"/>
              <w:rPr>
                <w:rFonts w:eastAsia="Times New Roman"/>
                <w:lang w:val="es-DO" w:eastAsia="es-DO"/>
              </w:rPr>
            </w:pPr>
          </w:p>
        </w:tc>
        <w:tc>
          <w:tcPr>
            <w:tcW w:w="449" w:type="pct"/>
            <w:shd w:val="clear" w:color="auto" w:fill="auto"/>
            <w:noWrap/>
            <w:vAlign w:val="center"/>
          </w:tcPr>
          <w:p w14:paraId="28458A7B" w14:textId="77777777" w:rsidR="00D13B4F" w:rsidRPr="00D11C11" w:rsidRDefault="00D13B4F" w:rsidP="00CA7BDA">
            <w:pPr>
              <w:spacing w:after="0" w:line="240" w:lineRule="auto"/>
              <w:jc w:val="center"/>
              <w:rPr>
                <w:rFonts w:eastAsia="Times New Roman"/>
                <w:lang w:val="es-DO" w:eastAsia="es-DO"/>
              </w:rPr>
            </w:pPr>
          </w:p>
        </w:tc>
        <w:tc>
          <w:tcPr>
            <w:tcW w:w="435" w:type="pct"/>
            <w:shd w:val="clear" w:color="auto" w:fill="auto"/>
            <w:noWrap/>
            <w:vAlign w:val="center"/>
          </w:tcPr>
          <w:p w14:paraId="0EDE59AB" w14:textId="77777777" w:rsidR="00D13B4F" w:rsidRPr="00D11C11" w:rsidRDefault="00D13B4F" w:rsidP="00CA7BDA">
            <w:pPr>
              <w:spacing w:after="0" w:line="240" w:lineRule="auto"/>
              <w:jc w:val="center"/>
              <w:rPr>
                <w:rFonts w:eastAsia="Times New Roman"/>
                <w:lang w:val="es-DO" w:eastAsia="es-DO"/>
              </w:rPr>
            </w:pPr>
          </w:p>
        </w:tc>
        <w:tc>
          <w:tcPr>
            <w:tcW w:w="476" w:type="pct"/>
            <w:shd w:val="clear" w:color="auto" w:fill="auto"/>
            <w:noWrap/>
            <w:vAlign w:val="center"/>
          </w:tcPr>
          <w:p w14:paraId="0322A574" w14:textId="19E59FD7" w:rsidR="00D13B4F" w:rsidRPr="00D11C11" w:rsidRDefault="004B0B10" w:rsidP="00CA7BDA">
            <w:pPr>
              <w:spacing w:after="0" w:line="240" w:lineRule="auto"/>
              <w:jc w:val="center"/>
              <w:rPr>
                <w:rFonts w:eastAsia="Times New Roman"/>
                <w:lang w:val="es-DO" w:eastAsia="es-DO"/>
              </w:rPr>
            </w:pPr>
            <w:r>
              <w:rPr>
                <w:rFonts w:eastAsia="Times New Roman"/>
                <w:lang w:val="es-DO" w:eastAsia="es-DO"/>
              </w:rPr>
              <w:t>100%</w:t>
            </w:r>
          </w:p>
        </w:tc>
      </w:tr>
      <w:tr w:rsidR="007400C6" w:rsidRPr="00D13B4F" w14:paraId="00174745" w14:textId="77777777" w:rsidTr="007400C6">
        <w:trPr>
          <w:trHeight w:val="331"/>
        </w:trPr>
        <w:tc>
          <w:tcPr>
            <w:tcW w:w="489" w:type="pct"/>
            <w:shd w:val="clear" w:color="auto" w:fill="auto"/>
            <w:vAlign w:val="center"/>
          </w:tcPr>
          <w:p w14:paraId="4A48A7B4" w14:textId="55D0FA4D" w:rsidR="004B0B10" w:rsidRPr="004B0B10" w:rsidRDefault="004B0B10" w:rsidP="003A11A2">
            <w:pPr>
              <w:spacing w:after="0" w:line="240" w:lineRule="auto"/>
              <w:rPr>
                <w:rFonts w:eastAsia="Times New Roman"/>
                <w:lang w:val="es-DO" w:eastAsia="es-DO"/>
              </w:rPr>
            </w:pPr>
            <w:r>
              <w:rPr>
                <w:rFonts w:eastAsia="Times New Roman"/>
                <w:lang w:val="es-DO" w:eastAsia="es-DO"/>
              </w:rPr>
              <w:t>Inversión Proyecto - MRI</w:t>
            </w:r>
          </w:p>
        </w:tc>
        <w:tc>
          <w:tcPr>
            <w:tcW w:w="193" w:type="pct"/>
            <w:shd w:val="clear" w:color="auto" w:fill="auto"/>
            <w:noWrap/>
            <w:vAlign w:val="center"/>
          </w:tcPr>
          <w:p w14:paraId="60568353" w14:textId="77777777" w:rsidR="004B0B10" w:rsidRPr="00D13B4F" w:rsidRDefault="004B0B10" w:rsidP="00CA7BDA">
            <w:pPr>
              <w:spacing w:after="0" w:line="240" w:lineRule="auto"/>
              <w:jc w:val="center"/>
              <w:rPr>
                <w:rFonts w:eastAsia="Times New Roman"/>
                <w:lang w:val="es-DO" w:eastAsia="es-DO"/>
              </w:rPr>
            </w:pPr>
          </w:p>
        </w:tc>
        <w:tc>
          <w:tcPr>
            <w:tcW w:w="238" w:type="pct"/>
            <w:shd w:val="clear" w:color="auto" w:fill="auto"/>
            <w:noWrap/>
            <w:vAlign w:val="center"/>
          </w:tcPr>
          <w:p w14:paraId="71F8E64F" w14:textId="77777777" w:rsidR="004B0B10" w:rsidRPr="00D13B4F" w:rsidRDefault="004B0B10" w:rsidP="00CA7BDA">
            <w:pPr>
              <w:spacing w:after="0" w:line="240" w:lineRule="auto"/>
              <w:jc w:val="center"/>
              <w:rPr>
                <w:rFonts w:eastAsia="Times New Roman"/>
                <w:lang w:val="es-DO" w:eastAsia="es-DO"/>
              </w:rPr>
            </w:pPr>
          </w:p>
        </w:tc>
        <w:tc>
          <w:tcPr>
            <w:tcW w:w="449" w:type="pct"/>
            <w:shd w:val="clear" w:color="auto" w:fill="auto"/>
            <w:noWrap/>
            <w:vAlign w:val="center"/>
          </w:tcPr>
          <w:p w14:paraId="74A858C3" w14:textId="77777777" w:rsidR="004B0B10" w:rsidRPr="00D13B4F" w:rsidRDefault="004B0B10" w:rsidP="00CA7BDA">
            <w:pPr>
              <w:spacing w:after="0" w:line="240" w:lineRule="auto"/>
              <w:jc w:val="center"/>
              <w:rPr>
                <w:rFonts w:eastAsia="Times New Roman"/>
                <w:lang w:val="es-DO" w:eastAsia="es-DO"/>
              </w:rPr>
            </w:pPr>
          </w:p>
        </w:tc>
        <w:tc>
          <w:tcPr>
            <w:tcW w:w="178" w:type="pct"/>
            <w:shd w:val="clear" w:color="auto" w:fill="auto"/>
            <w:noWrap/>
            <w:vAlign w:val="center"/>
          </w:tcPr>
          <w:p w14:paraId="7962189D" w14:textId="77777777" w:rsidR="004B0B10" w:rsidRPr="00D13B4F" w:rsidRDefault="004B0B10" w:rsidP="00CA7BDA">
            <w:pPr>
              <w:spacing w:after="0" w:line="240" w:lineRule="auto"/>
              <w:jc w:val="center"/>
              <w:rPr>
                <w:rFonts w:eastAsia="Times New Roman"/>
                <w:lang w:val="es-DO" w:eastAsia="es-DO"/>
              </w:rPr>
            </w:pPr>
          </w:p>
        </w:tc>
        <w:tc>
          <w:tcPr>
            <w:tcW w:w="393" w:type="pct"/>
            <w:shd w:val="clear" w:color="auto" w:fill="auto"/>
            <w:noWrap/>
            <w:vAlign w:val="center"/>
          </w:tcPr>
          <w:p w14:paraId="43572EE7" w14:textId="77777777" w:rsidR="004B0B10" w:rsidRPr="00D13B4F" w:rsidRDefault="004B0B10" w:rsidP="00CA7BDA">
            <w:pPr>
              <w:spacing w:after="0" w:line="240" w:lineRule="auto"/>
              <w:jc w:val="center"/>
              <w:rPr>
                <w:rFonts w:eastAsia="Times New Roman"/>
                <w:lang w:val="es-DO" w:eastAsia="es-DO"/>
              </w:rPr>
            </w:pPr>
          </w:p>
        </w:tc>
        <w:tc>
          <w:tcPr>
            <w:tcW w:w="476" w:type="pct"/>
            <w:shd w:val="clear" w:color="auto" w:fill="auto"/>
            <w:noWrap/>
            <w:vAlign w:val="center"/>
          </w:tcPr>
          <w:p w14:paraId="02AF351B" w14:textId="77777777" w:rsidR="004B0B10" w:rsidRPr="00D13B4F" w:rsidRDefault="004B0B10" w:rsidP="00CA7BDA">
            <w:pPr>
              <w:spacing w:after="0" w:line="240" w:lineRule="auto"/>
              <w:jc w:val="center"/>
              <w:rPr>
                <w:rFonts w:eastAsia="Times New Roman"/>
                <w:lang w:val="es-DO" w:eastAsia="es-DO"/>
              </w:rPr>
            </w:pPr>
          </w:p>
        </w:tc>
        <w:tc>
          <w:tcPr>
            <w:tcW w:w="170" w:type="pct"/>
            <w:shd w:val="clear" w:color="auto" w:fill="auto"/>
            <w:noWrap/>
            <w:vAlign w:val="center"/>
          </w:tcPr>
          <w:p w14:paraId="1694F07A" w14:textId="77777777" w:rsidR="004B0B10" w:rsidRPr="00D11C11" w:rsidRDefault="004B0B10" w:rsidP="00CA7BDA">
            <w:pPr>
              <w:spacing w:after="0" w:line="240" w:lineRule="auto"/>
              <w:jc w:val="center"/>
              <w:rPr>
                <w:rFonts w:eastAsia="Times New Roman"/>
                <w:lang w:val="es-DO" w:eastAsia="es-DO"/>
              </w:rPr>
            </w:pPr>
          </w:p>
        </w:tc>
        <w:tc>
          <w:tcPr>
            <w:tcW w:w="212" w:type="pct"/>
            <w:shd w:val="clear" w:color="auto" w:fill="auto"/>
            <w:noWrap/>
            <w:vAlign w:val="center"/>
          </w:tcPr>
          <w:p w14:paraId="6ADA3D7B" w14:textId="35DAD631" w:rsidR="004B0B10" w:rsidRDefault="004B0B10" w:rsidP="00CA7BDA">
            <w:pPr>
              <w:spacing w:after="0" w:line="240" w:lineRule="auto"/>
              <w:jc w:val="center"/>
              <w:rPr>
                <w:rFonts w:eastAsia="Times New Roman"/>
                <w:lang w:val="es-DO" w:eastAsia="es-DO"/>
              </w:rPr>
            </w:pPr>
            <w:r>
              <w:rPr>
                <w:rFonts w:eastAsia="Times New Roman"/>
                <w:lang w:val="es-DO" w:eastAsia="es-DO"/>
              </w:rPr>
              <w:t>N/A</w:t>
            </w:r>
          </w:p>
        </w:tc>
        <w:tc>
          <w:tcPr>
            <w:tcW w:w="393" w:type="pct"/>
            <w:shd w:val="clear" w:color="auto" w:fill="auto"/>
            <w:noWrap/>
            <w:vAlign w:val="center"/>
          </w:tcPr>
          <w:p w14:paraId="51757B43" w14:textId="77777777" w:rsidR="004B0B10" w:rsidRPr="00D11C11" w:rsidRDefault="004B0B10" w:rsidP="00CA7BDA">
            <w:pPr>
              <w:spacing w:after="0" w:line="240" w:lineRule="auto"/>
              <w:jc w:val="center"/>
              <w:rPr>
                <w:rFonts w:eastAsia="Times New Roman"/>
                <w:lang w:val="es-DO" w:eastAsia="es-DO"/>
              </w:rPr>
            </w:pPr>
          </w:p>
        </w:tc>
        <w:tc>
          <w:tcPr>
            <w:tcW w:w="449" w:type="pct"/>
            <w:shd w:val="clear" w:color="auto" w:fill="auto"/>
            <w:noWrap/>
            <w:vAlign w:val="center"/>
          </w:tcPr>
          <w:p w14:paraId="2306A29E" w14:textId="77777777" w:rsidR="004B0B10" w:rsidRPr="00D11C11" w:rsidRDefault="004B0B10" w:rsidP="00CA7BDA">
            <w:pPr>
              <w:spacing w:after="0" w:line="240" w:lineRule="auto"/>
              <w:jc w:val="center"/>
              <w:rPr>
                <w:rFonts w:eastAsia="Times New Roman"/>
                <w:lang w:val="es-DO" w:eastAsia="es-DO"/>
              </w:rPr>
            </w:pPr>
          </w:p>
        </w:tc>
        <w:tc>
          <w:tcPr>
            <w:tcW w:w="449" w:type="pct"/>
            <w:shd w:val="clear" w:color="auto" w:fill="auto"/>
            <w:noWrap/>
            <w:vAlign w:val="center"/>
          </w:tcPr>
          <w:p w14:paraId="509942BE" w14:textId="77777777" w:rsidR="004B0B10" w:rsidRPr="00D11C11" w:rsidRDefault="004B0B10" w:rsidP="00CA7BDA">
            <w:pPr>
              <w:spacing w:after="0" w:line="240" w:lineRule="auto"/>
              <w:jc w:val="center"/>
              <w:rPr>
                <w:rFonts w:eastAsia="Times New Roman"/>
                <w:lang w:val="es-DO" w:eastAsia="es-DO"/>
              </w:rPr>
            </w:pPr>
          </w:p>
        </w:tc>
        <w:tc>
          <w:tcPr>
            <w:tcW w:w="435" w:type="pct"/>
            <w:shd w:val="clear" w:color="auto" w:fill="auto"/>
            <w:noWrap/>
            <w:vAlign w:val="center"/>
          </w:tcPr>
          <w:p w14:paraId="22A24778" w14:textId="77777777" w:rsidR="004B0B10" w:rsidRPr="00D11C11" w:rsidRDefault="004B0B10" w:rsidP="00CA7BDA">
            <w:pPr>
              <w:spacing w:after="0" w:line="240" w:lineRule="auto"/>
              <w:jc w:val="center"/>
              <w:rPr>
                <w:rFonts w:eastAsia="Times New Roman"/>
                <w:lang w:val="es-DO" w:eastAsia="es-DO"/>
              </w:rPr>
            </w:pPr>
          </w:p>
        </w:tc>
        <w:tc>
          <w:tcPr>
            <w:tcW w:w="476" w:type="pct"/>
            <w:shd w:val="clear" w:color="auto" w:fill="auto"/>
            <w:noWrap/>
            <w:vAlign w:val="center"/>
          </w:tcPr>
          <w:p w14:paraId="469C9545" w14:textId="2BB64095" w:rsidR="004B0B10" w:rsidRDefault="004B0B10" w:rsidP="00CA7BDA">
            <w:pPr>
              <w:spacing w:after="0" w:line="240" w:lineRule="auto"/>
              <w:jc w:val="center"/>
              <w:rPr>
                <w:rFonts w:eastAsia="Times New Roman"/>
                <w:lang w:val="es-DO" w:eastAsia="es-DO"/>
              </w:rPr>
            </w:pPr>
            <w:r>
              <w:rPr>
                <w:rFonts w:eastAsia="Times New Roman"/>
                <w:lang w:val="es-DO" w:eastAsia="es-DO"/>
              </w:rPr>
              <w:t>N/A</w:t>
            </w:r>
          </w:p>
        </w:tc>
      </w:tr>
      <w:tr w:rsidR="007400C6" w:rsidRPr="00D13B4F" w14:paraId="550B7138" w14:textId="77777777" w:rsidTr="007400C6">
        <w:trPr>
          <w:trHeight w:val="331"/>
        </w:trPr>
        <w:tc>
          <w:tcPr>
            <w:tcW w:w="489" w:type="pct"/>
            <w:shd w:val="clear" w:color="auto" w:fill="auto"/>
            <w:vAlign w:val="center"/>
          </w:tcPr>
          <w:p w14:paraId="67FA3AF0" w14:textId="1D5E260E" w:rsidR="00D13B4F" w:rsidRPr="00D13B4F" w:rsidRDefault="00D13B4F" w:rsidP="003A11A2">
            <w:pPr>
              <w:spacing w:after="0" w:line="240" w:lineRule="auto"/>
              <w:rPr>
                <w:rFonts w:eastAsia="Times New Roman"/>
                <w:b/>
                <w:bCs/>
                <w:lang w:val="es-DO" w:eastAsia="es-DO"/>
              </w:rPr>
            </w:pPr>
            <w:r w:rsidRPr="00D13B4F">
              <w:rPr>
                <w:rFonts w:eastAsia="Times New Roman"/>
                <w:b/>
                <w:bCs/>
                <w:lang w:val="es-DO" w:eastAsia="es-DO"/>
              </w:rPr>
              <w:t xml:space="preserve">Readecuación de los espacios </w:t>
            </w:r>
            <w:r w:rsidRPr="00D13B4F">
              <w:rPr>
                <w:rFonts w:eastAsia="Times New Roman"/>
                <w:b/>
                <w:bCs/>
                <w:lang w:val="es-DO" w:eastAsia="es-DO"/>
              </w:rPr>
              <w:lastRenderedPageBreak/>
              <w:t>institucionales</w:t>
            </w:r>
          </w:p>
        </w:tc>
        <w:tc>
          <w:tcPr>
            <w:tcW w:w="193" w:type="pct"/>
            <w:shd w:val="clear" w:color="auto" w:fill="auto"/>
            <w:noWrap/>
            <w:vAlign w:val="center"/>
          </w:tcPr>
          <w:p w14:paraId="05B3FCE1" w14:textId="77777777" w:rsidR="00D13B4F" w:rsidRPr="00D13B4F" w:rsidRDefault="00D13B4F" w:rsidP="003A11A2">
            <w:pPr>
              <w:spacing w:after="0" w:line="240" w:lineRule="auto"/>
              <w:jc w:val="right"/>
              <w:rPr>
                <w:rFonts w:eastAsia="Times New Roman"/>
                <w:lang w:val="es-DO" w:eastAsia="es-DO"/>
              </w:rPr>
            </w:pPr>
          </w:p>
        </w:tc>
        <w:tc>
          <w:tcPr>
            <w:tcW w:w="238" w:type="pct"/>
            <w:shd w:val="clear" w:color="auto" w:fill="auto"/>
            <w:noWrap/>
            <w:vAlign w:val="center"/>
          </w:tcPr>
          <w:p w14:paraId="64F90898" w14:textId="77777777" w:rsidR="00D13B4F" w:rsidRPr="00D13B4F" w:rsidRDefault="00D13B4F" w:rsidP="003A11A2">
            <w:pPr>
              <w:spacing w:after="0" w:line="240" w:lineRule="auto"/>
              <w:jc w:val="right"/>
              <w:rPr>
                <w:rFonts w:eastAsia="Times New Roman"/>
                <w:lang w:val="es-DO" w:eastAsia="es-DO"/>
              </w:rPr>
            </w:pPr>
          </w:p>
        </w:tc>
        <w:tc>
          <w:tcPr>
            <w:tcW w:w="449" w:type="pct"/>
            <w:shd w:val="clear" w:color="auto" w:fill="auto"/>
            <w:noWrap/>
            <w:vAlign w:val="center"/>
          </w:tcPr>
          <w:p w14:paraId="40CBACA6" w14:textId="77777777" w:rsidR="00D13B4F" w:rsidRPr="00D13B4F" w:rsidRDefault="00D13B4F" w:rsidP="003A11A2">
            <w:pPr>
              <w:spacing w:after="0" w:line="240" w:lineRule="auto"/>
              <w:jc w:val="right"/>
              <w:rPr>
                <w:rFonts w:eastAsia="Times New Roman"/>
                <w:lang w:val="es-DO" w:eastAsia="es-DO"/>
              </w:rPr>
            </w:pPr>
          </w:p>
        </w:tc>
        <w:tc>
          <w:tcPr>
            <w:tcW w:w="178" w:type="pct"/>
            <w:shd w:val="clear" w:color="auto" w:fill="auto"/>
            <w:noWrap/>
            <w:vAlign w:val="center"/>
          </w:tcPr>
          <w:p w14:paraId="60AB38B1" w14:textId="77777777" w:rsidR="00D13B4F" w:rsidRPr="00D13B4F" w:rsidRDefault="00D13B4F" w:rsidP="003A11A2">
            <w:pPr>
              <w:spacing w:after="0" w:line="240" w:lineRule="auto"/>
              <w:jc w:val="right"/>
              <w:rPr>
                <w:rFonts w:eastAsia="Times New Roman"/>
                <w:lang w:val="es-DO" w:eastAsia="es-DO"/>
              </w:rPr>
            </w:pPr>
          </w:p>
        </w:tc>
        <w:tc>
          <w:tcPr>
            <w:tcW w:w="393" w:type="pct"/>
            <w:shd w:val="clear" w:color="auto" w:fill="auto"/>
            <w:noWrap/>
            <w:vAlign w:val="center"/>
          </w:tcPr>
          <w:p w14:paraId="23AAB6B8" w14:textId="77777777" w:rsidR="00D13B4F" w:rsidRPr="00D13B4F" w:rsidRDefault="00D13B4F" w:rsidP="003A11A2">
            <w:pPr>
              <w:spacing w:after="0" w:line="240" w:lineRule="auto"/>
              <w:jc w:val="right"/>
              <w:rPr>
                <w:rFonts w:eastAsia="Times New Roman"/>
                <w:lang w:val="es-DO" w:eastAsia="es-DO"/>
              </w:rPr>
            </w:pPr>
          </w:p>
        </w:tc>
        <w:tc>
          <w:tcPr>
            <w:tcW w:w="476" w:type="pct"/>
            <w:shd w:val="clear" w:color="auto" w:fill="auto"/>
            <w:noWrap/>
            <w:vAlign w:val="center"/>
          </w:tcPr>
          <w:p w14:paraId="67307135" w14:textId="77777777" w:rsidR="00D13B4F" w:rsidRPr="00D13B4F" w:rsidRDefault="00D13B4F" w:rsidP="003A11A2">
            <w:pPr>
              <w:spacing w:after="0" w:line="240" w:lineRule="auto"/>
              <w:jc w:val="right"/>
              <w:rPr>
                <w:rFonts w:eastAsia="Times New Roman"/>
                <w:lang w:val="es-DO" w:eastAsia="es-DO"/>
              </w:rPr>
            </w:pPr>
          </w:p>
        </w:tc>
        <w:tc>
          <w:tcPr>
            <w:tcW w:w="170" w:type="pct"/>
            <w:shd w:val="clear" w:color="auto" w:fill="auto"/>
            <w:noWrap/>
            <w:vAlign w:val="center"/>
          </w:tcPr>
          <w:p w14:paraId="4873D937" w14:textId="77777777" w:rsidR="00D13B4F" w:rsidRPr="00D11C11" w:rsidRDefault="00D13B4F" w:rsidP="003A11A2">
            <w:pPr>
              <w:spacing w:after="0" w:line="240" w:lineRule="auto"/>
              <w:jc w:val="right"/>
              <w:rPr>
                <w:rFonts w:eastAsia="Times New Roman"/>
                <w:lang w:val="es-DO" w:eastAsia="es-DO"/>
              </w:rPr>
            </w:pPr>
          </w:p>
        </w:tc>
        <w:tc>
          <w:tcPr>
            <w:tcW w:w="212" w:type="pct"/>
            <w:shd w:val="clear" w:color="auto" w:fill="auto"/>
            <w:noWrap/>
            <w:vAlign w:val="center"/>
          </w:tcPr>
          <w:p w14:paraId="1F610074" w14:textId="77777777" w:rsidR="00D13B4F" w:rsidRPr="00D11C11" w:rsidRDefault="00D13B4F" w:rsidP="003A11A2">
            <w:pPr>
              <w:spacing w:after="0" w:line="240" w:lineRule="auto"/>
              <w:jc w:val="right"/>
              <w:rPr>
                <w:rFonts w:eastAsia="Times New Roman"/>
                <w:lang w:val="es-DO" w:eastAsia="es-DO"/>
              </w:rPr>
            </w:pPr>
          </w:p>
        </w:tc>
        <w:tc>
          <w:tcPr>
            <w:tcW w:w="393" w:type="pct"/>
            <w:shd w:val="clear" w:color="auto" w:fill="auto"/>
            <w:noWrap/>
            <w:vAlign w:val="center"/>
          </w:tcPr>
          <w:p w14:paraId="675B2413" w14:textId="77777777" w:rsidR="00D13B4F" w:rsidRPr="00D11C11" w:rsidRDefault="00D13B4F" w:rsidP="003A11A2">
            <w:pPr>
              <w:spacing w:after="0" w:line="240" w:lineRule="auto"/>
              <w:jc w:val="right"/>
              <w:rPr>
                <w:rFonts w:eastAsia="Times New Roman"/>
                <w:lang w:val="es-DO" w:eastAsia="es-DO"/>
              </w:rPr>
            </w:pPr>
          </w:p>
        </w:tc>
        <w:tc>
          <w:tcPr>
            <w:tcW w:w="449" w:type="pct"/>
            <w:shd w:val="clear" w:color="auto" w:fill="auto"/>
            <w:noWrap/>
            <w:vAlign w:val="center"/>
          </w:tcPr>
          <w:p w14:paraId="2E83E71D" w14:textId="77777777" w:rsidR="00D13B4F" w:rsidRPr="00D11C11" w:rsidRDefault="00D13B4F" w:rsidP="003A11A2">
            <w:pPr>
              <w:spacing w:after="0" w:line="240" w:lineRule="auto"/>
              <w:jc w:val="right"/>
              <w:rPr>
                <w:rFonts w:eastAsia="Times New Roman"/>
                <w:lang w:val="es-DO" w:eastAsia="es-DO"/>
              </w:rPr>
            </w:pPr>
          </w:p>
        </w:tc>
        <w:tc>
          <w:tcPr>
            <w:tcW w:w="449" w:type="pct"/>
            <w:shd w:val="clear" w:color="auto" w:fill="auto"/>
            <w:noWrap/>
            <w:vAlign w:val="center"/>
          </w:tcPr>
          <w:p w14:paraId="154600D4" w14:textId="57CADA12" w:rsidR="00D13B4F" w:rsidRPr="00D11C11" w:rsidRDefault="004B0B10" w:rsidP="004B0B10">
            <w:pPr>
              <w:spacing w:after="0" w:line="240" w:lineRule="auto"/>
              <w:jc w:val="center"/>
              <w:rPr>
                <w:rFonts w:eastAsia="Times New Roman"/>
                <w:lang w:val="es-DO" w:eastAsia="es-DO"/>
              </w:rPr>
            </w:pPr>
            <w:r>
              <w:rPr>
                <w:rFonts w:eastAsia="Times New Roman"/>
                <w:lang w:val="es-DO" w:eastAsia="es-DO"/>
              </w:rPr>
              <w:t>100%</w:t>
            </w:r>
          </w:p>
        </w:tc>
        <w:tc>
          <w:tcPr>
            <w:tcW w:w="435" w:type="pct"/>
            <w:shd w:val="clear" w:color="auto" w:fill="auto"/>
            <w:noWrap/>
            <w:vAlign w:val="center"/>
          </w:tcPr>
          <w:p w14:paraId="399A8ED2" w14:textId="77777777" w:rsidR="00D13B4F" w:rsidRPr="00D11C11" w:rsidRDefault="00D13B4F" w:rsidP="003A11A2">
            <w:pPr>
              <w:spacing w:after="0" w:line="240" w:lineRule="auto"/>
              <w:jc w:val="right"/>
              <w:rPr>
                <w:rFonts w:eastAsia="Times New Roman"/>
                <w:lang w:val="es-DO" w:eastAsia="es-DO"/>
              </w:rPr>
            </w:pPr>
          </w:p>
        </w:tc>
        <w:tc>
          <w:tcPr>
            <w:tcW w:w="476" w:type="pct"/>
            <w:shd w:val="clear" w:color="auto" w:fill="auto"/>
            <w:noWrap/>
            <w:vAlign w:val="center"/>
          </w:tcPr>
          <w:p w14:paraId="7965E4E7" w14:textId="35AA9BE5" w:rsidR="00D13B4F" w:rsidRPr="00D11C11" w:rsidRDefault="00627D3C" w:rsidP="00627D3C">
            <w:pPr>
              <w:spacing w:after="0" w:line="240" w:lineRule="auto"/>
              <w:jc w:val="center"/>
              <w:rPr>
                <w:rFonts w:eastAsia="Times New Roman"/>
                <w:lang w:val="es-DO" w:eastAsia="es-DO"/>
              </w:rPr>
            </w:pPr>
            <w:r>
              <w:rPr>
                <w:rFonts w:eastAsia="Times New Roman"/>
                <w:lang w:val="es-DO" w:eastAsia="es-DO"/>
              </w:rPr>
              <w:t>100%</w:t>
            </w:r>
          </w:p>
        </w:tc>
      </w:tr>
      <w:tr w:rsidR="007400C6" w:rsidRPr="00D13B4F" w14:paraId="0349D9E1" w14:textId="77777777" w:rsidTr="007400C6">
        <w:trPr>
          <w:trHeight w:val="331"/>
        </w:trPr>
        <w:tc>
          <w:tcPr>
            <w:tcW w:w="489" w:type="pct"/>
            <w:shd w:val="clear" w:color="auto" w:fill="auto"/>
            <w:vAlign w:val="center"/>
          </w:tcPr>
          <w:p w14:paraId="2D968F5B" w14:textId="716933F0" w:rsidR="004B0B10" w:rsidRPr="004B0B10" w:rsidRDefault="004B0B10" w:rsidP="003A11A2">
            <w:pPr>
              <w:spacing w:after="0" w:line="240" w:lineRule="auto"/>
              <w:rPr>
                <w:rFonts w:eastAsia="Times New Roman"/>
                <w:lang w:val="es-DO" w:eastAsia="es-DO"/>
              </w:rPr>
            </w:pPr>
            <w:r>
              <w:rPr>
                <w:rFonts w:eastAsia="Times New Roman"/>
                <w:lang w:val="es-DO" w:eastAsia="es-DO"/>
              </w:rPr>
              <w:t xml:space="preserve">Inversión Proyecto </w:t>
            </w:r>
            <w:r w:rsidR="00627D3C">
              <w:rPr>
                <w:rFonts w:eastAsia="Times New Roman"/>
                <w:lang w:val="es-DO" w:eastAsia="es-DO"/>
              </w:rPr>
              <w:t xml:space="preserve">- </w:t>
            </w:r>
            <w:r w:rsidR="00627D3C" w:rsidRPr="00627D3C">
              <w:rPr>
                <w:lang w:val="es-DO"/>
              </w:rPr>
              <w:t>Readecuación</w:t>
            </w:r>
            <w:r w:rsidR="00627D3C" w:rsidRPr="00627D3C">
              <w:rPr>
                <w:rFonts w:eastAsia="Times New Roman"/>
                <w:lang w:val="es-DO" w:eastAsia="es-DO"/>
              </w:rPr>
              <w:t xml:space="preserve"> de los espacios institucionales</w:t>
            </w:r>
          </w:p>
        </w:tc>
        <w:tc>
          <w:tcPr>
            <w:tcW w:w="193" w:type="pct"/>
            <w:shd w:val="clear" w:color="auto" w:fill="auto"/>
            <w:noWrap/>
            <w:vAlign w:val="center"/>
          </w:tcPr>
          <w:p w14:paraId="0406512E" w14:textId="77777777" w:rsidR="004B0B10" w:rsidRPr="00D13B4F" w:rsidRDefault="004B0B10" w:rsidP="003A11A2">
            <w:pPr>
              <w:spacing w:after="0" w:line="240" w:lineRule="auto"/>
              <w:jc w:val="right"/>
              <w:rPr>
                <w:rFonts w:eastAsia="Times New Roman"/>
                <w:lang w:val="es-DO" w:eastAsia="es-DO"/>
              </w:rPr>
            </w:pPr>
          </w:p>
        </w:tc>
        <w:tc>
          <w:tcPr>
            <w:tcW w:w="238" w:type="pct"/>
            <w:shd w:val="clear" w:color="auto" w:fill="auto"/>
            <w:noWrap/>
            <w:vAlign w:val="center"/>
          </w:tcPr>
          <w:p w14:paraId="01651141" w14:textId="77777777" w:rsidR="004B0B10" w:rsidRPr="00D13B4F" w:rsidRDefault="004B0B10" w:rsidP="003A11A2">
            <w:pPr>
              <w:spacing w:after="0" w:line="240" w:lineRule="auto"/>
              <w:jc w:val="right"/>
              <w:rPr>
                <w:rFonts w:eastAsia="Times New Roman"/>
                <w:lang w:val="es-DO" w:eastAsia="es-DO"/>
              </w:rPr>
            </w:pPr>
          </w:p>
        </w:tc>
        <w:tc>
          <w:tcPr>
            <w:tcW w:w="449" w:type="pct"/>
            <w:shd w:val="clear" w:color="auto" w:fill="auto"/>
            <w:noWrap/>
            <w:vAlign w:val="center"/>
          </w:tcPr>
          <w:p w14:paraId="1D539F4A" w14:textId="77777777" w:rsidR="004B0B10" w:rsidRPr="00D13B4F" w:rsidRDefault="004B0B10" w:rsidP="003A11A2">
            <w:pPr>
              <w:spacing w:after="0" w:line="240" w:lineRule="auto"/>
              <w:jc w:val="right"/>
              <w:rPr>
                <w:rFonts w:eastAsia="Times New Roman"/>
                <w:lang w:val="es-DO" w:eastAsia="es-DO"/>
              </w:rPr>
            </w:pPr>
          </w:p>
        </w:tc>
        <w:tc>
          <w:tcPr>
            <w:tcW w:w="178" w:type="pct"/>
            <w:shd w:val="clear" w:color="auto" w:fill="auto"/>
            <w:noWrap/>
            <w:vAlign w:val="center"/>
          </w:tcPr>
          <w:p w14:paraId="2C12A7F6" w14:textId="77777777" w:rsidR="004B0B10" w:rsidRPr="00D13B4F" w:rsidRDefault="004B0B10" w:rsidP="003A11A2">
            <w:pPr>
              <w:spacing w:after="0" w:line="240" w:lineRule="auto"/>
              <w:jc w:val="right"/>
              <w:rPr>
                <w:rFonts w:eastAsia="Times New Roman"/>
                <w:lang w:val="es-DO" w:eastAsia="es-DO"/>
              </w:rPr>
            </w:pPr>
          </w:p>
        </w:tc>
        <w:tc>
          <w:tcPr>
            <w:tcW w:w="393" w:type="pct"/>
            <w:shd w:val="clear" w:color="auto" w:fill="auto"/>
            <w:noWrap/>
            <w:vAlign w:val="center"/>
          </w:tcPr>
          <w:p w14:paraId="62C251AF" w14:textId="77777777" w:rsidR="004B0B10" w:rsidRPr="00D13B4F" w:rsidRDefault="004B0B10" w:rsidP="003A11A2">
            <w:pPr>
              <w:spacing w:after="0" w:line="240" w:lineRule="auto"/>
              <w:jc w:val="right"/>
              <w:rPr>
                <w:rFonts w:eastAsia="Times New Roman"/>
                <w:lang w:val="es-DO" w:eastAsia="es-DO"/>
              </w:rPr>
            </w:pPr>
          </w:p>
        </w:tc>
        <w:tc>
          <w:tcPr>
            <w:tcW w:w="476" w:type="pct"/>
            <w:shd w:val="clear" w:color="auto" w:fill="auto"/>
            <w:noWrap/>
            <w:vAlign w:val="center"/>
          </w:tcPr>
          <w:p w14:paraId="53C48971" w14:textId="77777777" w:rsidR="004B0B10" w:rsidRPr="00D13B4F" w:rsidRDefault="004B0B10" w:rsidP="003A11A2">
            <w:pPr>
              <w:spacing w:after="0" w:line="240" w:lineRule="auto"/>
              <w:jc w:val="right"/>
              <w:rPr>
                <w:rFonts w:eastAsia="Times New Roman"/>
                <w:lang w:val="es-DO" w:eastAsia="es-DO"/>
              </w:rPr>
            </w:pPr>
          </w:p>
        </w:tc>
        <w:tc>
          <w:tcPr>
            <w:tcW w:w="170" w:type="pct"/>
            <w:shd w:val="clear" w:color="auto" w:fill="auto"/>
            <w:noWrap/>
            <w:vAlign w:val="center"/>
          </w:tcPr>
          <w:p w14:paraId="35D9948F" w14:textId="77777777" w:rsidR="004B0B10" w:rsidRPr="00D11C11" w:rsidRDefault="004B0B10" w:rsidP="003A11A2">
            <w:pPr>
              <w:spacing w:after="0" w:line="240" w:lineRule="auto"/>
              <w:jc w:val="right"/>
              <w:rPr>
                <w:rFonts w:eastAsia="Times New Roman"/>
                <w:lang w:val="es-DO" w:eastAsia="es-DO"/>
              </w:rPr>
            </w:pPr>
          </w:p>
        </w:tc>
        <w:tc>
          <w:tcPr>
            <w:tcW w:w="212" w:type="pct"/>
            <w:shd w:val="clear" w:color="auto" w:fill="auto"/>
            <w:noWrap/>
            <w:vAlign w:val="center"/>
          </w:tcPr>
          <w:p w14:paraId="772509FD" w14:textId="77777777" w:rsidR="004B0B10" w:rsidRPr="00D11C11" w:rsidRDefault="004B0B10" w:rsidP="003A11A2">
            <w:pPr>
              <w:spacing w:after="0" w:line="240" w:lineRule="auto"/>
              <w:jc w:val="right"/>
              <w:rPr>
                <w:rFonts w:eastAsia="Times New Roman"/>
                <w:lang w:val="es-DO" w:eastAsia="es-DO"/>
              </w:rPr>
            </w:pPr>
          </w:p>
        </w:tc>
        <w:tc>
          <w:tcPr>
            <w:tcW w:w="393" w:type="pct"/>
            <w:shd w:val="clear" w:color="auto" w:fill="auto"/>
            <w:noWrap/>
            <w:vAlign w:val="center"/>
          </w:tcPr>
          <w:p w14:paraId="62FD1928" w14:textId="77777777" w:rsidR="004B0B10" w:rsidRPr="00D11C11" w:rsidRDefault="004B0B10" w:rsidP="003A11A2">
            <w:pPr>
              <w:spacing w:after="0" w:line="240" w:lineRule="auto"/>
              <w:jc w:val="right"/>
              <w:rPr>
                <w:rFonts w:eastAsia="Times New Roman"/>
                <w:lang w:val="es-DO" w:eastAsia="es-DO"/>
              </w:rPr>
            </w:pPr>
          </w:p>
        </w:tc>
        <w:tc>
          <w:tcPr>
            <w:tcW w:w="449" w:type="pct"/>
            <w:shd w:val="clear" w:color="auto" w:fill="auto"/>
            <w:noWrap/>
            <w:vAlign w:val="center"/>
          </w:tcPr>
          <w:p w14:paraId="22BB0340" w14:textId="77777777" w:rsidR="004B0B10" w:rsidRPr="00D11C11" w:rsidRDefault="004B0B10" w:rsidP="003A11A2">
            <w:pPr>
              <w:spacing w:after="0" w:line="240" w:lineRule="auto"/>
              <w:jc w:val="right"/>
              <w:rPr>
                <w:rFonts w:eastAsia="Times New Roman"/>
                <w:lang w:val="es-DO" w:eastAsia="es-DO"/>
              </w:rPr>
            </w:pPr>
          </w:p>
        </w:tc>
        <w:tc>
          <w:tcPr>
            <w:tcW w:w="449" w:type="pct"/>
            <w:shd w:val="clear" w:color="auto" w:fill="auto"/>
            <w:noWrap/>
            <w:vAlign w:val="center"/>
          </w:tcPr>
          <w:p w14:paraId="7B78816B" w14:textId="77777777" w:rsidR="004B0B10" w:rsidRDefault="004B0B10" w:rsidP="004B0B10">
            <w:pPr>
              <w:spacing w:after="0" w:line="240" w:lineRule="auto"/>
              <w:jc w:val="center"/>
              <w:rPr>
                <w:rFonts w:eastAsia="Times New Roman"/>
                <w:lang w:val="es-DO" w:eastAsia="es-DO"/>
              </w:rPr>
            </w:pPr>
          </w:p>
        </w:tc>
        <w:tc>
          <w:tcPr>
            <w:tcW w:w="435" w:type="pct"/>
            <w:shd w:val="clear" w:color="auto" w:fill="auto"/>
            <w:noWrap/>
            <w:vAlign w:val="center"/>
          </w:tcPr>
          <w:p w14:paraId="5909D789" w14:textId="77777777" w:rsidR="004B0B10" w:rsidRPr="00D11C11" w:rsidRDefault="004B0B10" w:rsidP="003A11A2">
            <w:pPr>
              <w:spacing w:after="0" w:line="240" w:lineRule="auto"/>
              <w:jc w:val="right"/>
              <w:rPr>
                <w:rFonts w:eastAsia="Times New Roman"/>
                <w:lang w:val="es-DO" w:eastAsia="es-DO"/>
              </w:rPr>
            </w:pPr>
          </w:p>
        </w:tc>
        <w:tc>
          <w:tcPr>
            <w:tcW w:w="476" w:type="pct"/>
            <w:shd w:val="clear" w:color="auto" w:fill="auto"/>
            <w:noWrap/>
            <w:vAlign w:val="center"/>
          </w:tcPr>
          <w:p w14:paraId="699E91BC" w14:textId="72F72077" w:rsidR="004B0B10" w:rsidRPr="00D11C11" w:rsidRDefault="00627D3C" w:rsidP="00627D3C">
            <w:pPr>
              <w:spacing w:after="0" w:line="240" w:lineRule="auto"/>
              <w:jc w:val="center"/>
              <w:rPr>
                <w:rFonts w:eastAsia="Times New Roman"/>
                <w:lang w:val="es-DO" w:eastAsia="es-DO"/>
              </w:rPr>
            </w:pPr>
            <w:r>
              <w:rPr>
                <w:rFonts w:eastAsia="Times New Roman"/>
                <w:lang w:val="es-DO" w:eastAsia="es-DO"/>
              </w:rPr>
              <w:t>RD$34,000,000.00</w:t>
            </w:r>
          </w:p>
        </w:tc>
      </w:tr>
      <w:tr w:rsidR="007400C6" w:rsidRPr="00D13B4F" w14:paraId="04F78FF1" w14:textId="77777777" w:rsidTr="007400C6">
        <w:trPr>
          <w:trHeight w:val="331"/>
        </w:trPr>
        <w:tc>
          <w:tcPr>
            <w:tcW w:w="489" w:type="pct"/>
            <w:shd w:val="clear" w:color="auto" w:fill="auto"/>
            <w:vAlign w:val="center"/>
          </w:tcPr>
          <w:p w14:paraId="40DDDBE7" w14:textId="1EDFDC1E" w:rsidR="00D13B4F" w:rsidRPr="00D13B4F" w:rsidRDefault="005A6CAB" w:rsidP="003A11A2">
            <w:pPr>
              <w:spacing w:after="0" w:line="240" w:lineRule="auto"/>
              <w:rPr>
                <w:rFonts w:eastAsia="Times New Roman"/>
                <w:b/>
                <w:bCs/>
                <w:lang w:val="es-DO" w:eastAsia="es-DO"/>
              </w:rPr>
            </w:pPr>
            <w:r w:rsidRPr="005A6CAB">
              <w:rPr>
                <w:rFonts w:eastAsia="Times New Roman"/>
                <w:b/>
                <w:bCs/>
                <w:lang w:val="es-DO" w:eastAsia="es-DO"/>
              </w:rPr>
              <w:t>Certificación del Programa de Seguridad y Salud en el Trabajo</w:t>
            </w:r>
          </w:p>
        </w:tc>
        <w:tc>
          <w:tcPr>
            <w:tcW w:w="193" w:type="pct"/>
            <w:shd w:val="clear" w:color="auto" w:fill="auto"/>
            <w:noWrap/>
            <w:vAlign w:val="center"/>
          </w:tcPr>
          <w:p w14:paraId="1A4A0171" w14:textId="77777777" w:rsidR="00D13B4F" w:rsidRPr="00D13B4F" w:rsidRDefault="00D13B4F" w:rsidP="003A11A2">
            <w:pPr>
              <w:spacing w:after="0" w:line="240" w:lineRule="auto"/>
              <w:jc w:val="right"/>
              <w:rPr>
                <w:rFonts w:eastAsia="Times New Roman"/>
                <w:lang w:val="es-DO" w:eastAsia="es-DO"/>
              </w:rPr>
            </w:pPr>
          </w:p>
        </w:tc>
        <w:tc>
          <w:tcPr>
            <w:tcW w:w="238" w:type="pct"/>
            <w:shd w:val="clear" w:color="auto" w:fill="auto"/>
            <w:noWrap/>
            <w:vAlign w:val="center"/>
          </w:tcPr>
          <w:p w14:paraId="2425FB55" w14:textId="77777777" w:rsidR="00D13B4F" w:rsidRPr="00D13B4F" w:rsidRDefault="00D13B4F" w:rsidP="003A11A2">
            <w:pPr>
              <w:spacing w:after="0" w:line="240" w:lineRule="auto"/>
              <w:jc w:val="right"/>
              <w:rPr>
                <w:rFonts w:eastAsia="Times New Roman"/>
                <w:lang w:val="es-DO" w:eastAsia="es-DO"/>
              </w:rPr>
            </w:pPr>
          </w:p>
        </w:tc>
        <w:tc>
          <w:tcPr>
            <w:tcW w:w="449" w:type="pct"/>
            <w:shd w:val="clear" w:color="auto" w:fill="auto"/>
            <w:noWrap/>
            <w:vAlign w:val="center"/>
          </w:tcPr>
          <w:p w14:paraId="6027B6F5" w14:textId="77777777" w:rsidR="00D13B4F" w:rsidRPr="00D13B4F" w:rsidRDefault="00D13B4F" w:rsidP="003A11A2">
            <w:pPr>
              <w:spacing w:after="0" w:line="240" w:lineRule="auto"/>
              <w:jc w:val="right"/>
              <w:rPr>
                <w:rFonts w:eastAsia="Times New Roman"/>
                <w:lang w:val="es-DO" w:eastAsia="es-DO"/>
              </w:rPr>
            </w:pPr>
          </w:p>
        </w:tc>
        <w:tc>
          <w:tcPr>
            <w:tcW w:w="178" w:type="pct"/>
            <w:shd w:val="clear" w:color="auto" w:fill="auto"/>
            <w:noWrap/>
            <w:vAlign w:val="center"/>
          </w:tcPr>
          <w:p w14:paraId="6EA2AEFE" w14:textId="77777777" w:rsidR="00D13B4F" w:rsidRPr="00D13B4F" w:rsidRDefault="00D13B4F" w:rsidP="003A11A2">
            <w:pPr>
              <w:spacing w:after="0" w:line="240" w:lineRule="auto"/>
              <w:jc w:val="right"/>
              <w:rPr>
                <w:rFonts w:eastAsia="Times New Roman"/>
                <w:lang w:val="es-DO" w:eastAsia="es-DO"/>
              </w:rPr>
            </w:pPr>
          </w:p>
        </w:tc>
        <w:tc>
          <w:tcPr>
            <w:tcW w:w="393" w:type="pct"/>
            <w:shd w:val="clear" w:color="auto" w:fill="auto"/>
            <w:noWrap/>
            <w:vAlign w:val="center"/>
          </w:tcPr>
          <w:p w14:paraId="722025E1" w14:textId="5B38435B" w:rsidR="00D13B4F" w:rsidRPr="00D13B4F" w:rsidRDefault="007400C6" w:rsidP="007400C6">
            <w:pPr>
              <w:spacing w:after="0" w:line="240" w:lineRule="auto"/>
              <w:jc w:val="center"/>
              <w:rPr>
                <w:rFonts w:eastAsia="Times New Roman"/>
                <w:lang w:val="es-DO" w:eastAsia="es-DO"/>
              </w:rPr>
            </w:pPr>
            <w:r>
              <w:rPr>
                <w:rFonts w:eastAsia="Times New Roman"/>
                <w:lang w:val="es-DO" w:eastAsia="es-DO"/>
              </w:rPr>
              <w:t>100%</w:t>
            </w:r>
          </w:p>
        </w:tc>
        <w:tc>
          <w:tcPr>
            <w:tcW w:w="476" w:type="pct"/>
            <w:shd w:val="clear" w:color="auto" w:fill="auto"/>
            <w:noWrap/>
            <w:vAlign w:val="center"/>
          </w:tcPr>
          <w:p w14:paraId="565A203F" w14:textId="77777777" w:rsidR="00D13B4F" w:rsidRPr="00D13B4F" w:rsidRDefault="00D13B4F" w:rsidP="003A11A2">
            <w:pPr>
              <w:spacing w:after="0" w:line="240" w:lineRule="auto"/>
              <w:jc w:val="right"/>
              <w:rPr>
                <w:rFonts w:eastAsia="Times New Roman"/>
                <w:lang w:val="es-DO" w:eastAsia="es-DO"/>
              </w:rPr>
            </w:pPr>
          </w:p>
        </w:tc>
        <w:tc>
          <w:tcPr>
            <w:tcW w:w="170" w:type="pct"/>
            <w:shd w:val="clear" w:color="auto" w:fill="auto"/>
            <w:noWrap/>
            <w:vAlign w:val="center"/>
          </w:tcPr>
          <w:p w14:paraId="5A94064C" w14:textId="77777777" w:rsidR="00D13B4F" w:rsidRPr="00D11C11" w:rsidRDefault="00D13B4F" w:rsidP="003A11A2">
            <w:pPr>
              <w:spacing w:after="0" w:line="240" w:lineRule="auto"/>
              <w:jc w:val="right"/>
              <w:rPr>
                <w:rFonts w:eastAsia="Times New Roman"/>
                <w:lang w:val="es-DO" w:eastAsia="es-DO"/>
              </w:rPr>
            </w:pPr>
          </w:p>
        </w:tc>
        <w:tc>
          <w:tcPr>
            <w:tcW w:w="212" w:type="pct"/>
            <w:shd w:val="clear" w:color="auto" w:fill="auto"/>
            <w:noWrap/>
            <w:vAlign w:val="center"/>
          </w:tcPr>
          <w:p w14:paraId="7BC283A6" w14:textId="77777777" w:rsidR="00D13B4F" w:rsidRPr="00D11C11" w:rsidRDefault="00D13B4F" w:rsidP="003A11A2">
            <w:pPr>
              <w:spacing w:after="0" w:line="240" w:lineRule="auto"/>
              <w:jc w:val="right"/>
              <w:rPr>
                <w:rFonts w:eastAsia="Times New Roman"/>
                <w:lang w:val="es-DO" w:eastAsia="es-DO"/>
              </w:rPr>
            </w:pPr>
          </w:p>
        </w:tc>
        <w:tc>
          <w:tcPr>
            <w:tcW w:w="393" w:type="pct"/>
            <w:shd w:val="clear" w:color="auto" w:fill="auto"/>
            <w:noWrap/>
            <w:vAlign w:val="center"/>
          </w:tcPr>
          <w:p w14:paraId="704162AD" w14:textId="77777777" w:rsidR="00D13B4F" w:rsidRPr="00D11C11" w:rsidRDefault="00D13B4F" w:rsidP="003A11A2">
            <w:pPr>
              <w:spacing w:after="0" w:line="240" w:lineRule="auto"/>
              <w:jc w:val="right"/>
              <w:rPr>
                <w:rFonts w:eastAsia="Times New Roman"/>
                <w:lang w:val="es-DO" w:eastAsia="es-DO"/>
              </w:rPr>
            </w:pPr>
          </w:p>
        </w:tc>
        <w:tc>
          <w:tcPr>
            <w:tcW w:w="449" w:type="pct"/>
            <w:shd w:val="clear" w:color="auto" w:fill="auto"/>
            <w:noWrap/>
            <w:vAlign w:val="center"/>
          </w:tcPr>
          <w:p w14:paraId="17736BEE" w14:textId="77777777" w:rsidR="00D13B4F" w:rsidRPr="00D11C11" w:rsidRDefault="00D13B4F" w:rsidP="003A11A2">
            <w:pPr>
              <w:spacing w:after="0" w:line="240" w:lineRule="auto"/>
              <w:jc w:val="right"/>
              <w:rPr>
                <w:rFonts w:eastAsia="Times New Roman"/>
                <w:lang w:val="es-DO" w:eastAsia="es-DO"/>
              </w:rPr>
            </w:pPr>
          </w:p>
        </w:tc>
        <w:tc>
          <w:tcPr>
            <w:tcW w:w="449" w:type="pct"/>
            <w:shd w:val="clear" w:color="auto" w:fill="auto"/>
            <w:noWrap/>
            <w:vAlign w:val="center"/>
          </w:tcPr>
          <w:p w14:paraId="42003E49" w14:textId="77777777" w:rsidR="00D13B4F" w:rsidRPr="00D11C11" w:rsidRDefault="00D13B4F" w:rsidP="003A11A2">
            <w:pPr>
              <w:spacing w:after="0" w:line="240" w:lineRule="auto"/>
              <w:jc w:val="right"/>
              <w:rPr>
                <w:rFonts w:eastAsia="Times New Roman"/>
                <w:lang w:val="es-DO" w:eastAsia="es-DO"/>
              </w:rPr>
            </w:pPr>
          </w:p>
        </w:tc>
        <w:tc>
          <w:tcPr>
            <w:tcW w:w="435" w:type="pct"/>
            <w:shd w:val="clear" w:color="auto" w:fill="auto"/>
            <w:noWrap/>
            <w:vAlign w:val="center"/>
          </w:tcPr>
          <w:p w14:paraId="1E625289" w14:textId="77777777" w:rsidR="00D13B4F" w:rsidRPr="00D11C11" w:rsidRDefault="00D13B4F" w:rsidP="003A11A2">
            <w:pPr>
              <w:spacing w:after="0" w:line="240" w:lineRule="auto"/>
              <w:jc w:val="right"/>
              <w:rPr>
                <w:rFonts w:eastAsia="Times New Roman"/>
                <w:lang w:val="es-DO" w:eastAsia="es-DO"/>
              </w:rPr>
            </w:pPr>
          </w:p>
        </w:tc>
        <w:tc>
          <w:tcPr>
            <w:tcW w:w="476" w:type="pct"/>
            <w:shd w:val="clear" w:color="auto" w:fill="auto"/>
            <w:noWrap/>
            <w:vAlign w:val="center"/>
          </w:tcPr>
          <w:p w14:paraId="3D050758" w14:textId="2409B3A6" w:rsidR="00D13B4F" w:rsidRPr="00D11C11" w:rsidRDefault="007400C6" w:rsidP="007400C6">
            <w:pPr>
              <w:spacing w:after="0" w:line="240" w:lineRule="auto"/>
              <w:jc w:val="center"/>
              <w:rPr>
                <w:rFonts w:eastAsia="Times New Roman"/>
                <w:lang w:val="es-DO" w:eastAsia="es-DO"/>
              </w:rPr>
            </w:pPr>
            <w:r>
              <w:rPr>
                <w:rFonts w:eastAsia="Times New Roman"/>
                <w:lang w:val="es-DO" w:eastAsia="es-DO"/>
              </w:rPr>
              <w:t>100%</w:t>
            </w:r>
          </w:p>
        </w:tc>
      </w:tr>
      <w:tr w:rsidR="007400C6" w:rsidRPr="007400C6" w14:paraId="684C8C5F" w14:textId="77777777" w:rsidTr="007400C6">
        <w:trPr>
          <w:trHeight w:val="331"/>
        </w:trPr>
        <w:tc>
          <w:tcPr>
            <w:tcW w:w="489" w:type="pct"/>
            <w:shd w:val="clear" w:color="auto" w:fill="auto"/>
            <w:vAlign w:val="center"/>
          </w:tcPr>
          <w:p w14:paraId="5416D1DE" w14:textId="0615751A" w:rsidR="007400C6" w:rsidRPr="007400C6" w:rsidRDefault="007400C6" w:rsidP="003A11A2">
            <w:pPr>
              <w:spacing w:after="0" w:line="240" w:lineRule="auto"/>
              <w:rPr>
                <w:rFonts w:eastAsia="Times New Roman"/>
                <w:lang w:val="es-DO" w:eastAsia="es-DO"/>
              </w:rPr>
            </w:pPr>
            <w:r>
              <w:rPr>
                <w:rFonts w:eastAsia="Times New Roman"/>
                <w:lang w:val="es-DO" w:eastAsia="es-DO"/>
              </w:rPr>
              <w:t xml:space="preserve">Inversión Proyecto </w:t>
            </w:r>
            <w:r>
              <w:rPr>
                <w:rFonts w:eastAsia="Times New Roman"/>
                <w:lang w:val="es-DO" w:eastAsia="es-DO"/>
              </w:rPr>
              <w:lastRenderedPageBreak/>
              <w:t>-</w:t>
            </w:r>
            <w:r w:rsidRPr="007400C6">
              <w:rPr>
                <w:rFonts w:eastAsia="Times New Roman"/>
                <w:lang w:val="es-DO" w:eastAsia="es-DO"/>
              </w:rPr>
              <w:t>Certificación del Programa de Seguridad y Salud en el Trabajo</w:t>
            </w:r>
          </w:p>
        </w:tc>
        <w:tc>
          <w:tcPr>
            <w:tcW w:w="193" w:type="pct"/>
            <w:shd w:val="clear" w:color="auto" w:fill="auto"/>
            <w:noWrap/>
            <w:vAlign w:val="center"/>
          </w:tcPr>
          <w:p w14:paraId="0A7E11B6" w14:textId="77777777" w:rsidR="007400C6" w:rsidRPr="007400C6" w:rsidRDefault="007400C6" w:rsidP="003A11A2">
            <w:pPr>
              <w:spacing w:after="0" w:line="240" w:lineRule="auto"/>
              <w:jc w:val="right"/>
              <w:rPr>
                <w:rFonts w:eastAsia="Times New Roman"/>
                <w:lang w:val="es-DO" w:eastAsia="es-DO"/>
              </w:rPr>
            </w:pPr>
          </w:p>
        </w:tc>
        <w:tc>
          <w:tcPr>
            <w:tcW w:w="238" w:type="pct"/>
            <w:shd w:val="clear" w:color="auto" w:fill="auto"/>
            <w:noWrap/>
            <w:vAlign w:val="center"/>
          </w:tcPr>
          <w:p w14:paraId="217A215A" w14:textId="77777777" w:rsidR="007400C6" w:rsidRPr="007400C6" w:rsidRDefault="007400C6" w:rsidP="003A11A2">
            <w:pPr>
              <w:spacing w:after="0" w:line="240" w:lineRule="auto"/>
              <w:jc w:val="right"/>
              <w:rPr>
                <w:rFonts w:eastAsia="Times New Roman"/>
                <w:lang w:val="es-DO" w:eastAsia="es-DO"/>
              </w:rPr>
            </w:pPr>
          </w:p>
        </w:tc>
        <w:tc>
          <w:tcPr>
            <w:tcW w:w="449" w:type="pct"/>
            <w:shd w:val="clear" w:color="auto" w:fill="auto"/>
            <w:noWrap/>
            <w:vAlign w:val="center"/>
          </w:tcPr>
          <w:p w14:paraId="655E2FF1" w14:textId="77777777" w:rsidR="007400C6" w:rsidRPr="007400C6" w:rsidRDefault="007400C6" w:rsidP="003A11A2">
            <w:pPr>
              <w:spacing w:after="0" w:line="240" w:lineRule="auto"/>
              <w:jc w:val="right"/>
              <w:rPr>
                <w:rFonts w:eastAsia="Times New Roman"/>
                <w:lang w:val="es-DO" w:eastAsia="es-DO"/>
              </w:rPr>
            </w:pPr>
          </w:p>
        </w:tc>
        <w:tc>
          <w:tcPr>
            <w:tcW w:w="178" w:type="pct"/>
            <w:shd w:val="clear" w:color="auto" w:fill="auto"/>
            <w:noWrap/>
            <w:vAlign w:val="center"/>
          </w:tcPr>
          <w:p w14:paraId="69621DDE" w14:textId="77777777" w:rsidR="007400C6" w:rsidRPr="007400C6" w:rsidRDefault="007400C6" w:rsidP="003A11A2">
            <w:pPr>
              <w:spacing w:after="0" w:line="240" w:lineRule="auto"/>
              <w:jc w:val="right"/>
              <w:rPr>
                <w:rFonts w:eastAsia="Times New Roman"/>
                <w:lang w:val="es-DO" w:eastAsia="es-DO"/>
              </w:rPr>
            </w:pPr>
          </w:p>
        </w:tc>
        <w:tc>
          <w:tcPr>
            <w:tcW w:w="393" w:type="pct"/>
            <w:shd w:val="clear" w:color="auto" w:fill="auto"/>
            <w:noWrap/>
            <w:vAlign w:val="center"/>
          </w:tcPr>
          <w:p w14:paraId="7420CE5F" w14:textId="4846F69C" w:rsidR="007400C6" w:rsidRPr="007400C6" w:rsidRDefault="007400C6" w:rsidP="007400C6">
            <w:pPr>
              <w:spacing w:after="0" w:line="240" w:lineRule="auto"/>
              <w:jc w:val="center"/>
              <w:rPr>
                <w:rFonts w:eastAsia="Times New Roman"/>
                <w:lang w:val="es-DO" w:eastAsia="es-DO"/>
              </w:rPr>
            </w:pPr>
            <w:r>
              <w:rPr>
                <w:rFonts w:eastAsia="Times New Roman"/>
                <w:lang w:val="es-DO" w:eastAsia="es-DO"/>
              </w:rPr>
              <w:t>RD$300,000.00</w:t>
            </w:r>
          </w:p>
        </w:tc>
        <w:tc>
          <w:tcPr>
            <w:tcW w:w="476" w:type="pct"/>
            <w:shd w:val="clear" w:color="auto" w:fill="auto"/>
            <w:noWrap/>
            <w:vAlign w:val="center"/>
          </w:tcPr>
          <w:p w14:paraId="299A14F7" w14:textId="77777777" w:rsidR="007400C6" w:rsidRPr="007400C6" w:rsidRDefault="007400C6" w:rsidP="003A11A2">
            <w:pPr>
              <w:spacing w:after="0" w:line="240" w:lineRule="auto"/>
              <w:jc w:val="right"/>
              <w:rPr>
                <w:rFonts w:eastAsia="Times New Roman"/>
                <w:lang w:val="es-DO" w:eastAsia="es-DO"/>
              </w:rPr>
            </w:pPr>
          </w:p>
        </w:tc>
        <w:tc>
          <w:tcPr>
            <w:tcW w:w="170" w:type="pct"/>
            <w:shd w:val="clear" w:color="auto" w:fill="auto"/>
            <w:noWrap/>
            <w:vAlign w:val="center"/>
          </w:tcPr>
          <w:p w14:paraId="1723045A" w14:textId="77777777" w:rsidR="007400C6" w:rsidRPr="007400C6" w:rsidRDefault="007400C6" w:rsidP="003A11A2">
            <w:pPr>
              <w:spacing w:after="0" w:line="240" w:lineRule="auto"/>
              <w:jc w:val="right"/>
              <w:rPr>
                <w:rFonts w:eastAsia="Times New Roman"/>
                <w:lang w:val="es-DO" w:eastAsia="es-DO"/>
              </w:rPr>
            </w:pPr>
          </w:p>
        </w:tc>
        <w:tc>
          <w:tcPr>
            <w:tcW w:w="212" w:type="pct"/>
            <w:shd w:val="clear" w:color="auto" w:fill="auto"/>
            <w:noWrap/>
            <w:vAlign w:val="center"/>
          </w:tcPr>
          <w:p w14:paraId="356AA226" w14:textId="77777777" w:rsidR="007400C6" w:rsidRPr="007400C6" w:rsidRDefault="007400C6" w:rsidP="003A11A2">
            <w:pPr>
              <w:spacing w:after="0" w:line="240" w:lineRule="auto"/>
              <w:jc w:val="right"/>
              <w:rPr>
                <w:rFonts w:eastAsia="Times New Roman"/>
                <w:lang w:val="es-DO" w:eastAsia="es-DO"/>
              </w:rPr>
            </w:pPr>
          </w:p>
        </w:tc>
        <w:tc>
          <w:tcPr>
            <w:tcW w:w="393" w:type="pct"/>
            <w:shd w:val="clear" w:color="auto" w:fill="auto"/>
            <w:noWrap/>
            <w:vAlign w:val="center"/>
          </w:tcPr>
          <w:p w14:paraId="56DB6126" w14:textId="77777777" w:rsidR="007400C6" w:rsidRPr="007400C6" w:rsidRDefault="007400C6" w:rsidP="003A11A2">
            <w:pPr>
              <w:spacing w:after="0" w:line="240" w:lineRule="auto"/>
              <w:jc w:val="right"/>
              <w:rPr>
                <w:rFonts w:eastAsia="Times New Roman"/>
                <w:lang w:val="es-DO" w:eastAsia="es-DO"/>
              </w:rPr>
            </w:pPr>
          </w:p>
        </w:tc>
        <w:tc>
          <w:tcPr>
            <w:tcW w:w="449" w:type="pct"/>
            <w:shd w:val="clear" w:color="auto" w:fill="auto"/>
            <w:noWrap/>
            <w:vAlign w:val="center"/>
          </w:tcPr>
          <w:p w14:paraId="392AC460" w14:textId="77777777" w:rsidR="007400C6" w:rsidRPr="007400C6" w:rsidRDefault="007400C6" w:rsidP="003A11A2">
            <w:pPr>
              <w:spacing w:after="0" w:line="240" w:lineRule="auto"/>
              <w:jc w:val="right"/>
              <w:rPr>
                <w:rFonts w:eastAsia="Times New Roman"/>
                <w:lang w:val="es-DO" w:eastAsia="es-DO"/>
              </w:rPr>
            </w:pPr>
          </w:p>
        </w:tc>
        <w:tc>
          <w:tcPr>
            <w:tcW w:w="449" w:type="pct"/>
            <w:shd w:val="clear" w:color="auto" w:fill="auto"/>
            <w:noWrap/>
            <w:vAlign w:val="center"/>
          </w:tcPr>
          <w:p w14:paraId="38BC5AFC" w14:textId="77777777" w:rsidR="007400C6" w:rsidRPr="007400C6" w:rsidRDefault="007400C6" w:rsidP="003A11A2">
            <w:pPr>
              <w:spacing w:after="0" w:line="240" w:lineRule="auto"/>
              <w:jc w:val="right"/>
              <w:rPr>
                <w:rFonts w:eastAsia="Times New Roman"/>
                <w:lang w:val="es-DO" w:eastAsia="es-DO"/>
              </w:rPr>
            </w:pPr>
          </w:p>
        </w:tc>
        <w:tc>
          <w:tcPr>
            <w:tcW w:w="435" w:type="pct"/>
            <w:shd w:val="clear" w:color="auto" w:fill="auto"/>
            <w:noWrap/>
            <w:vAlign w:val="center"/>
          </w:tcPr>
          <w:p w14:paraId="2CFB53A9" w14:textId="77777777" w:rsidR="007400C6" w:rsidRPr="007400C6" w:rsidRDefault="007400C6" w:rsidP="003A11A2">
            <w:pPr>
              <w:spacing w:after="0" w:line="240" w:lineRule="auto"/>
              <w:jc w:val="right"/>
              <w:rPr>
                <w:rFonts w:eastAsia="Times New Roman"/>
                <w:lang w:val="es-DO" w:eastAsia="es-DO"/>
              </w:rPr>
            </w:pPr>
          </w:p>
        </w:tc>
        <w:tc>
          <w:tcPr>
            <w:tcW w:w="476" w:type="pct"/>
            <w:shd w:val="clear" w:color="auto" w:fill="auto"/>
            <w:noWrap/>
            <w:vAlign w:val="center"/>
          </w:tcPr>
          <w:p w14:paraId="40C53344" w14:textId="38BDA7B2" w:rsidR="007400C6" w:rsidRPr="007400C6" w:rsidRDefault="007400C6" w:rsidP="007400C6">
            <w:pPr>
              <w:spacing w:after="0" w:line="240" w:lineRule="auto"/>
              <w:jc w:val="center"/>
              <w:rPr>
                <w:rFonts w:eastAsia="Times New Roman"/>
                <w:lang w:val="es-DO" w:eastAsia="es-DO"/>
              </w:rPr>
            </w:pPr>
            <w:r>
              <w:rPr>
                <w:rFonts w:eastAsia="Times New Roman"/>
                <w:lang w:val="es-DO" w:eastAsia="es-DO"/>
              </w:rPr>
              <w:t>RD$300,000.00</w:t>
            </w:r>
          </w:p>
        </w:tc>
      </w:tr>
      <w:tr w:rsidR="007400C6" w:rsidRPr="00D13B4F" w14:paraId="70BE4012" w14:textId="77777777" w:rsidTr="007400C6">
        <w:trPr>
          <w:trHeight w:val="331"/>
        </w:trPr>
        <w:tc>
          <w:tcPr>
            <w:tcW w:w="489" w:type="pct"/>
            <w:shd w:val="clear" w:color="auto" w:fill="auto"/>
            <w:vAlign w:val="center"/>
          </w:tcPr>
          <w:p w14:paraId="027F6AB3" w14:textId="16AAB5E3" w:rsidR="007400C6" w:rsidRPr="00D13B4F" w:rsidRDefault="007400C6" w:rsidP="007400C6">
            <w:pPr>
              <w:spacing w:after="0" w:line="240" w:lineRule="auto"/>
              <w:rPr>
                <w:rFonts w:eastAsia="Times New Roman"/>
                <w:b/>
                <w:bCs/>
                <w:lang w:val="es-DO" w:eastAsia="es-DO"/>
              </w:rPr>
            </w:pPr>
            <w:r w:rsidRPr="005A6CAB">
              <w:rPr>
                <w:rFonts w:eastAsia="Times New Roman"/>
                <w:b/>
                <w:bCs/>
                <w:lang w:val="es-DO" w:eastAsia="es-DO"/>
              </w:rPr>
              <w:t>WhatsApp como herramienta de atención al cliente</w:t>
            </w:r>
          </w:p>
        </w:tc>
        <w:tc>
          <w:tcPr>
            <w:tcW w:w="193" w:type="pct"/>
            <w:shd w:val="clear" w:color="auto" w:fill="auto"/>
            <w:noWrap/>
            <w:vAlign w:val="center"/>
          </w:tcPr>
          <w:p w14:paraId="6D2CF744" w14:textId="77777777" w:rsidR="007400C6" w:rsidRPr="00D13B4F" w:rsidRDefault="007400C6" w:rsidP="007400C6">
            <w:pPr>
              <w:spacing w:after="0" w:line="240" w:lineRule="auto"/>
              <w:jc w:val="right"/>
              <w:rPr>
                <w:rFonts w:eastAsia="Times New Roman"/>
                <w:lang w:val="es-DO" w:eastAsia="es-DO"/>
              </w:rPr>
            </w:pPr>
          </w:p>
        </w:tc>
        <w:tc>
          <w:tcPr>
            <w:tcW w:w="238" w:type="pct"/>
            <w:shd w:val="clear" w:color="auto" w:fill="auto"/>
            <w:noWrap/>
            <w:vAlign w:val="center"/>
          </w:tcPr>
          <w:p w14:paraId="7116EC48" w14:textId="77777777" w:rsidR="007400C6" w:rsidRPr="00D13B4F" w:rsidRDefault="007400C6" w:rsidP="007400C6">
            <w:pPr>
              <w:spacing w:after="0" w:line="240" w:lineRule="auto"/>
              <w:jc w:val="right"/>
              <w:rPr>
                <w:rFonts w:eastAsia="Times New Roman"/>
                <w:lang w:val="es-DO" w:eastAsia="es-DO"/>
              </w:rPr>
            </w:pPr>
          </w:p>
        </w:tc>
        <w:tc>
          <w:tcPr>
            <w:tcW w:w="449" w:type="pct"/>
            <w:shd w:val="clear" w:color="auto" w:fill="auto"/>
            <w:noWrap/>
            <w:vAlign w:val="center"/>
          </w:tcPr>
          <w:p w14:paraId="17736B63" w14:textId="77777777" w:rsidR="007400C6" w:rsidRPr="00D13B4F" w:rsidRDefault="007400C6" w:rsidP="007400C6">
            <w:pPr>
              <w:spacing w:after="0" w:line="240" w:lineRule="auto"/>
              <w:jc w:val="right"/>
              <w:rPr>
                <w:rFonts w:eastAsia="Times New Roman"/>
                <w:lang w:val="es-DO" w:eastAsia="es-DO"/>
              </w:rPr>
            </w:pPr>
          </w:p>
        </w:tc>
        <w:tc>
          <w:tcPr>
            <w:tcW w:w="178" w:type="pct"/>
            <w:shd w:val="clear" w:color="auto" w:fill="auto"/>
            <w:noWrap/>
            <w:vAlign w:val="center"/>
          </w:tcPr>
          <w:p w14:paraId="41EB77BA" w14:textId="77777777" w:rsidR="007400C6" w:rsidRPr="00D13B4F" w:rsidRDefault="007400C6" w:rsidP="007400C6">
            <w:pPr>
              <w:spacing w:after="0" w:line="240" w:lineRule="auto"/>
              <w:jc w:val="right"/>
              <w:rPr>
                <w:rFonts w:eastAsia="Times New Roman"/>
                <w:lang w:val="es-DO" w:eastAsia="es-DO"/>
              </w:rPr>
            </w:pPr>
          </w:p>
        </w:tc>
        <w:tc>
          <w:tcPr>
            <w:tcW w:w="393" w:type="pct"/>
            <w:shd w:val="clear" w:color="auto" w:fill="auto"/>
            <w:noWrap/>
            <w:vAlign w:val="center"/>
          </w:tcPr>
          <w:p w14:paraId="015CEE58" w14:textId="77777777" w:rsidR="007400C6" w:rsidRPr="00D13B4F" w:rsidRDefault="007400C6" w:rsidP="007400C6">
            <w:pPr>
              <w:spacing w:after="0" w:line="240" w:lineRule="auto"/>
              <w:jc w:val="right"/>
              <w:rPr>
                <w:rFonts w:eastAsia="Times New Roman"/>
                <w:lang w:val="es-DO" w:eastAsia="es-DO"/>
              </w:rPr>
            </w:pPr>
          </w:p>
        </w:tc>
        <w:tc>
          <w:tcPr>
            <w:tcW w:w="476" w:type="pct"/>
            <w:shd w:val="clear" w:color="auto" w:fill="auto"/>
            <w:noWrap/>
            <w:vAlign w:val="center"/>
          </w:tcPr>
          <w:p w14:paraId="65305C4A" w14:textId="77777777" w:rsidR="007400C6" w:rsidRPr="00D13B4F" w:rsidRDefault="007400C6" w:rsidP="007400C6">
            <w:pPr>
              <w:spacing w:after="0" w:line="240" w:lineRule="auto"/>
              <w:jc w:val="right"/>
              <w:rPr>
                <w:rFonts w:eastAsia="Times New Roman"/>
                <w:lang w:val="es-DO" w:eastAsia="es-DO"/>
              </w:rPr>
            </w:pPr>
          </w:p>
        </w:tc>
        <w:tc>
          <w:tcPr>
            <w:tcW w:w="170" w:type="pct"/>
            <w:shd w:val="clear" w:color="auto" w:fill="auto"/>
            <w:noWrap/>
            <w:vAlign w:val="center"/>
          </w:tcPr>
          <w:p w14:paraId="0B51772D" w14:textId="77777777" w:rsidR="007400C6" w:rsidRPr="00D11C11" w:rsidRDefault="007400C6" w:rsidP="007400C6">
            <w:pPr>
              <w:spacing w:after="0" w:line="240" w:lineRule="auto"/>
              <w:jc w:val="right"/>
              <w:rPr>
                <w:rFonts w:eastAsia="Times New Roman"/>
                <w:lang w:val="es-DO" w:eastAsia="es-DO"/>
              </w:rPr>
            </w:pPr>
          </w:p>
        </w:tc>
        <w:tc>
          <w:tcPr>
            <w:tcW w:w="212" w:type="pct"/>
            <w:shd w:val="clear" w:color="auto" w:fill="auto"/>
            <w:noWrap/>
            <w:vAlign w:val="center"/>
          </w:tcPr>
          <w:p w14:paraId="4F55B4B1" w14:textId="77777777" w:rsidR="007400C6" w:rsidRPr="00D11C11" w:rsidRDefault="007400C6" w:rsidP="007400C6">
            <w:pPr>
              <w:spacing w:after="0" w:line="240" w:lineRule="auto"/>
              <w:jc w:val="center"/>
              <w:rPr>
                <w:rFonts w:eastAsia="Times New Roman"/>
                <w:lang w:val="es-DO" w:eastAsia="es-DO"/>
              </w:rPr>
            </w:pPr>
          </w:p>
        </w:tc>
        <w:tc>
          <w:tcPr>
            <w:tcW w:w="393" w:type="pct"/>
            <w:shd w:val="clear" w:color="auto" w:fill="auto"/>
            <w:noWrap/>
            <w:vAlign w:val="center"/>
          </w:tcPr>
          <w:p w14:paraId="2601BEBF" w14:textId="4B3CC4DF" w:rsidR="007400C6" w:rsidRPr="00D11C11" w:rsidRDefault="007400C6" w:rsidP="007400C6">
            <w:pPr>
              <w:spacing w:after="0" w:line="240" w:lineRule="auto"/>
              <w:jc w:val="center"/>
              <w:rPr>
                <w:rFonts w:eastAsia="Times New Roman"/>
                <w:lang w:val="es-DO" w:eastAsia="es-DO"/>
              </w:rPr>
            </w:pPr>
            <w:r>
              <w:rPr>
                <w:rFonts w:eastAsia="Times New Roman"/>
                <w:lang w:val="es-DO" w:eastAsia="es-DO"/>
              </w:rPr>
              <w:t>100%</w:t>
            </w:r>
          </w:p>
        </w:tc>
        <w:tc>
          <w:tcPr>
            <w:tcW w:w="449" w:type="pct"/>
            <w:shd w:val="clear" w:color="auto" w:fill="auto"/>
            <w:noWrap/>
            <w:vAlign w:val="center"/>
          </w:tcPr>
          <w:p w14:paraId="2BFF7410" w14:textId="77777777" w:rsidR="007400C6" w:rsidRPr="00D11C11" w:rsidRDefault="007400C6" w:rsidP="007400C6">
            <w:pPr>
              <w:spacing w:after="0" w:line="240" w:lineRule="auto"/>
              <w:jc w:val="center"/>
              <w:rPr>
                <w:rFonts w:eastAsia="Times New Roman"/>
                <w:lang w:val="es-DO" w:eastAsia="es-DO"/>
              </w:rPr>
            </w:pPr>
          </w:p>
        </w:tc>
        <w:tc>
          <w:tcPr>
            <w:tcW w:w="449" w:type="pct"/>
            <w:shd w:val="clear" w:color="auto" w:fill="auto"/>
            <w:noWrap/>
            <w:vAlign w:val="center"/>
          </w:tcPr>
          <w:p w14:paraId="02145904" w14:textId="77777777" w:rsidR="007400C6" w:rsidRPr="00D11C11" w:rsidRDefault="007400C6" w:rsidP="007400C6">
            <w:pPr>
              <w:spacing w:after="0" w:line="240" w:lineRule="auto"/>
              <w:jc w:val="center"/>
              <w:rPr>
                <w:rFonts w:eastAsia="Times New Roman"/>
                <w:lang w:val="es-DO" w:eastAsia="es-DO"/>
              </w:rPr>
            </w:pPr>
          </w:p>
        </w:tc>
        <w:tc>
          <w:tcPr>
            <w:tcW w:w="435" w:type="pct"/>
            <w:shd w:val="clear" w:color="auto" w:fill="auto"/>
            <w:noWrap/>
            <w:vAlign w:val="center"/>
          </w:tcPr>
          <w:p w14:paraId="61A7A1B4" w14:textId="77777777" w:rsidR="007400C6" w:rsidRPr="00D11C11" w:rsidRDefault="007400C6" w:rsidP="007400C6">
            <w:pPr>
              <w:spacing w:after="0" w:line="240" w:lineRule="auto"/>
              <w:jc w:val="center"/>
              <w:rPr>
                <w:rFonts w:eastAsia="Times New Roman"/>
                <w:lang w:val="es-DO" w:eastAsia="es-DO"/>
              </w:rPr>
            </w:pPr>
          </w:p>
        </w:tc>
        <w:tc>
          <w:tcPr>
            <w:tcW w:w="476" w:type="pct"/>
            <w:shd w:val="clear" w:color="auto" w:fill="auto"/>
            <w:noWrap/>
            <w:vAlign w:val="center"/>
          </w:tcPr>
          <w:p w14:paraId="76F35985" w14:textId="246C72C1" w:rsidR="007400C6" w:rsidRPr="00D11C11" w:rsidRDefault="007400C6" w:rsidP="007400C6">
            <w:pPr>
              <w:spacing w:after="0" w:line="240" w:lineRule="auto"/>
              <w:jc w:val="center"/>
              <w:rPr>
                <w:rFonts w:eastAsia="Times New Roman"/>
                <w:lang w:val="es-DO" w:eastAsia="es-DO"/>
              </w:rPr>
            </w:pPr>
            <w:r>
              <w:rPr>
                <w:rFonts w:eastAsia="Times New Roman"/>
                <w:lang w:val="es-DO" w:eastAsia="es-DO"/>
              </w:rPr>
              <w:t>100%</w:t>
            </w:r>
          </w:p>
        </w:tc>
      </w:tr>
      <w:tr w:rsidR="007400C6" w:rsidRPr="00D13B4F" w14:paraId="4980757E" w14:textId="77777777" w:rsidTr="007400C6">
        <w:trPr>
          <w:trHeight w:val="331"/>
        </w:trPr>
        <w:tc>
          <w:tcPr>
            <w:tcW w:w="489" w:type="pct"/>
            <w:shd w:val="clear" w:color="auto" w:fill="auto"/>
            <w:vAlign w:val="center"/>
          </w:tcPr>
          <w:p w14:paraId="2725FB2E" w14:textId="632B8B70" w:rsidR="007400C6" w:rsidRPr="007400C6" w:rsidRDefault="007400C6" w:rsidP="007400C6">
            <w:pPr>
              <w:spacing w:after="0" w:line="240" w:lineRule="auto"/>
              <w:rPr>
                <w:rFonts w:eastAsia="Times New Roman"/>
                <w:lang w:val="es-DO" w:eastAsia="es-DO"/>
              </w:rPr>
            </w:pPr>
            <w:r>
              <w:rPr>
                <w:rFonts w:eastAsia="Times New Roman"/>
                <w:lang w:val="es-DO" w:eastAsia="es-DO"/>
              </w:rPr>
              <w:t>Inversión Proyecto -</w:t>
            </w:r>
            <w:r w:rsidRPr="007400C6">
              <w:rPr>
                <w:rFonts w:eastAsia="Times New Roman"/>
                <w:lang w:val="es-DO" w:eastAsia="es-DO"/>
              </w:rPr>
              <w:t xml:space="preserve">WhatsApp como herramienta de </w:t>
            </w:r>
            <w:r w:rsidRPr="007400C6">
              <w:rPr>
                <w:rFonts w:eastAsia="Times New Roman"/>
                <w:lang w:val="es-DO" w:eastAsia="es-DO"/>
              </w:rPr>
              <w:lastRenderedPageBreak/>
              <w:t>atención al cliente</w:t>
            </w:r>
          </w:p>
        </w:tc>
        <w:tc>
          <w:tcPr>
            <w:tcW w:w="193" w:type="pct"/>
            <w:shd w:val="clear" w:color="auto" w:fill="auto"/>
            <w:noWrap/>
            <w:vAlign w:val="center"/>
          </w:tcPr>
          <w:p w14:paraId="7721D5B8" w14:textId="77777777" w:rsidR="007400C6" w:rsidRPr="00D13B4F" w:rsidRDefault="007400C6" w:rsidP="007400C6">
            <w:pPr>
              <w:spacing w:after="0" w:line="240" w:lineRule="auto"/>
              <w:jc w:val="right"/>
              <w:rPr>
                <w:rFonts w:eastAsia="Times New Roman"/>
                <w:lang w:val="es-DO" w:eastAsia="es-DO"/>
              </w:rPr>
            </w:pPr>
          </w:p>
        </w:tc>
        <w:tc>
          <w:tcPr>
            <w:tcW w:w="238" w:type="pct"/>
            <w:shd w:val="clear" w:color="auto" w:fill="auto"/>
            <w:noWrap/>
            <w:vAlign w:val="center"/>
          </w:tcPr>
          <w:p w14:paraId="6810F505" w14:textId="77777777" w:rsidR="007400C6" w:rsidRPr="00D13B4F" w:rsidRDefault="007400C6" w:rsidP="007400C6">
            <w:pPr>
              <w:spacing w:after="0" w:line="240" w:lineRule="auto"/>
              <w:jc w:val="right"/>
              <w:rPr>
                <w:rFonts w:eastAsia="Times New Roman"/>
                <w:lang w:val="es-DO" w:eastAsia="es-DO"/>
              </w:rPr>
            </w:pPr>
          </w:p>
        </w:tc>
        <w:tc>
          <w:tcPr>
            <w:tcW w:w="449" w:type="pct"/>
            <w:shd w:val="clear" w:color="auto" w:fill="auto"/>
            <w:noWrap/>
            <w:vAlign w:val="center"/>
          </w:tcPr>
          <w:p w14:paraId="6D94A059" w14:textId="77777777" w:rsidR="007400C6" w:rsidRPr="00D13B4F" w:rsidRDefault="007400C6" w:rsidP="007400C6">
            <w:pPr>
              <w:spacing w:after="0" w:line="240" w:lineRule="auto"/>
              <w:jc w:val="right"/>
              <w:rPr>
                <w:rFonts w:eastAsia="Times New Roman"/>
                <w:lang w:val="es-DO" w:eastAsia="es-DO"/>
              </w:rPr>
            </w:pPr>
          </w:p>
        </w:tc>
        <w:tc>
          <w:tcPr>
            <w:tcW w:w="178" w:type="pct"/>
            <w:shd w:val="clear" w:color="auto" w:fill="auto"/>
            <w:noWrap/>
            <w:vAlign w:val="center"/>
          </w:tcPr>
          <w:p w14:paraId="79D866DF" w14:textId="77777777" w:rsidR="007400C6" w:rsidRPr="00D13B4F" w:rsidRDefault="007400C6" w:rsidP="007400C6">
            <w:pPr>
              <w:spacing w:after="0" w:line="240" w:lineRule="auto"/>
              <w:jc w:val="right"/>
              <w:rPr>
                <w:rFonts w:eastAsia="Times New Roman"/>
                <w:lang w:val="es-DO" w:eastAsia="es-DO"/>
              </w:rPr>
            </w:pPr>
          </w:p>
        </w:tc>
        <w:tc>
          <w:tcPr>
            <w:tcW w:w="393" w:type="pct"/>
            <w:shd w:val="clear" w:color="auto" w:fill="auto"/>
            <w:noWrap/>
            <w:vAlign w:val="center"/>
          </w:tcPr>
          <w:p w14:paraId="7DEF729E" w14:textId="77777777" w:rsidR="007400C6" w:rsidRPr="00D13B4F" w:rsidRDefault="007400C6" w:rsidP="007400C6">
            <w:pPr>
              <w:spacing w:after="0" w:line="240" w:lineRule="auto"/>
              <w:jc w:val="right"/>
              <w:rPr>
                <w:rFonts w:eastAsia="Times New Roman"/>
                <w:lang w:val="es-DO" w:eastAsia="es-DO"/>
              </w:rPr>
            </w:pPr>
          </w:p>
        </w:tc>
        <w:tc>
          <w:tcPr>
            <w:tcW w:w="476" w:type="pct"/>
            <w:shd w:val="clear" w:color="auto" w:fill="auto"/>
            <w:noWrap/>
            <w:vAlign w:val="center"/>
          </w:tcPr>
          <w:p w14:paraId="660D101B" w14:textId="77777777" w:rsidR="007400C6" w:rsidRPr="00D13B4F" w:rsidRDefault="007400C6" w:rsidP="007400C6">
            <w:pPr>
              <w:spacing w:after="0" w:line="240" w:lineRule="auto"/>
              <w:jc w:val="right"/>
              <w:rPr>
                <w:rFonts w:eastAsia="Times New Roman"/>
                <w:lang w:val="es-DO" w:eastAsia="es-DO"/>
              </w:rPr>
            </w:pPr>
          </w:p>
        </w:tc>
        <w:tc>
          <w:tcPr>
            <w:tcW w:w="170" w:type="pct"/>
            <w:shd w:val="clear" w:color="auto" w:fill="auto"/>
            <w:noWrap/>
            <w:vAlign w:val="center"/>
          </w:tcPr>
          <w:p w14:paraId="1E2FCDA1" w14:textId="77777777" w:rsidR="007400C6" w:rsidRPr="00D11C11" w:rsidRDefault="007400C6" w:rsidP="007400C6">
            <w:pPr>
              <w:spacing w:after="0" w:line="240" w:lineRule="auto"/>
              <w:jc w:val="right"/>
              <w:rPr>
                <w:rFonts w:eastAsia="Times New Roman"/>
                <w:lang w:val="es-DO" w:eastAsia="es-DO"/>
              </w:rPr>
            </w:pPr>
          </w:p>
        </w:tc>
        <w:tc>
          <w:tcPr>
            <w:tcW w:w="212" w:type="pct"/>
            <w:shd w:val="clear" w:color="auto" w:fill="auto"/>
            <w:noWrap/>
            <w:vAlign w:val="center"/>
          </w:tcPr>
          <w:p w14:paraId="2AF04998" w14:textId="77777777" w:rsidR="007400C6" w:rsidRPr="00D11C11" w:rsidRDefault="007400C6" w:rsidP="007400C6">
            <w:pPr>
              <w:spacing w:after="0" w:line="240" w:lineRule="auto"/>
              <w:jc w:val="center"/>
              <w:rPr>
                <w:rFonts w:eastAsia="Times New Roman"/>
                <w:lang w:val="es-DO" w:eastAsia="es-DO"/>
              </w:rPr>
            </w:pPr>
          </w:p>
        </w:tc>
        <w:tc>
          <w:tcPr>
            <w:tcW w:w="393" w:type="pct"/>
            <w:shd w:val="clear" w:color="auto" w:fill="auto"/>
            <w:noWrap/>
            <w:vAlign w:val="center"/>
          </w:tcPr>
          <w:p w14:paraId="5F441738" w14:textId="7A9E5573" w:rsidR="007400C6" w:rsidRDefault="007400C6" w:rsidP="007400C6">
            <w:pPr>
              <w:spacing w:after="0" w:line="240" w:lineRule="auto"/>
              <w:jc w:val="center"/>
              <w:rPr>
                <w:rFonts w:eastAsia="Times New Roman"/>
                <w:lang w:val="es-DO" w:eastAsia="es-DO"/>
              </w:rPr>
            </w:pPr>
            <w:r>
              <w:rPr>
                <w:rFonts w:eastAsia="Times New Roman"/>
                <w:lang w:val="es-DO" w:eastAsia="es-DO"/>
              </w:rPr>
              <w:t>RD$</w:t>
            </w:r>
            <w:r w:rsidRPr="007400C6">
              <w:rPr>
                <w:rFonts w:eastAsia="Times New Roman"/>
                <w:lang w:val="es-DO" w:eastAsia="es-DO"/>
              </w:rPr>
              <w:t>101,456.00</w:t>
            </w:r>
          </w:p>
        </w:tc>
        <w:tc>
          <w:tcPr>
            <w:tcW w:w="449" w:type="pct"/>
            <w:shd w:val="clear" w:color="auto" w:fill="auto"/>
            <w:noWrap/>
            <w:vAlign w:val="center"/>
          </w:tcPr>
          <w:p w14:paraId="523BB8BA" w14:textId="77777777" w:rsidR="007400C6" w:rsidRPr="00D11C11" w:rsidRDefault="007400C6" w:rsidP="007400C6">
            <w:pPr>
              <w:spacing w:after="0" w:line="240" w:lineRule="auto"/>
              <w:jc w:val="center"/>
              <w:rPr>
                <w:rFonts w:eastAsia="Times New Roman"/>
                <w:lang w:val="es-DO" w:eastAsia="es-DO"/>
              </w:rPr>
            </w:pPr>
          </w:p>
        </w:tc>
        <w:tc>
          <w:tcPr>
            <w:tcW w:w="449" w:type="pct"/>
            <w:shd w:val="clear" w:color="auto" w:fill="auto"/>
            <w:noWrap/>
            <w:vAlign w:val="center"/>
          </w:tcPr>
          <w:p w14:paraId="582A9B4C" w14:textId="77777777" w:rsidR="007400C6" w:rsidRPr="00D11C11" w:rsidRDefault="007400C6" w:rsidP="007400C6">
            <w:pPr>
              <w:spacing w:after="0" w:line="240" w:lineRule="auto"/>
              <w:jc w:val="center"/>
              <w:rPr>
                <w:rFonts w:eastAsia="Times New Roman"/>
                <w:lang w:val="es-DO" w:eastAsia="es-DO"/>
              </w:rPr>
            </w:pPr>
          </w:p>
        </w:tc>
        <w:tc>
          <w:tcPr>
            <w:tcW w:w="435" w:type="pct"/>
            <w:shd w:val="clear" w:color="auto" w:fill="auto"/>
            <w:noWrap/>
            <w:vAlign w:val="center"/>
          </w:tcPr>
          <w:p w14:paraId="7594A9BE" w14:textId="77777777" w:rsidR="007400C6" w:rsidRPr="00D11C11" w:rsidRDefault="007400C6" w:rsidP="007400C6">
            <w:pPr>
              <w:spacing w:after="0" w:line="240" w:lineRule="auto"/>
              <w:jc w:val="center"/>
              <w:rPr>
                <w:rFonts w:eastAsia="Times New Roman"/>
                <w:lang w:val="es-DO" w:eastAsia="es-DO"/>
              </w:rPr>
            </w:pPr>
          </w:p>
        </w:tc>
        <w:tc>
          <w:tcPr>
            <w:tcW w:w="476" w:type="pct"/>
            <w:shd w:val="clear" w:color="auto" w:fill="auto"/>
            <w:noWrap/>
            <w:vAlign w:val="center"/>
          </w:tcPr>
          <w:p w14:paraId="6340D6E2" w14:textId="6F7B25D6" w:rsidR="007400C6" w:rsidRPr="00D11C11" w:rsidRDefault="007400C6" w:rsidP="007400C6">
            <w:pPr>
              <w:spacing w:after="0" w:line="240" w:lineRule="auto"/>
              <w:jc w:val="center"/>
              <w:rPr>
                <w:rFonts w:eastAsia="Times New Roman"/>
                <w:lang w:val="es-DO" w:eastAsia="es-DO"/>
              </w:rPr>
            </w:pPr>
            <w:r>
              <w:rPr>
                <w:rFonts w:eastAsia="Times New Roman"/>
                <w:lang w:val="es-DO" w:eastAsia="es-DO"/>
              </w:rPr>
              <w:t>RD$</w:t>
            </w:r>
            <w:r w:rsidRPr="007400C6">
              <w:rPr>
                <w:rFonts w:eastAsia="Times New Roman"/>
                <w:lang w:val="es-DO" w:eastAsia="es-DO"/>
              </w:rPr>
              <w:t>101,456.00</w:t>
            </w:r>
          </w:p>
        </w:tc>
      </w:tr>
      <w:tr w:rsidR="007400C6" w:rsidRPr="00D13B4F" w14:paraId="2097B392" w14:textId="77777777" w:rsidTr="007400C6">
        <w:trPr>
          <w:trHeight w:val="331"/>
        </w:trPr>
        <w:tc>
          <w:tcPr>
            <w:tcW w:w="489" w:type="pct"/>
            <w:shd w:val="clear" w:color="auto" w:fill="auto"/>
            <w:vAlign w:val="center"/>
          </w:tcPr>
          <w:p w14:paraId="03D1A240" w14:textId="439E574F" w:rsidR="005A6CAB" w:rsidRPr="005A6CAB" w:rsidRDefault="005A6CAB" w:rsidP="003A11A2">
            <w:pPr>
              <w:spacing w:after="0" w:line="240" w:lineRule="auto"/>
              <w:rPr>
                <w:rFonts w:eastAsia="Times New Roman"/>
                <w:b/>
                <w:bCs/>
                <w:lang w:val="es-DO" w:eastAsia="es-DO"/>
              </w:rPr>
            </w:pPr>
            <w:r w:rsidRPr="005A6CAB">
              <w:rPr>
                <w:rFonts w:eastAsia="Times New Roman"/>
                <w:b/>
                <w:bCs/>
                <w:lang w:val="es-DO" w:eastAsia="es-DO"/>
              </w:rPr>
              <w:t>Unidad de Supervisión de Fiduciarias</w:t>
            </w:r>
          </w:p>
        </w:tc>
        <w:tc>
          <w:tcPr>
            <w:tcW w:w="193" w:type="pct"/>
            <w:shd w:val="clear" w:color="auto" w:fill="auto"/>
            <w:noWrap/>
            <w:vAlign w:val="center"/>
          </w:tcPr>
          <w:p w14:paraId="1C4A2195" w14:textId="77777777" w:rsidR="005A6CAB" w:rsidRPr="00D13B4F" w:rsidRDefault="005A6CAB" w:rsidP="003A11A2">
            <w:pPr>
              <w:spacing w:after="0" w:line="240" w:lineRule="auto"/>
              <w:jc w:val="right"/>
              <w:rPr>
                <w:rFonts w:eastAsia="Times New Roman"/>
                <w:lang w:val="es-DO" w:eastAsia="es-DO"/>
              </w:rPr>
            </w:pPr>
          </w:p>
        </w:tc>
        <w:tc>
          <w:tcPr>
            <w:tcW w:w="238" w:type="pct"/>
            <w:shd w:val="clear" w:color="auto" w:fill="auto"/>
            <w:noWrap/>
            <w:vAlign w:val="center"/>
          </w:tcPr>
          <w:p w14:paraId="62F70AAC" w14:textId="77777777" w:rsidR="005A6CAB" w:rsidRPr="00D13B4F" w:rsidRDefault="005A6CAB" w:rsidP="003A11A2">
            <w:pPr>
              <w:spacing w:after="0" w:line="240" w:lineRule="auto"/>
              <w:jc w:val="right"/>
              <w:rPr>
                <w:rFonts w:eastAsia="Times New Roman"/>
                <w:lang w:val="es-DO" w:eastAsia="es-DO"/>
              </w:rPr>
            </w:pPr>
          </w:p>
        </w:tc>
        <w:tc>
          <w:tcPr>
            <w:tcW w:w="449" w:type="pct"/>
            <w:shd w:val="clear" w:color="auto" w:fill="auto"/>
            <w:noWrap/>
            <w:vAlign w:val="center"/>
          </w:tcPr>
          <w:p w14:paraId="3A615581" w14:textId="77777777" w:rsidR="005A6CAB" w:rsidRPr="00D13B4F" w:rsidRDefault="005A6CAB" w:rsidP="003A11A2">
            <w:pPr>
              <w:spacing w:after="0" w:line="240" w:lineRule="auto"/>
              <w:jc w:val="right"/>
              <w:rPr>
                <w:rFonts w:eastAsia="Times New Roman"/>
                <w:lang w:val="es-DO" w:eastAsia="es-DO"/>
              </w:rPr>
            </w:pPr>
          </w:p>
        </w:tc>
        <w:tc>
          <w:tcPr>
            <w:tcW w:w="178" w:type="pct"/>
            <w:shd w:val="clear" w:color="auto" w:fill="auto"/>
            <w:noWrap/>
            <w:vAlign w:val="center"/>
          </w:tcPr>
          <w:p w14:paraId="431A1AB8" w14:textId="77777777" w:rsidR="005A6CAB" w:rsidRPr="00D13B4F" w:rsidRDefault="005A6CAB" w:rsidP="003A11A2">
            <w:pPr>
              <w:spacing w:after="0" w:line="240" w:lineRule="auto"/>
              <w:jc w:val="right"/>
              <w:rPr>
                <w:rFonts w:eastAsia="Times New Roman"/>
                <w:lang w:val="es-DO" w:eastAsia="es-DO"/>
              </w:rPr>
            </w:pPr>
          </w:p>
        </w:tc>
        <w:tc>
          <w:tcPr>
            <w:tcW w:w="393" w:type="pct"/>
            <w:shd w:val="clear" w:color="auto" w:fill="auto"/>
            <w:noWrap/>
            <w:vAlign w:val="center"/>
          </w:tcPr>
          <w:p w14:paraId="5B7FCB0D" w14:textId="77777777" w:rsidR="005A6CAB" w:rsidRPr="00D13B4F" w:rsidRDefault="005A6CAB" w:rsidP="004F0554">
            <w:pPr>
              <w:spacing w:after="0" w:line="240" w:lineRule="auto"/>
              <w:jc w:val="center"/>
              <w:rPr>
                <w:rFonts w:eastAsia="Times New Roman"/>
                <w:lang w:val="es-DO" w:eastAsia="es-DO"/>
              </w:rPr>
            </w:pPr>
          </w:p>
        </w:tc>
        <w:tc>
          <w:tcPr>
            <w:tcW w:w="476" w:type="pct"/>
            <w:shd w:val="clear" w:color="auto" w:fill="auto"/>
            <w:noWrap/>
            <w:vAlign w:val="center"/>
          </w:tcPr>
          <w:p w14:paraId="509D9321" w14:textId="34C9028C" w:rsidR="004F0554" w:rsidRPr="004F0554" w:rsidRDefault="004F0554" w:rsidP="004F0554">
            <w:pPr>
              <w:spacing w:after="0" w:line="240" w:lineRule="auto"/>
              <w:jc w:val="center"/>
              <w:rPr>
                <w:rFonts w:eastAsia="Times New Roman"/>
                <w:lang w:val="es-DO" w:eastAsia="es-DO"/>
              </w:rPr>
            </w:pPr>
          </w:p>
        </w:tc>
        <w:tc>
          <w:tcPr>
            <w:tcW w:w="170" w:type="pct"/>
            <w:shd w:val="clear" w:color="auto" w:fill="auto"/>
            <w:noWrap/>
            <w:vAlign w:val="center"/>
          </w:tcPr>
          <w:p w14:paraId="482237EC" w14:textId="77777777" w:rsidR="005A6CAB" w:rsidRPr="00D11C11" w:rsidRDefault="005A6CAB" w:rsidP="004F0554">
            <w:pPr>
              <w:spacing w:after="0" w:line="240" w:lineRule="auto"/>
              <w:jc w:val="center"/>
              <w:rPr>
                <w:rFonts w:eastAsia="Times New Roman"/>
                <w:lang w:val="es-DO" w:eastAsia="es-DO"/>
              </w:rPr>
            </w:pPr>
          </w:p>
        </w:tc>
        <w:tc>
          <w:tcPr>
            <w:tcW w:w="212" w:type="pct"/>
            <w:shd w:val="clear" w:color="auto" w:fill="auto"/>
            <w:noWrap/>
            <w:vAlign w:val="center"/>
          </w:tcPr>
          <w:p w14:paraId="63C837E4" w14:textId="77777777" w:rsidR="005A6CAB" w:rsidRPr="00D11C11" w:rsidRDefault="005A6CAB" w:rsidP="004F0554">
            <w:pPr>
              <w:spacing w:after="0" w:line="240" w:lineRule="auto"/>
              <w:jc w:val="center"/>
              <w:rPr>
                <w:rFonts w:eastAsia="Times New Roman"/>
                <w:lang w:val="es-DO" w:eastAsia="es-DO"/>
              </w:rPr>
            </w:pPr>
          </w:p>
        </w:tc>
        <w:tc>
          <w:tcPr>
            <w:tcW w:w="393" w:type="pct"/>
            <w:shd w:val="clear" w:color="auto" w:fill="auto"/>
            <w:noWrap/>
            <w:vAlign w:val="center"/>
          </w:tcPr>
          <w:p w14:paraId="131519E5" w14:textId="39F9F5A2" w:rsidR="005A6CAB" w:rsidRPr="00D11C11" w:rsidRDefault="005A6CAB" w:rsidP="004F0554">
            <w:pPr>
              <w:spacing w:after="0" w:line="240" w:lineRule="auto"/>
              <w:jc w:val="center"/>
              <w:rPr>
                <w:rFonts w:eastAsia="Times New Roman"/>
                <w:lang w:val="es-DO" w:eastAsia="es-DO"/>
              </w:rPr>
            </w:pPr>
          </w:p>
        </w:tc>
        <w:tc>
          <w:tcPr>
            <w:tcW w:w="449" w:type="pct"/>
            <w:shd w:val="clear" w:color="auto" w:fill="auto"/>
            <w:noWrap/>
            <w:vAlign w:val="center"/>
          </w:tcPr>
          <w:p w14:paraId="2B8F2788" w14:textId="79D1334E" w:rsidR="005A6CAB" w:rsidRPr="00D11C11" w:rsidRDefault="005A6CAB" w:rsidP="004F0554">
            <w:pPr>
              <w:spacing w:after="0" w:line="240" w:lineRule="auto"/>
              <w:jc w:val="center"/>
              <w:rPr>
                <w:rFonts w:eastAsia="Times New Roman"/>
                <w:lang w:val="es-DO" w:eastAsia="es-DO"/>
              </w:rPr>
            </w:pPr>
          </w:p>
        </w:tc>
        <w:tc>
          <w:tcPr>
            <w:tcW w:w="449" w:type="pct"/>
            <w:shd w:val="clear" w:color="auto" w:fill="auto"/>
            <w:noWrap/>
            <w:vAlign w:val="center"/>
          </w:tcPr>
          <w:p w14:paraId="2DEC4EDE" w14:textId="77777777" w:rsidR="005A6CAB" w:rsidRPr="00D11C11" w:rsidRDefault="005A6CAB" w:rsidP="004F0554">
            <w:pPr>
              <w:spacing w:after="0" w:line="240" w:lineRule="auto"/>
              <w:jc w:val="center"/>
              <w:rPr>
                <w:rFonts w:eastAsia="Times New Roman"/>
                <w:lang w:val="es-DO" w:eastAsia="es-DO"/>
              </w:rPr>
            </w:pPr>
          </w:p>
        </w:tc>
        <w:tc>
          <w:tcPr>
            <w:tcW w:w="435" w:type="pct"/>
            <w:shd w:val="clear" w:color="auto" w:fill="auto"/>
            <w:noWrap/>
            <w:vAlign w:val="center"/>
          </w:tcPr>
          <w:p w14:paraId="5D9A78E8" w14:textId="26D1BD22" w:rsidR="005A6CAB" w:rsidRPr="00D11C11" w:rsidRDefault="004F0554" w:rsidP="004F0554">
            <w:pPr>
              <w:spacing w:after="0" w:line="240" w:lineRule="auto"/>
              <w:jc w:val="center"/>
              <w:rPr>
                <w:rFonts w:eastAsia="Times New Roman"/>
                <w:lang w:val="es-DO" w:eastAsia="es-DO"/>
              </w:rPr>
            </w:pPr>
            <w:r>
              <w:rPr>
                <w:rFonts w:eastAsia="Times New Roman"/>
                <w:lang w:val="es-DO" w:eastAsia="es-DO"/>
              </w:rPr>
              <w:t>100%</w:t>
            </w:r>
          </w:p>
        </w:tc>
        <w:tc>
          <w:tcPr>
            <w:tcW w:w="476" w:type="pct"/>
            <w:shd w:val="clear" w:color="auto" w:fill="auto"/>
            <w:noWrap/>
            <w:vAlign w:val="center"/>
          </w:tcPr>
          <w:p w14:paraId="0A1D4975" w14:textId="67A1E479" w:rsidR="005A6CAB" w:rsidRPr="00D11C11" w:rsidRDefault="004F0554" w:rsidP="004F0554">
            <w:pPr>
              <w:spacing w:after="0" w:line="240" w:lineRule="auto"/>
              <w:jc w:val="center"/>
              <w:rPr>
                <w:rFonts w:eastAsia="Times New Roman"/>
                <w:lang w:val="es-DO" w:eastAsia="es-DO"/>
              </w:rPr>
            </w:pPr>
            <w:r>
              <w:rPr>
                <w:rFonts w:eastAsia="Times New Roman"/>
                <w:lang w:val="es-DO" w:eastAsia="es-DO"/>
              </w:rPr>
              <w:t>100%</w:t>
            </w:r>
          </w:p>
        </w:tc>
      </w:tr>
      <w:tr w:rsidR="004F0554" w:rsidRPr="00D13B4F" w14:paraId="732E190E" w14:textId="77777777" w:rsidTr="007400C6">
        <w:trPr>
          <w:trHeight w:val="331"/>
        </w:trPr>
        <w:tc>
          <w:tcPr>
            <w:tcW w:w="489" w:type="pct"/>
            <w:shd w:val="clear" w:color="auto" w:fill="auto"/>
            <w:vAlign w:val="center"/>
          </w:tcPr>
          <w:p w14:paraId="5C5D667C" w14:textId="112A4F6C" w:rsidR="004F0554" w:rsidRPr="004F0554" w:rsidRDefault="004F0554" w:rsidP="003A11A2">
            <w:pPr>
              <w:spacing w:after="0" w:line="240" w:lineRule="auto"/>
              <w:rPr>
                <w:rFonts w:eastAsia="Times New Roman"/>
                <w:lang w:val="es-DO" w:eastAsia="es-DO"/>
              </w:rPr>
            </w:pPr>
            <w:r>
              <w:rPr>
                <w:rFonts w:eastAsia="Times New Roman"/>
                <w:lang w:val="es-DO" w:eastAsia="es-DO"/>
              </w:rPr>
              <w:t>Inversión Proyecto -</w:t>
            </w:r>
            <w:r w:rsidRPr="004F0554">
              <w:rPr>
                <w:lang w:val="es-DO"/>
              </w:rPr>
              <w:t xml:space="preserve"> </w:t>
            </w:r>
            <w:r w:rsidRPr="004F0554">
              <w:rPr>
                <w:rFonts w:eastAsia="Times New Roman"/>
                <w:lang w:val="es-DO" w:eastAsia="es-DO"/>
              </w:rPr>
              <w:t>Unidad de Supervisión de Fiduciarias</w:t>
            </w:r>
          </w:p>
        </w:tc>
        <w:tc>
          <w:tcPr>
            <w:tcW w:w="193" w:type="pct"/>
            <w:shd w:val="clear" w:color="auto" w:fill="auto"/>
            <w:noWrap/>
            <w:vAlign w:val="center"/>
          </w:tcPr>
          <w:p w14:paraId="06317B8B" w14:textId="77777777" w:rsidR="004F0554" w:rsidRPr="00D13B4F" w:rsidRDefault="004F0554" w:rsidP="003A11A2">
            <w:pPr>
              <w:spacing w:after="0" w:line="240" w:lineRule="auto"/>
              <w:jc w:val="right"/>
              <w:rPr>
                <w:rFonts w:eastAsia="Times New Roman"/>
                <w:lang w:val="es-DO" w:eastAsia="es-DO"/>
              </w:rPr>
            </w:pPr>
          </w:p>
        </w:tc>
        <w:tc>
          <w:tcPr>
            <w:tcW w:w="238" w:type="pct"/>
            <w:shd w:val="clear" w:color="auto" w:fill="auto"/>
            <w:noWrap/>
            <w:vAlign w:val="center"/>
          </w:tcPr>
          <w:p w14:paraId="335D2477" w14:textId="77777777" w:rsidR="004F0554" w:rsidRPr="00D13B4F" w:rsidRDefault="004F0554" w:rsidP="003A11A2">
            <w:pPr>
              <w:spacing w:after="0" w:line="240" w:lineRule="auto"/>
              <w:jc w:val="right"/>
              <w:rPr>
                <w:rFonts w:eastAsia="Times New Roman"/>
                <w:lang w:val="es-DO" w:eastAsia="es-DO"/>
              </w:rPr>
            </w:pPr>
          </w:p>
        </w:tc>
        <w:tc>
          <w:tcPr>
            <w:tcW w:w="449" w:type="pct"/>
            <w:shd w:val="clear" w:color="auto" w:fill="auto"/>
            <w:noWrap/>
            <w:vAlign w:val="center"/>
          </w:tcPr>
          <w:p w14:paraId="174CC013" w14:textId="77777777" w:rsidR="004F0554" w:rsidRPr="00D13B4F" w:rsidRDefault="004F0554" w:rsidP="003A11A2">
            <w:pPr>
              <w:spacing w:after="0" w:line="240" w:lineRule="auto"/>
              <w:jc w:val="right"/>
              <w:rPr>
                <w:rFonts w:eastAsia="Times New Roman"/>
                <w:lang w:val="es-DO" w:eastAsia="es-DO"/>
              </w:rPr>
            </w:pPr>
          </w:p>
        </w:tc>
        <w:tc>
          <w:tcPr>
            <w:tcW w:w="178" w:type="pct"/>
            <w:shd w:val="clear" w:color="auto" w:fill="auto"/>
            <w:noWrap/>
            <w:vAlign w:val="center"/>
          </w:tcPr>
          <w:p w14:paraId="76716062" w14:textId="77777777" w:rsidR="004F0554" w:rsidRPr="00D13B4F" w:rsidRDefault="004F0554" w:rsidP="003A11A2">
            <w:pPr>
              <w:spacing w:after="0" w:line="240" w:lineRule="auto"/>
              <w:jc w:val="right"/>
              <w:rPr>
                <w:rFonts w:eastAsia="Times New Roman"/>
                <w:lang w:val="es-DO" w:eastAsia="es-DO"/>
              </w:rPr>
            </w:pPr>
          </w:p>
        </w:tc>
        <w:tc>
          <w:tcPr>
            <w:tcW w:w="393" w:type="pct"/>
            <w:shd w:val="clear" w:color="auto" w:fill="auto"/>
            <w:noWrap/>
            <w:vAlign w:val="center"/>
          </w:tcPr>
          <w:p w14:paraId="768B7461" w14:textId="77777777" w:rsidR="004F0554" w:rsidRPr="00D13B4F" w:rsidRDefault="004F0554" w:rsidP="004F0554">
            <w:pPr>
              <w:spacing w:after="0" w:line="240" w:lineRule="auto"/>
              <w:jc w:val="center"/>
              <w:rPr>
                <w:rFonts w:eastAsia="Times New Roman"/>
                <w:lang w:val="es-DO" w:eastAsia="es-DO"/>
              </w:rPr>
            </w:pPr>
          </w:p>
        </w:tc>
        <w:tc>
          <w:tcPr>
            <w:tcW w:w="476" w:type="pct"/>
            <w:shd w:val="clear" w:color="auto" w:fill="auto"/>
            <w:noWrap/>
            <w:vAlign w:val="center"/>
          </w:tcPr>
          <w:p w14:paraId="5EFC92EA" w14:textId="77777777" w:rsidR="004F0554" w:rsidRPr="004F0554" w:rsidRDefault="004F0554" w:rsidP="004F0554">
            <w:pPr>
              <w:spacing w:after="0" w:line="240" w:lineRule="auto"/>
              <w:jc w:val="center"/>
              <w:rPr>
                <w:rFonts w:eastAsia="Times New Roman"/>
                <w:lang w:val="es-DO" w:eastAsia="es-DO"/>
              </w:rPr>
            </w:pPr>
          </w:p>
        </w:tc>
        <w:tc>
          <w:tcPr>
            <w:tcW w:w="170" w:type="pct"/>
            <w:shd w:val="clear" w:color="auto" w:fill="auto"/>
            <w:noWrap/>
            <w:vAlign w:val="center"/>
          </w:tcPr>
          <w:p w14:paraId="1A9D0795" w14:textId="77777777" w:rsidR="004F0554" w:rsidRPr="00D11C11" w:rsidRDefault="004F0554" w:rsidP="004F0554">
            <w:pPr>
              <w:spacing w:after="0" w:line="240" w:lineRule="auto"/>
              <w:jc w:val="center"/>
              <w:rPr>
                <w:rFonts w:eastAsia="Times New Roman"/>
                <w:lang w:val="es-DO" w:eastAsia="es-DO"/>
              </w:rPr>
            </w:pPr>
          </w:p>
        </w:tc>
        <w:tc>
          <w:tcPr>
            <w:tcW w:w="212" w:type="pct"/>
            <w:shd w:val="clear" w:color="auto" w:fill="auto"/>
            <w:noWrap/>
            <w:vAlign w:val="center"/>
          </w:tcPr>
          <w:p w14:paraId="15389A2D" w14:textId="77777777" w:rsidR="004F0554" w:rsidRPr="00D11C11" w:rsidRDefault="004F0554" w:rsidP="004F0554">
            <w:pPr>
              <w:spacing w:after="0" w:line="240" w:lineRule="auto"/>
              <w:jc w:val="center"/>
              <w:rPr>
                <w:rFonts w:eastAsia="Times New Roman"/>
                <w:lang w:val="es-DO" w:eastAsia="es-DO"/>
              </w:rPr>
            </w:pPr>
          </w:p>
        </w:tc>
        <w:tc>
          <w:tcPr>
            <w:tcW w:w="393" w:type="pct"/>
            <w:shd w:val="clear" w:color="auto" w:fill="auto"/>
            <w:noWrap/>
            <w:vAlign w:val="center"/>
          </w:tcPr>
          <w:p w14:paraId="377F68EB" w14:textId="77777777" w:rsidR="004F0554" w:rsidRPr="00D11C11" w:rsidRDefault="004F0554" w:rsidP="004F0554">
            <w:pPr>
              <w:spacing w:after="0" w:line="240" w:lineRule="auto"/>
              <w:jc w:val="center"/>
              <w:rPr>
                <w:rFonts w:eastAsia="Times New Roman"/>
                <w:lang w:val="es-DO" w:eastAsia="es-DO"/>
              </w:rPr>
            </w:pPr>
          </w:p>
        </w:tc>
        <w:tc>
          <w:tcPr>
            <w:tcW w:w="449" w:type="pct"/>
            <w:shd w:val="clear" w:color="auto" w:fill="auto"/>
            <w:noWrap/>
            <w:vAlign w:val="center"/>
          </w:tcPr>
          <w:p w14:paraId="2DE8DE88" w14:textId="77777777" w:rsidR="004F0554" w:rsidRPr="00D11C11" w:rsidRDefault="004F0554" w:rsidP="004F0554">
            <w:pPr>
              <w:spacing w:after="0" w:line="240" w:lineRule="auto"/>
              <w:jc w:val="center"/>
              <w:rPr>
                <w:rFonts w:eastAsia="Times New Roman"/>
                <w:lang w:val="es-DO" w:eastAsia="es-DO"/>
              </w:rPr>
            </w:pPr>
          </w:p>
        </w:tc>
        <w:tc>
          <w:tcPr>
            <w:tcW w:w="449" w:type="pct"/>
            <w:shd w:val="clear" w:color="auto" w:fill="auto"/>
            <w:noWrap/>
            <w:vAlign w:val="center"/>
          </w:tcPr>
          <w:p w14:paraId="59ADD51B" w14:textId="77777777" w:rsidR="004F0554" w:rsidRPr="00D11C11" w:rsidRDefault="004F0554" w:rsidP="004F0554">
            <w:pPr>
              <w:spacing w:after="0" w:line="240" w:lineRule="auto"/>
              <w:jc w:val="center"/>
              <w:rPr>
                <w:rFonts w:eastAsia="Times New Roman"/>
                <w:lang w:val="es-DO" w:eastAsia="es-DO"/>
              </w:rPr>
            </w:pPr>
          </w:p>
        </w:tc>
        <w:tc>
          <w:tcPr>
            <w:tcW w:w="435" w:type="pct"/>
            <w:shd w:val="clear" w:color="auto" w:fill="auto"/>
            <w:noWrap/>
            <w:vAlign w:val="center"/>
          </w:tcPr>
          <w:p w14:paraId="7CD55482" w14:textId="6071413A" w:rsidR="004F0554" w:rsidRDefault="004F0554" w:rsidP="004F0554">
            <w:pPr>
              <w:spacing w:after="0" w:line="240" w:lineRule="auto"/>
              <w:jc w:val="center"/>
              <w:rPr>
                <w:rFonts w:eastAsia="Times New Roman"/>
                <w:lang w:val="es-DO" w:eastAsia="es-DO"/>
              </w:rPr>
            </w:pPr>
            <w:r>
              <w:rPr>
                <w:rFonts w:eastAsia="Times New Roman"/>
                <w:lang w:val="es-DO" w:eastAsia="es-DO"/>
              </w:rPr>
              <w:t>RD$</w:t>
            </w:r>
            <w:r>
              <w:t xml:space="preserve"> </w:t>
            </w:r>
            <w:r w:rsidRPr="004F0554">
              <w:rPr>
                <w:rFonts w:eastAsia="Times New Roman"/>
                <w:lang w:val="es-DO" w:eastAsia="es-DO"/>
              </w:rPr>
              <w:t>240,000.00</w:t>
            </w:r>
          </w:p>
        </w:tc>
        <w:tc>
          <w:tcPr>
            <w:tcW w:w="476" w:type="pct"/>
            <w:shd w:val="clear" w:color="auto" w:fill="auto"/>
            <w:noWrap/>
            <w:vAlign w:val="center"/>
          </w:tcPr>
          <w:p w14:paraId="1F17E80E" w14:textId="1993D4B4" w:rsidR="004F0554" w:rsidRDefault="004F0554" w:rsidP="004F0554">
            <w:pPr>
              <w:spacing w:after="0" w:line="240" w:lineRule="auto"/>
              <w:jc w:val="center"/>
              <w:rPr>
                <w:rFonts w:eastAsia="Times New Roman"/>
                <w:lang w:val="es-DO" w:eastAsia="es-DO"/>
              </w:rPr>
            </w:pPr>
            <w:r>
              <w:rPr>
                <w:rFonts w:eastAsia="Times New Roman"/>
                <w:lang w:val="es-DO" w:eastAsia="es-DO"/>
              </w:rPr>
              <w:t>RD$</w:t>
            </w:r>
            <w:r>
              <w:t xml:space="preserve"> </w:t>
            </w:r>
            <w:r w:rsidRPr="004F0554">
              <w:rPr>
                <w:rFonts w:eastAsia="Times New Roman"/>
                <w:lang w:val="es-DO" w:eastAsia="es-DO"/>
              </w:rPr>
              <w:t>240,000.00</w:t>
            </w:r>
          </w:p>
        </w:tc>
      </w:tr>
    </w:tbl>
    <w:p w14:paraId="023894F6" w14:textId="77777777" w:rsidR="006D1150" w:rsidRDefault="006D1150" w:rsidP="005A6CAB">
      <w:pPr>
        <w:rPr>
          <w:lang w:val="es-DO"/>
        </w:rPr>
      </w:pPr>
    </w:p>
    <w:p w14:paraId="1E322343" w14:textId="035983B9" w:rsidR="00D11C11" w:rsidRPr="006D1150" w:rsidRDefault="004C43F1" w:rsidP="005A6CAB">
      <w:pPr>
        <w:spacing w:line="360" w:lineRule="auto"/>
        <w:jc w:val="center"/>
        <w:rPr>
          <w:lang w:val="es-DO"/>
        </w:rPr>
      </w:pPr>
      <w:r w:rsidRPr="007B7853">
        <w:rPr>
          <w:b/>
          <w:bCs/>
          <w:lang w:val="es-DO"/>
        </w:rPr>
        <w:t>Fuente</w:t>
      </w:r>
      <w:r w:rsidRPr="00C865B6">
        <w:rPr>
          <w:lang w:val="es-DO"/>
        </w:rPr>
        <w:t xml:space="preserve">: </w:t>
      </w:r>
      <w:r w:rsidRPr="007B7853">
        <w:rPr>
          <w:lang w:val="es-DO"/>
        </w:rPr>
        <w:t xml:space="preserve">Departamento </w:t>
      </w:r>
      <w:r>
        <w:rPr>
          <w:lang w:val="es-DO"/>
        </w:rPr>
        <w:t>Planificación Institucional</w:t>
      </w:r>
      <w:r w:rsidRPr="007B7853">
        <w:rPr>
          <w:lang w:val="es-DO"/>
        </w:rPr>
        <w:t>. Superintendencia de Bancos de la República Dominicana, 202</w:t>
      </w:r>
      <w:r>
        <w:rPr>
          <w:lang w:val="es-DO"/>
        </w:rPr>
        <w:t>3.</w:t>
      </w:r>
    </w:p>
    <w:sectPr w:rsidR="00D11C11" w:rsidRPr="006D1150" w:rsidSect="00860016">
      <w:pgSz w:w="15840" w:h="12240" w:orient="landscape"/>
      <w:pgMar w:top="2160" w:right="1701" w:bottom="2160" w:left="1701" w:header="720" w:footer="40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BE29C" w14:textId="77777777" w:rsidR="005826F0" w:rsidRDefault="005826F0" w:rsidP="00E84651">
      <w:pPr>
        <w:spacing w:after="0" w:line="240" w:lineRule="auto"/>
      </w:pPr>
      <w:r>
        <w:separator/>
      </w:r>
    </w:p>
  </w:endnote>
  <w:endnote w:type="continuationSeparator" w:id="0">
    <w:p w14:paraId="6B998557" w14:textId="77777777" w:rsidR="005826F0" w:rsidRDefault="005826F0" w:rsidP="00E84651">
      <w:pPr>
        <w:spacing w:after="0" w:line="240" w:lineRule="auto"/>
      </w:pPr>
      <w:r>
        <w:continuationSeparator/>
      </w:r>
    </w:p>
  </w:endnote>
  <w:endnote w:type="continuationNotice" w:id="1">
    <w:p w14:paraId="5BF42880" w14:textId="77777777" w:rsidR="005826F0" w:rsidRDefault="005826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otham">
    <w:altName w:val="Calibri"/>
    <w:charset w:val="00"/>
    <w:family w:val="auto"/>
    <w:pitch w:val="variable"/>
    <w:sig w:usb0="800000A7" w:usb1="00000000" w:usb2="00000000" w:usb3="00000000" w:csb0="00000009" w:csb1="00000000"/>
  </w:font>
  <w:font w:name="Gotham Thin">
    <w:altName w:val="Calibri"/>
    <w:panose1 w:val="00000000000000000000"/>
    <w:charset w:val="00"/>
    <w:family w:val="modern"/>
    <w:notTrueType/>
    <w:pitch w:val="variable"/>
    <w:sig w:usb0="A00000AF" w:usb1="50000048"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Artifex CF Light">
    <w:altName w:val="Courier New"/>
    <w:panose1 w:val="00000000000000000000"/>
    <w:charset w:val="00"/>
    <w:family w:val="modern"/>
    <w:notTrueType/>
    <w:pitch w:val="variable"/>
    <w:sig w:usb0="00000007" w:usb1="00000000" w:usb2="00000000" w:usb3="00000000" w:csb0="00000093" w:csb1="00000000"/>
  </w:font>
  <w:font w:name="Arial Unicode MS">
    <w:panose1 w:val="020B0604020202020204"/>
    <w:charset w:val="00"/>
    <w:family w:val="roman"/>
    <w:pitch w:val="variable"/>
    <w:sig w:usb0="00000003" w:usb1="00000000" w:usb2="00000000" w:usb3="00000000" w:csb0="00000001"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9D200" w14:textId="79154200" w:rsidR="006E1AFE" w:rsidRDefault="006E1AFE">
    <w:pPr>
      <w:pStyle w:val="Piedepgina"/>
      <w:jc w:val="center"/>
    </w:pPr>
    <w:r>
      <w:rPr>
        <w:noProof/>
      </w:rPr>
      <w:drawing>
        <wp:anchor distT="0" distB="0" distL="114300" distR="114300" simplePos="0" relativeHeight="251658240" behindDoc="1" locked="0" layoutInCell="1" allowOverlap="1" wp14:anchorId="0AE419CF" wp14:editId="2C04DD8A">
          <wp:simplePos x="0" y="0"/>
          <wp:positionH relativeFrom="margin">
            <wp:align>center</wp:align>
          </wp:positionH>
          <wp:positionV relativeFrom="paragraph">
            <wp:posOffset>-228600</wp:posOffset>
          </wp:positionV>
          <wp:extent cx="3000375" cy="400050"/>
          <wp:effectExtent l="0" t="0" r="9525" b="0"/>
          <wp:wrapNone/>
          <wp:docPr id="1420002871" name="Imagen 142000287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n 81"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anchor>
      </w:drawing>
    </w:r>
  </w:p>
  <w:sdt>
    <w:sdtPr>
      <w:id w:val="-1193148862"/>
      <w:docPartObj>
        <w:docPartGallery w:val="Page Numbers (Bottom of Page)"/>
        <w:docPartUnique/>
      </w:docPartObj>
    </w:sdtPr>
    <w:sdtContent>
      <w:p w14:paraId="65ACFAB3" w14:textId="3B92D9AE" w:rsidR="006E1AFE" w:rsidRDefault="006E1AFE" w:rsidP="001E74F4">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9BFCF" w14:textId="77777777" w:rsidR="005826F0" w:rsidRDefault="005826F0" w:rsidP="00E84651">
      <w:pPr>
        <w:spacing w:after="0" w:line="240" w:lineRule="auto"/>
      </w:pPr>
      <w:r>
        <w:separator/>
      </w:r>
    </w:p>
  </w:footnote>
  <w:footnote w:type="continuationSeparator" w:id="0">
    <w:p w14:paraId="48FC3BA5" w14:textId="77777777" w:rsidR="005826F0" w:rsidRDefault="005826F0" w:rsidP="00E84651">
      <w:pPr>
        <w:spacing w:after="0" w:line="240" w:lineRule="auto"/>
      </w:pPr>
      <w:r>
        <w:continuationSeparator/>
      </w:r>
    </w:p>
  </w:footnote>
  <w:footnote w:type="continuationNotice" w:id="1">
    <w:p w14:paraId="15DAC8BA" w14:textId="77777777" w:rsidR="005826F0" w:rsidRDefault="005826F0">
      <w:pPr>
        <w:spacing w:after="0" w:line="240" w:lineRule="auto"/>
      </w:pPr>
    </w:p>
  </w:footnote>
  <w:footnote w:id="2">
    <w:p w14:paraId="13610B13" w14:textId="77777777" w:rsidR="007B1CCF" w:rsidRPr="009F1A44" w:rsidRDefault="007B1CCF" w:rsidP="007B1CCF">
      <w:pPr>
        <w:pStyle w:val="Textonotapie"/>
        <w:rPr>
          <w:sz w:val="16"/>
          <w:szCs w:val="16"/>
        </w:rPr>
      </w:pPr>
      <w:r w:rsidRPr="00C539DA">
        <w:rPr>
          <w:rStyle w:val="Refdenotaalpie"/>
          <w:color w:val="767171"/>
          <w:sz w:val="16"/>
          <w:szCs w:val="16"/>
        </w:rPr>
        <w:footnoteRef/>
      </w:r>
      <w:r w:rsidRPr="00C539DA">
        <w:rPr>
          <w:color w:val="767171"/>
          <w:sz w:val="16"/>
          <w:szCs w:val="16"/>
        </w:rPr>
        <w:t xml:space="preserve"> Datos preliminares.</w:t>
      </w:r>
    </w:p>
  </w:footnote>
  <w:footnote w:id="3">
    <w:p w14:paraId="0D944C8E" w14:textId="48E1719A" w:rsidR="005A5297" w:rsidRPr="005A5297" w:rsidRDefault="005A5297">
      <w:pPr>
        <w:pStyle w:val="Textonotapie"/>
        <w:rPr>
          <w:rFonts w:ascii="Times New Roman" w:eastAsia="Arial Unicode MS" w:hAnsi="Times New Roman"/>
          <w:color w:val="767171"/>
          <w:spacing w:val="20"/>
          <w:sz w:val="24"/>
          <w:szCs w:val="18"/>
          <w:u w:color="000000"/>
          <w:lang w:val="es-ES" w:eastAsia="es-DO"/>
        </w:rPr>
      </w:pPr>
      <w:r w:rsidRPr="005A5297">
        <w:rPr>
          <w:rFonts w:ascii="Times New Roman" w:eastAsia="Arial Unicode MS" w:hAnsi="Times New Roman"/>
          <w:color w:val="767171"/>
          <w:spacing w:val="20"/>
          <w:sz w:val="24"/>
          <w:szCs w:val="18"/>
          <w:u w:color="000000"/>
          <w:lang w:val="es-ES" w:eastAsia="es-DO"/>
        </w:rPr>
        <w:footnoteRef/>
      </w:r>
      <w:r w:rsidRPr="005A5297">
        <w:rPr>
          <w:rFonts w:ascii="Times New Roman" w:eastAsia="Arial Unicode MS" w:hAnsi="Times New Roman"/>
          <w:color w:val="767171"/>
          <w:spacing w:val="20"/>
          <w:sz w:val="24"/>
          <w:szCs w:val="18"/>
          <w:u w:color="000000"/>
          <w:lang w:val="es-ES" w:eastAsia="es-DO"/>
        </w:rPr>
        <w:t xml:space="preserve"> En base al presupuesto aprobado de RD$4,082,542,497</w:t>
      </w:r>
      <w:r>
        <w:rPr>
          <w:rFonts w:ascii="Times New Roman" w:eastAsia="Arial Unicode MS" w:hAnsi="Times New Roman"/>
          <w:color w:val="767171"/>
          <w:spacing w:val="20"/>
          <w:sz w:val="24"/>
          <w:szCs w:val="18"/>
          <w:u w:color="000000"/>
          <w:lang w:val="es-ES" w:eastAsia="es-D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B0D2C" w14:textId="3B197AFD" w:rsidR="00FA73AB" w:rsidRDefault="00FA73AB">
    <w:pPr>
      <w:pStyle w:val="Encabezado"/>
    </w:pPr>
  </w:p>
  <w:p w14:paraId="5B900E8E" w14:textId="77777777" w:rsidR="00FA73AB" w:rsidRDefault="00FA73A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hdr>
</file>

<file path=word/intelligence2.xml><?xml version="1.0" encoding="utf-8"?>
<int2:intelligence xmlns:int2="http://schemas.microsoft.com/office/intelligence/2020/intelligence" xmlns:oel="http://schemas.microsoft.com/office/2019/extlst">
  <int2:observations>
    <int2:bookmark int2:bookmarkName="_Int_x3e5cfiJ" int2:invalidationBookmarkName="" int2:hashCode="4ILegjFfjKphgo" int2:id="2S8ONiF6">
      <int2:state int2:value="Rejected" int2:type="AugLoop_Text_Critique"/>
    </int2:bookmark>
    <int2:bookmark int2:bookmarkName="_Int_3D8LQYrq" int2:invalidationBookmarkName="" int2:hashCode="rmz1yDKcAVNRNS" int2:id="AGgxNGTw">
      <int2:state int2:value="Rejected" int2:type="AugLoop_Text_Critique"/>
    </int2:bookmark>
    <int2:bookmark int2:bookmarkName="_Int_jU0xaVuk" int2:invalidationBookmarkName="" int2:hashCode="yyJpCm5AVqtknb" int2:id="HipVqQNw">
      <int2:state int2:value="Rejected" int2:type="AugLoop_Text_Critique"/>
    </int2:bookmark>
    <int2:bookmark int2:bookmarkName="_Int_Gq6LZPdr" int2:invalidationBookmarkName="" int2:hashCode="ymfJi4nBS2X7Ph" int2:id="I8mgLkxD">
      <int2:state int2:value="Rejected" int2:type="AugLoop_Text_Critique"/>
    </int2:bookmark>
    <int2:bookmark int2:bookmarkName="_Int_5MDZ0coW" int2:invalidationBookmarkName="" int2:hashCode="qzynSr3aAg/8+f" int2:id="OOhzoayq">
      <int2:state int2:value="Rejected" int2:type="AugLoop_Text_Critique"/>
    </int2:bookmark>
    <int2:bookmark int2:bookmarkName="_Int_ToDQR1Fz" int2:invalidationBookmarkName="" int2:hashCode="SZxoefU9hYO6mk" int2:id="S387hgAU">
      <int2:state int2:value="Rejected" int2:type="AugLoop_Text_Critique"/>
    </int2:bookmark>
    <int2:bookmark int2:bookmarkName="_Int_o8Ni7vGs" int2:invalidationBookmarkName="" int2:hashCode="DRTOpa/I0VUXlR" int2:id="U7i3lUuW">
      <int2:state int2:value="Rejected" int2:type="AugLoop_Text_Critique"/>
    </int2:bookmark>
    <int2:bookmark int2:bookmarkName="_Int_n13DYW1r" int2:invalidationBookmarkName="" int2:hashCode="p08WwReS2mo2l5" int2:id="VqeRFA3q">
      <int2:state int2:value="Rejected" int2:type="AugLoop_Text_Critique"/>
    </int2:bookmark>
    <int2:bookmark int2:bookmarkName="_Int_OmbYVclI" int2:invalidationBookmarkName="" int2:hashCode="7p7UYb2ZfCQEg5" int2:id="ZDSUVhtK">
      <int2:state int2:value="Rejected" int2:type="AugLoop_Text_Critique"/>
    </int2:bookmark>
    <int2:bookmark int2:bookmarkName="_Int_h5ayyKIT" int2:invalidationBookmarkName="" int2:hashCode="N5/A1SmacawPFx" int2:id="cvko4nMs">
      <int2:state int2:value="Rejected" int2:type="AugLoop_Text_Critique"/>
    </int2:bookmark>
    <int2:bookmark int2:bookmarkName="_Int_VNEGhkxu" int2:invalidationBookmarkName="" int2:hashCode="ka2g+gknZYMbO4" int2:id="kR5z9BXK">
      <int2:state int2:value="Rejected" int2:type="AugLoop_Text_Critique"/>
    </int2:bookmark>
    <int2:bookmark int2:bookmarkName="_Int_RDEaCvGK" int2:invalidationBookmarkName="" int2:hashCode="D9FErG/WGnq/HP" int2:id="uaGRBKkJ">
      <int2:state int2:value="Rejected" int2:type="AugLoop_Text_Critique"/>
    </int2:bookmark>
    <int2:bookmark int2:bookmarkName="_Int_HbgpXInc" int2:invalidationBookmarkName="" int2:hashCode="gHe8FaMFG6w4GO" int2:id="vaEsAzPt">
      <int2:state int2:value="Rejected" int2:type="AugLoop_Text_Critique"/>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B074F"/>
    <w:multiLevelType w:val="hybridMultilevel"/>
    <w:tmpl w:val="0F908C02"/>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 w15:restartNumberingAfterBreak="0">
    <w:nsid w:val="10CC0E49"/>
    <w:multiLevelType w:val="multilevel"/>
    <w:tmpl w:val="90B847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16707767"/>
    <w:multiLevelType w:val="multilevel"/>
    <w:tmpl w:val="10D4D3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7957547"/>
    <w:multiLevelType w:val="hybridMultilevel"/>
    <w:tmpl w:val="09C89F1E"/>
    <w:lvl w:ilvl="0" w:tplc="E8FCC1EC">
      <w:start w:val="1"/>
      <w:numFmt w:val="bullet"/>
      <w:lvlText w:val=""/>
      <w:lvlJc w:val="left"/>
      <w:pPr>
        <w:ind w:left="360" w:hanging="360"/>
      </w:pPr>
      <w:rPr>
        <w:rFonts w:ascii="Symbol" w:hAnsi="Symbol" w:hint="default"/>
        <w:color w:val="76717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 w15:restartNumberingAfterBreak="0">
    <w:nsid w:val="17FA031D"/>
    <w:multiLevelType w:val="hybridMultilevel"/>
    <w:tmpl w:val="58842F10"/>
    <w:lvl w:ilvl="0" w:tplc="E23807BC">
      <w:start w:val="1"/>
      <w:numFmt w:val="bullet"/>
      <w:lvlText w:val=""/>
      <w:lvlJc w:val="left"/>
      <w:pPr>
        <w:ind w:left="360" w:hanging="360"/>
      </w:pPr>
      <w:rPr>
        <w:rFonts w:ascii="Symbol" w:hAnsi="Symbol" w:hint="default"/>
        <w:color w:val="767171"/>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19E35F71"/>
    <w:multiLevelType w:val="hybridMultilevel"/>
    <w:tmpl w:val="927C273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22CF09F5"/>
    <w:multiLevelType w:val="hybridMultilevel"/>
    <w:tmpl w:val="80B081AA"/>
    <w:lvl w:ilvl="0" w:tplc="E23807BC">
      <w:start w:val="1"/>
      <w:numFmt w:val="bullet"/>
      <w:lvlText w:val=""/>
      <w:lvlJc w:val="left"/>
      <w:pPr>
        <w:ind w:left="360" w:hanging="360"/>
      </w:pPr>
      <w:rPr>
        <w:rFonts w:ascii="Symbol" w:hAnsi="Symbol" w:hint="default"/>
        <w:color w:val="76717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7" w15:restartNumberingAfterBreak="0">
    <w:nsid w:val="24F1600C"/>
    <w:multiLevelType w:val="hybridMultilevel"/>
    <w:tmpl w:val="6D608556"/>
    <w:lvl w:ilvl="0" w:tplc="279C1268">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A220632"/>
    <w:multiLevelType w:val="multilevel"/>
    <w:tmpl w:val="BE0C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BB7944"/>
    <w:multiLevelType w:val="hybridMultilevel"/>
    <w:tmpl w:val="A6C2E6B6"/>
    <w:lvl w:ilvl="0" w:tplc="E23807BC">
      <w:start w:val="1"/>
      <w:numFmt w:val="bullet"/>
      <w:lvlText w:val=""/>
      <w:lvlJc w:val="left"/>
      <w:pPr>
        <w:ind w:left="720" w:hanging="360"/>
      </w:pPr>
      <w:rPr>
        <w:rFonts w:ascii="Symbol" w:hAnsi="Symbol" w:hint="default"/>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368D09A1"/>
    <w:multiLevelType w:val="hybridMultilevel"/>
    <w:tmpl w:val="EA1CCA7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1" w15:restartNumberingAfterBreak="0">
    <w:nsid w:val="39041AB4"/>
    <w:multiLevelType w:val="multilevel"/>
    <w:tmpl w:val="96CE04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361974"/>
    <w:multiLevelType w:val="hybridMultilevel"/>
    <w:tmpl w:val="B254C99E"/>
    <w:lvl w:ilvl="0" w:tplc="614870C6">
      <w:start w:val="1"/>
      <w:numFmt w:val="bullet"/>
      <w:lvlText w:val=""/>
      <w:lvlJc w:val="left"/>
      <w:pPr>
        <w:ind w:left="720" w:hanging="360"/>
      </w:pPr>
      <w:rPr>
        <w:rFonts w:ascii="Symbol" w:hAnsi="Symbol" w:hint="default"/>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3B294655"/>
    <w:multiLevelType w:val="hybridMultilevel"/>
    <w:tmpl w:val="B802C14A"/>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4" w15:restartNumberingAfterBreak="0">
    <w:nsid w:val="3E1578CF"/>
    <w:multiLevelType w:val="hybridMultilevel"/>
    <w:tmpl w:val="4A5C3268"/>
    <w:lvl w:ilvl="0" w:tplc="1C0A0001">
      <w:start w:val="1"/>
      <w:numFmt w:val="bullet"/>
      <w:lvlText w:val=""/>
      <w:lvlJc w:val="left"/>
      <w:pPr>
        <w:ind w:left="360" w:hanging="360"/>
      </w:pPr>
      <w:rPr>
        <w:rFonts w:ascii="Symbol" w:hAnsi="Symbol" w:hint="default"/>
        <w:b/>
        <w:bCs/>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5" w15:restartNumberingAfterBreak="0">
    <w:nsid w:val="448D25F8"/>
    <w:multiLevelType w:val="hybridMultilevel"/>
    <w:tmpl w:val="C262DDD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498963BF"/>
    <w:multiLevelType w:val="hybridMultilevel"/>
    <w:tmpl w:val="D59E8A8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7" w15:restartNumberingAfterBreak="0">
    <w:nsid w:val="4DC01079"/>
    <w:multiLevelType w:val="multilevel"/>
    <w:tmpl w:val="5558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2C59F4"/>
    <w:multiLevelType w:val="hybridMultilevel"/>
    <w:tmpl w:val="752C8C7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53CC0104"/>
    <w:multiLevelType w:val="hybridMultilevel"/>
    <w:tmpl w:val="E44E1164"/>
    <w:lvl w:ilvl="0" w:tplc="1C0A0001">
      <w:start w:val="1"/>
      <w:numFmt w:val="bullet"/>
      <w:lvlText w:val=""/>
      <w:lvlJc w:val="left"/>
      <w:pPr>
        <w:ind w:left="360" w:hanging="360"/>
      </w:pPr>
      <w:rPr>
        <w:rFonts w:ascii="Symbol" w:hAnsi="Symbol" w:hint="default"/>
        <w:b/>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0" w15:restartNumberingAfterBreak="0">
    <w:nsid w:val="561E09A1"/>
    <w:multiLevelType w:val="hybridMultilevel"/>
    <w:tmpl w:val="DB284B86"/>
    <w:lvl w:ilvl="0" w:tplc="1C0A0001">
      <w:start w:val="1"/>
      <w:numFmt w:val="bullet"/>
      <w:lvlText w:val=""/>
      <w:lvlJc w:val="left"/>
      <w:pPr>
        <w:ind w:left="360" w:hanging="360"/>
      </w:pPr>
      <w:rPr>
        <w:rFonts w:ascii="Symbol" w:hAnsi="Symbol" w:hint="default"/>
        <w:b/>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1" w15:restartNumberingAfterBreak="0">
    <w:nsid w:val="5D585628"/>
    <w:multiLevelType w:val="hybridMultilevel"/>
    <w:tmpl w:val="F602591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2" w15:restartNumberingAfterBreak="0">
    <w:nsid w:val="62603F1E"/>
    <w:multiLevelType w:val="hybridMultilevel"/>
    <w:tmpl w:val="EFC87188"/>
    <w:lvl w:ilvl="0" w:tplc="1C0A0001">
      <w:start w:val="1"/>
      <w:numFmt w:val="bullet"/>
      <w:lvlText w:val=""/>
      <w:lvlJc w:val="left"/>
      <w:pPr>
        <w:ind w:left="798" w:hanging="360"/>
      </w:pPr>
      <w:rPr>
        <w:rFonts w:ascii="Symbol" w:hAnsi="Symbol" w:hint="default"/>
      </w:rPr>
    </w:lvl>
    <w:lvl w:ilvl="1" w:tplc="1C0A0003" w:tentative="1">
      <w:start w:val="1"/>
      <w:numFmt w:val="bullet"/>
      <w:lvlText w:val="o"/>
      <w:lvlJc w:val="left"/>
      <w:pPr>
        <w:ind w:left="1518" w:hanging="360"/>
      </w:pPr>
      <w:rPr>
        <w:rFonts w:ascii="Courier New" w:hAnsi="Courier New" w:cs="Courier New" w:hint="default"/>
      </w:rPr>
    </w:lvl>
    <w:lvl w:ilvl="2" w:tplc="1C0A0005" w:tentative="1">
      <w:start w:val="1"/>
      <w:numFmt w:val="bullet"/>
      <w:lvlText w:val=""/>
      <w:lvlJc w:val="left"/>
      <w:pPr>
        <w:ind w:left="2238" w:hanging="360"/>
      </w:pPr>
      <w:rPr>
        <w:rFonts w:ascii="Wingdings" w:hAnsi="Wingdings" w:hint="default"/>
      </w:rPr>
    </w:lvl>
    <w:lvl w:ilvl="3" w:tplc="1C0A0001" w:tentative="1">
      <w:start w:val="1"/>
      <w:numFmt w:val="bullet"/>
      <w:lvlText w:val=""/>
      <w:lvlJc w:val="left"/>
      <w:pPr>
        <w:ind w:left="2958" w:hanging="360"/>
      </w:pPr>
      <w:rPr>
        <w:rFonts w:ascii="Symbol" w:hAnsi="Symbol" w:hint="default"/>
      </w:rPr>
    </w:lvl>
    <w:lvl w:ilvl="4" w:tplc="1C0A0003" w:tentative="1">
      <w:start w:val="1"/>
      <w:numFmt w:val="bullet"/>
      <w:lvlText w:val="o"/>
      <w:lvlJc w:val="left"/>
      <w:pPr>
        <w:ind w:left="3678" w:hanging="360"/>
      </w:pPr>
      <w:rPr>
        <w:rFonts w:ascii="Courier New" w:hAnsi="Courier New" w:cs="Courier New" w:hint="default"/>
      </w:rPr>
    </w:lvl>
    <w:lvl w:ilvl="5" w:tplc="1C0A0005" w:tentative="1">
      <w:start w:val="1"/>
      <w:numFmt w:val="bullet"/>
      <w:lvlText w:val=""/>
      <w:lvlJc w:val="left"/>
      <w:pPr>
        <w:ind w:left="4398" w:hanging="360"/>
      </w:pPr>
      <w:rPr>
        <w:rFonts w:ascii="Wingdings" w:hAnsi="Wingdings" w:hint="default"/>
      </w:rPr>
    </w:lvl>
    <w:lvl w:ilvl="6" w:tplc="1C0A0001" w:tentative="1">
      <w:start w:val="1"/>
      <w:numFmt w:val="bullet"/>
      <w:lvlText w:val=""/>
      <w:lvlJc w:val="left"/>
      <w:pPr>
        <w:ind w:left="5118" w:hanging="360"/>
      </w:pPr>
      <w:rPr>
        <w:rFonts w:ascii="Symbol" w:hAnsi="Symbol" w:hint="default"/>
      </w:rPr>
    </w:lvl>
    <w:lvl w:ilvl="7" w:tplc="1C0A0003" w:tentative="1">
      <w:start w:val="1"/>
      <w:numFmt w:val="bullet"/>
      <w:lvlText w:val="o"/>
      <w:lvlJc w:val="left"/>
      <w:pPr>
        <w:ind w:left="5838" w:hanging="360"/>
      </w:pPr>
      <w:rPr>
        <w:rFonts w:ascii="Courier New" w:hAnsi="Courier New" w:cs="Courier New" w:hint="default"/>
      </w:rPr>
    </w:lvl>
    <w:lvl w:ilvl="8" w:tplc="1C0A0005" w:tentative="1">
      <w:start w:val="1"/>
      <w:numFmt w:val="bullet"/>
      <w:lvlText w:val=""/>
      <w:lvlJc w:val="left"/>
      <w:pPr>
        <w:ind w:left="6558" w:hanging="360"/>
      </w:pPr>
      <w:rPr>
        <w:rFonts w:ascii="Wingdings" w:hAnsi="Wingdings" w:hint="default"/>
      </w:rPr>
    </w:lvl>
  </w:abstractNum>
  <w:abstractNum w:abstractNumId="23" w15:restartNumberingAfterBreak="0">
    <w:nsid w:val="68EF5FF3"/>
    <w:multiLevelType w:val="hybridMultilevel"/>
    <w:tmpl w:val="8C483B80"/>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4" w15:restartNumberingAfterBreak="0">
    <w:nsid w:val="6A2303E7"/>
    <w:multiLevelType w:val="hybridMultilevel"/>
    <w:tmpl w:val="EEEEDB9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5" w15:restartNumberingAfterBreak="0">
    <w:nsid w:val="717B3A75"/>
    <w:multiLevelType w:val="hybridMultilevel"/>
    <w:tmpl w:val="DA906FCC"/>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6" w15:restartNumberingAfterBreak="0">
    <w:nsid w:val="77251E1A"/>
    <w:multiLevelType w:val="hybridMultilevel"/>
    <w:tmpl w:val="E06C23B0"/>
    <w:lvl w:ilvl="0" w:tplc="59CC4216">
      <w:start w:val="1"/>
      <w:numFmt w:val="bullet"/>
      <w:lvlText w:val=""/>
      <w:lvlJc w:val="left"/>
      <w:pPr>
        <w:ind w:left="360" w:hanging="360"/>
      </w:pPr>
      <w:rPr>
        <w:rFonts w:ascii="Symbol" w:hAnsi="Symbol" w:hint="default"/>
        <w:color w:val="767171"/>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7" w15:restartNumberingAfterBreak="0">
    <w:nsid w:val="775078C2"/>
    <w:multiLevelType w:val="hybridMultilevel"/>
    <w:tmpl w:val="F830E85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77BC40D2"/>
    <w:multiLevelType w:val="hybridMultilevel"/>
    <w:tmpl w:val="E8E67E3C"/>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9" w15:restartNumberingAfterBreak="0">
    <w:nsid w:val="79161BFB"/>
    <w:multiLevelType w:val="hybridMultilevel"/>
    <w:tmpl w:val="489032D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0" w15:restartNumberingAfterBreak="0">
    <w:nsid w:val="7DA91DAD"/>
    <w:multiLevelType w:val="multilevel"/>
    <w:tmpl w:val="57803EC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1187871138">
    <w:abstractNumId w:val="7"/>
  </w:num>
  <w:num w:numId="2" w16cid:durableId="108279726">
    <w:abstractNumId w:val="26"/>
  </w:num>
  <w:num w:numId="3" w16cid:durableId="2243179">
    <w:abstractNumId w:val="4"/>
  </w:num>
  <w:num w:numId="4" w16cid:durableId="1967539828">
    <w:abstractNumId w:val="8"/>
  </w:num>
  <w:num w:numId="5" w16cid:durableId="540016760">
    <w:abstractNumId w:val="2"/>
  </w:num>
  <w:num w:numId="6" w16cid:durableId="1206285110">
    <w:abstractNumId w:val="1"/>
  </w:num>
  <w:num w:numId="7" w16cid:durableId="818225672">
    <w:abstractNumId w:val="11"/>
  </w:num>
  <w:num w:numId="8" w16cid:durableId="661930876">
    <w:abstractNumId w:val="17"/>
  </w:num>
  <w:num w:numId="9" w16cid:durableId="781649018">
    <w:abstractNumId w:val="25"/>
  </w:num>
  <w:num w:numId="10" w16cid:durableId="2101563225">
    <w:abstractNumId w:val="21"/>
  </w:num>
  <w:num w:numId="11" w16cid:durableId="983849570">
    <w:abstractNumId w:val="14"/>
  </w:num>
  <w:num w:numId="12" w16cid:durableId="832179047">
    <w:abstractNumId w:val="19"/>
  </w:num>
  <w:num w:numId="13" w16cid:durableId="1988708115">
    <w:abstractNumId w:val="20"/>
  </w:num>
  <w:num w:numId="14" w16cid:durableId="823739958">
    <w:abstractNumId w:val="10"/>
  </w:num>
  <w:num w:numId="15" w16cid:durableId="982855731">
    <w:abstractNumId w:val="22"/>
  </w:num>
  <w:num w:numId="16" w16cid:durableId="1193376621">
    <w:abstractNumId w:val="23"/>
  </w:num>
  <w:num w:numId="17" w16cid:durableId="720329299">
    <w:abstractNumId w:val="28"/>
  </w:num>
  <w:num w:numId="18" w16cid:durableId="757748110">
    <w:abstractNumId w:val="24"/>
  </w:num>
  <w:num w:numId="19" w16cid:durableId="1385984558">
    <w:abstractNumId w:val="3"/>
  </w:num>
  <w:num w:numId="20" w16cid:durableId="79833981">
    <w:abstractNumId w:val="6"/>
  </w:num>
  <w:num w:numId="21" w16cid:durableId="2087416944">
    <w:abstractNumId w:val="9"/>
  </w:num>
  <w:num w:numId="22" w16cid:durableId="1368027417">
    <w:abstractNumId w:val="0"/>
  </w:num>
  <w:num w:numId="23" w16cid:durableId="282156063">
    <w:abstractNumId w:val="16"/>
  </w:num>
  <w:num w:numId="24" w16cid:durableId="615063501">
    <w:abstractNumId w:val="13"/>
  </w:num>
  <w:num w:numId="25" w16cid:durableId="1627392917">
    <w:abstractNumId w:val="29"/>
  </w:num>
  <w:num w:numId="26" w16cid:durableId="994603450">
    <w:abstractNumId w:val="15"/>
  </w:num>
  <w:num w:numId="27" w16cid:durableId="899360953">
    <w:abstractNumId w:val="30"/>
  </w:num>
  <w:num w:numId="28" w16cid:durableId="612590336">
    <w:abstractNumId w:val="12"/>
  </w:num>
  <w:num w:numId="29" w16cid:durableId="1932812381">
    <w:abstractNumId w:val="5"/>
  </w:num>
  <w:num w:numId="30" w16cid:durableId="2062438054">
    <w:abstractNumId w:val="27"/>
  </w:num>
  <w:num w:numId="31" w16cid:durableId="1256597498">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0E7"/>
    <w:rsid w:val="00000FC3"/>
    <w:rsid w:val="00001305"/>
    <w:rsid w:val="000016A7"/>
    <w:rsid w:val="000021CB"/>
    <w:rsid w:val="0000339D"/>
    <w:rsid w:val="00004392"/>
    <w:rsid w:val="00004487"/>
    <w:rsid w:val="00004D34"/>
    <w:rsid w:val="00004DD5"/>
    <w:rsid w:val="0000505F"/>
    <w:rsid w:val="000059C6"/>
    <w:rsid w:val="0000685B"/>
    <w:rsid w:val="000072F6"/>
    <w:rsid w:val="0000797F"/>
    <w:rsid w:val="00007A01"/>
    <w:rsid w:val="00007A75"/>
    <w:rsid w:val="00007BB5"/>
    <w:rsid w:val="00010B70"/>
    <w:rsid w:val="000138C7"/>
    <w:rsid w:val="00013DC7"/>
    <w:rsid w:val="00015008"/>
    <w:rsid w:val="00015EF5"/>
    <w:rsid w:val="00016356"/>
    <w:rsid w:val="00016E07"/>
    <w:rsid w:val="000170E9"/>
    <w:rsid w:val="00017E9B"/>
    <w:rsid w:val="00020197"/>
    <w:rsid w:val="00020640"/>
    <w:rsid w:val="0002117C"/>
    <w:rsid w:val="000211BF"/>
    <w:rsid w:val="00021A8C"/>
    <w:rsid w:val="00021FA5"/>
    <w:rsid w:val="00022266"/>
    <w:rsid w:val="00022CAA"/>
    <w:rsid w:val="000232BD"/>
    <w:rsid w:val="0002386B"/>
    <w:rsid w:val="00023AD4"/>
    <w:rsid w:val="00023CE7"/>
    <w:rsid w:val="0002409B"/>
    <w:rsid w:val="000247B1"/>
    <w:rsid w:val="00024912"/>
    <w:rsid w:val="00024984"/>
    <w:rsid w:val="00024C63"/>
    <w:rsid w:val="00025B14"/>
    <w:rsid w:val="00025D82"/>
    <w:rsid w:val="00026320"/>
    <w:rsid w:val="000263CE"/>
    <w:rsid w:val="000264D5"/>
    <w:rsid w:val="00026BFD"/>
    <w:rsid w:val="00026C5D"/>
    <w:rsid w:val="000270EF"/>
    <w:rsid w:val="00027445"/>
    <w:rsid w:val="00030D84"/>
    <w:rsid w:val="0003129D"/>
    <w:rsid w:val="000319F6"/>
    <w:rsid w:val="0003207B"/>
    <w:rsid w:val="00032423"/>
    <w:rsid w:val="000327FE"/>
    <w:rsid w:val="00033800"/>
    <w:rsid w:val="000356E0"/>
    <w:rsid w:val="00035BF2"/>
    <w:rsid w:val="00035FC8"/>
    <w:rsid w:val="000371C5"/>
    <w:rsid w:val="000371D0"/>
    <w:rsid w:val="00037BC3"/>
    <w:rsid w:val="000403F1"/>
    <w:rsid w:val="00041281"/>
    <w:rsid w:val="00041304"/>
    <w:rsid w:val="000418D3"/>
    <w:rsid w:val="00041E27"/>
    <w:rsid w:val="0004270D"/>
    <w:rsid w:val="00042882"/>
    <w:rsid w:val="00043A4E"/>
    <w:rsid w:val="0004510D"/>
    <w:rsid w:val="00045585"/>
    <w:rsid w:val="000463B0"/>
    <w:rsid w:val="00046613"/>
    <w:rsid w:val="00046997"/>
    <w:rsid w:val="00047797"/>
    <w:rsid w:val="00050004"/>
    <w:rsid w:val="00050CA2"/>
    <w:rsid w:val="00051E7A"/>
    <w:rsid w:val="0005255A"/>
    <w:rsid w:val="0005268C"/>
    <w:rsid w:val="00052CF2"/>
    <w:rsid w:val="00053B8E"/>
    <w:rsid w:val="00054032"/>
    <w:rsid w:val="0005428A"/>
    <w:rsid w:val="000544D9"/>
    <w:rsid w:val="00054DE8"/>
    <w:rsid w:val="0005584D"/>
    <w:rsid w:val="00055A67"/>
    <w:rsid w:val="00055FA8"/>
    <w:rsid w:val="0005607E"/>
    <w:rsid w:val="0005617F"/>
    <w:rsid w:val="000566B5"/>
    <w:rsid w:val="000570ED"/>
    <w:rsid w:val="00057391"/>
    <w:rsid w:val="00057745"/>
    <w:rsid w:val="000606B7"/>
    <w:rsid w:val="00060DA9"/>
    <w:rsid w:val="00061D58"/>
    <w:rsid w:val="0006315C"/>
    <w:rsid w:val="00063651"/>
    <w:rsid w:val="0006395C"/>
    <w:rsid w:val="00064F1E"/>
    <w:rsid w:val="00065CD3"/>
    <w:rsid w:val="00065F00"/>
    <w:rsid w:val="00065FDF"/>
    <w:rsid w:val="000664AA"/>
    <w:rsid w:val="000675E1"/>
    <w:rsid w:val="00067B6B"/>
    <w:rsid w:val="00067ED2"/>
    <w:rsid w:val="00070307"/>
    <w:rsid w:val="000704F6"/>
    <w:rsid w:val="00070759"/>
    <w:rsid w:val="000715DF"/>
    <w:rsid w:val="0007244B"/>
    <w:rsid w:val="000728E2"/>
    <w:rsid w:val="0007427A"/>
    <w:rsid w:val="000751B8"/>
    <w:rsid w:val="00076E89"/>
    <w:rsid w:val="00077A1C"/>
    <w:rsid w:val="00080D87"/>
    <w:rsid w:val="00081499"/>
    <w:rsid w:val="00081969"/>
    <w:rsid w:val="000827D4"/>
    <w:rsid w:val="000831D4"/>
    <w:rsid w:val="00085A0B"/>
    <w:rsid w:val="00086148"/>
    <w:rsid w:val="0008650A"/>
    <w:rsid w:val="00086DEB"/>
    <w:rsid w:val="00087AF5"/>
    <w:rsid w:val="00090137"/>
    <w:rsid w:val="00090744"/>
    <w:rsid w:val="00090D5D"/>
    <w:rsid w:val="00091713"/>
    <w:rsid w:val="000921D3"/>
    <w:rsid w:val="00093FB1"/>
    <w:rsid w:val="00094462"/>
    <w:rsid w:val="00094ACB"/>
    <w:rsid w:val="0009574D"/>
    <w:rsid w:val="000960E2"/>
    <w:rsid w:val="00097028"/>
    <w:rsid w:val="00097EFD"/>
    <w:rsid w:val="000A2404"/>
    <w:rsid w:val="000A283A"/>
    <w:rsid w:val="000A39DE"/>
    <w:rsid w:val="000A3DA6"/>
    <w:rsid w:val="000A4098"/>
    <w:rsid w:val="000A4873"/>
    <w:rsid w:val="000A5745"/>
    <w:rsid w:val="000A6CEB"/>
    <w:rsid w:val="000B1039"/>
    <w:rsid w:val="000B1930"/>
    <w:rsid w:val="000B2D25"/>
    <w:rsid w:val="000B46C3"/>
    <w:rsid w:val="000B5BE4"/>
    <w:rsid w:val="000B5F36"/>
    <w:rsid w:val="000B66E0"/>
    <w:rsid w:val="000B672C"/>
    <w:rsid w:val="000B7B92"/>
    <w:rsid w:val="000C004B"/>
    <w:rsid w:val="000C00FF"/>
    <w:rsid w:val="000C180D"/>
    <w:rsid w:val="000C2321"/>
    <w:rsid w:val="000C2A68"/>
    <w:rsid w:val="000C32DE"/>
    <w:rsid w:val="000C344F"/>
    <w:rsid w:val="000C3D28"/>
    <w:rsid w:val="000C3E83"/>
    <w:rsid w:val="000C469A"/>
    <w:rsid w:val="000C54F1"/>
    <w:rsid w:val="000C5888"/>
    <w:rsid w:val="000C6843"/>
    <w:rsid w:val="000C737F"/>
    <w:rsid w:val="000C73BE"/>
    <w:rsid w:val="000C7BBE"/>
    <w:rsid w:val="000D0598"/>
    <w:rsid w:val="000D05E6"/>
    <w:rsid w:val="000D07DE"/>
    <w:rsid w:val="000D0E27"/>
    <w:rsid w:val="000D1668"/>
    <w:rsid w:val="000D1700"/>
    <w:rsid w:val="000D2062"/>
    <w:rsid w:val="000D2A1B"/>
    <w:rsid w:val="000D2CE4"/>
    <w:rsid w:val="000D2F55"/>
    <w:rsid w:val="000D3158"/>
    <w:rsid w:val="000D3A54"/>
    <w:rsid w:val="000D3CC1"/>
    <w:rsid w:val="000D6360"/>
    <w:rsid w:val="000D6426"/>
    <w:rsid w:val="000D691F"/>
    <w:rsid w:val="000D6BC1"/>
    <w:rsid w:val="000D6C19"/>
    <w:rsid w:val="000D6CBF"/>
    <w:rsid w:val="000D7B24"/>
    <w:rsid w:val="000D7F8B"/>
    <w:rsid w:val="000E0663"/>
    <w:rsid w:val="000E0A98"/>
    <w:rsid w:val="000E0D3E"/>
    <w:rsid w:val="000E1A7F"/>
    <w:rsid w:val="000E23D9"/>
    <w:rsid w:val="000E2B0B"/>
    <w:rsid w:val="000E2E64"/>
    <w:rsid w:val="000E36BB"/>
    <w:rsid w:val="000E3D23"/>
    <w:rsid w:val="000E5A7A"/>
    <w:rsid w:val="000E5E86"/>
    <w:rsid w:val="000E6CC8"/>
    <w:rsid w:val="000E6F34"/>
    <w:rsid w:val="000E7647"/>
    <w:rsid w:val="000F05A5"/>
    <w:rsid w:val="000F08F8"/>
    <w:rsid w:val="000F10E1"/>
    <w:rsid w:val="000F1688"/>
    <w:rsid w:val="000F32C0"/>
    <w:rsid w:val="000F38C3"/>
    <w:rsid w:val="000F38E8"/>
    <w:rsid w:val="000F3A05"/>
    <w:rsid w:val="000F4971"/>
    <w:rsid w:val="000F4D68"/>
    <w:rsid w:val="000F5702"/>
    <w:rsid w:val="000F5AAD"/>
    <w:rsid w:val="000F5B48"/>
    <w:rsid w:val="000F69FF"/>
    <w:rsid w:val="000F6E8F"/>
    <w:rsid w:val="000F759D"/>
    <w:rsid w:val="000F7BEA"/>
    <w:rsid w:val="000F7FCE"/>
    <w:rsid w:val="001001B9"/>
    <w:rsid w:val="0010033E"/>
    <w:rsid w:val="00100361"/>
    <w:rsid w:val="00100A10"/>
    <w:rsid w:val="00101FA4"/>
    <w:rsid w:val="00101FF3"/>
    <w:rsid w:val="00102551"/>
    <w:rsid w:val="0010269A"/>
    <w:rsid w:val="001027AE"/>
    <w:rsid w:val="00102A8E"/>
    <w:rsid w:val="00102D4D"/>
    <w:rsid w:val="0010335A"/>
    <w:rsid w:val="00105D5A"/>
    <w:rsid w:val="00105DE1"/>
    <w:rsid w:val="00106063"/>
    <w:rsid w:val="00106168"/>
    <w:rsid w:val="00106EFB"/>
    <w:rsid w:val="00106FFE"/>
    <w:rsid w:val="001074CC"/>
    <w:rsid w:val="001104A9"/>
    <w:rsid w:val="00110D17"/>
    <w:rsid w:val="00111125"/>
    <w:rsid w:val="00111783"/>
    <w:rsid w:val="001126B2"/>
    <w:rsid w:val="001127CE"/>
    <w:rsid w:val="0011292A"/>
    <w:rsid w:val="00114F2A"/>
    <w:rsid w:val="0011575B"/>
    <w:rsid w:val="001157E1"/>
    <w:rsid w:val="00115E70"/>
    <w:rsid w:val="001162B9"/>
    <w:rsid w:val="00116A35"/>
    <w:rsid w:val="00117AC0"/>
    <w:rsid w:val="00120C58"/>
    <w:rsid w:val="001218D9"/>
    <w:rsid w:val="001225F0"/>
    <w:rsid w:val="001234E9"/>
    <w:rsid w:val="001236D2"/>
    <w:rsid w:val="001238D5"/>
    <w:rsid w:val="001240D0"/>
    <w:rsid w:val="00124266"/>
    <w:rsid w:val="001249A4"/>
    <w:rsid w:val="00124E2F"/>
    <w:rsid w:val="00124EFC"/>
    <w:rsid w:val="0012514E"/>
    <w:rsid w:val="00125259"/>
    <w:rsid w:val="00125D46"/>
    <w:rsid w:val="0012607D"/>
    <w:rsid w:val="00126816"/>
    <w:rsid w:val="00126B60"/>
    <w:rsid w:val="00126BD7"/>
    <w:rsid w:val="00126F59"/>
    <w:rsid w:val="001273DD"/>
    <w:rsid w:val="00127F53"/>
    <w:rsid w:val="0013019F"/>
    <w:rsid w:val="00130202"/>
    <w:rsid w:val="00132836"/>
    <w:rsid w:val="0013285B"/>
    <w:rsid w:val="00132FE9"/>
    <w:rsid w:val="0013355F"/>
    <w:rsid w:val="00134001"/>
    <w:rsid w:val="00135068"/>
    <w:rsid w:val="00135255"/>
    <w:rsid w:val="001352BF"/>
    <w:rsid w:val="00135528"/>
    <w:rsid w:val="0013562A"/>
    <w:rsid w:val="00135C8D"/>
    <w:rsid w:val="0013634F"/>
    <w:rsid w:val="00137A8A"/>
    <w:rsid w:val="001401C9"/>
    <w:rsid w:val="0014028E"/>
    <w:rsid w:val="00140849"/>
    <w:rsid w:val="00141920"/>
    <w:rsid w:val="00141EC1"/>
    <w:rsid w:val="0014270C"/>
    <w:rsid w:val="00142CE5"/>
    <w:rsid w:val="00142ECF"/>
    <w:rsid w:val="0014465A"/>
    <w:rsid w:val="0014475D"/>
    <w:rsid w:val="001469A6"/>
    <w:rsid w:val="00146EA7"/>
    <w:rsid w:val="001475D0"/>
    <w:rsid w:val="001477DC"/>
    <w:rsid w:val="00147AEF"/>
    <w:rsid w:val="00147D42"/>
    <w:rsid w:val="0015138B"/>
    <w:rsid w:val="00151607"/>
    <w:rsid w:val="001516D7"/>
    <w:rsid w:val="00151806"/>
    <w:rsid w:val="001518B7"/>
    <w:rsid w:val="00151BCC"/>
    <w:rsid w:val="0015394B"/>
    <w:rsid w:val="00153BBE"/>
    <w:rsid w:val="00153BE0"/>
    <w:rsid w:val="001548E5"/>
    <w:rsid w:val="00154FF8"/>
    <w:rsid w:val="001550BD"/>
    <w:rsid w:val="00155F1B"/>
    <w:rsid w:val="001565AC"/>
    <w:rsid w:val="00156B19"/>
    <w:rsid w:val="00157D0A"/>
    <w:rsid w:val="0016108B"/>
    <w:rsid w:val="001610E8"/>
    <w:rsid w:val="00161451"/>
    <w:rsid w:val="00161B59"/>
    <w:rsid w:val="00162182"/>
    <w:rsid w:val="001626B4"/>
    <w:rsid w:val="00163110"/>
    <w:rsid w:val="001638E3"/>
    <w:rsid w:val="00163C39"/>
    <w:rsid w:val="00165C93"/>
    <w:rsid w:val="00166481"/>
    <w:rsid w:val="00166B8D"/>
    <w:rsid w:val="00167497"/>
    <w:rsid w:val="00167C04"/>
    <w:rsid w:val="00167F7E"/>
    <w:rsid w:val="00170504"/>
    <w:rsid w:val="00170C58"/>
    <w:rsid w:val="00171BAC"/>
    <w:rsid w:val="00174A62"/>
    <w:rsid w:val="00174DFA"/>
    <w:rsid w:val="00175002"/>
    <w:rsid w:val="00175247"/>
    <w:rsid w:val="001759DB"/>
    <w:rsid w:val="00175A83"/>
    <w:rsid w:val="00175BD4"/>
    <w:rsid w:val="00175F55"/>
    <w:rsid w:val="00176555"/>
    <w:rsid w:val="00177CBE"/>
    <w:rsid w:val="00177D03"/>
    <w:rsid w:val="001800D7"/>
    <w:rsid w:val="00181075"/>
    <w:rsid w:val="001813FC"/>
    <w:rsid w:val="0018148D"/>
    <w:rsid w:val="001818F3"/>
    <w:rsid w:val="001820F0"/>
    <w:rsid w:val="00182473"/>
    <w:rsid w:val="001829E0"/>
    <w:rsid w:val="001830DA"/>
    <w:rsid w:val="00184788"/>
    <w:rsid w:val="00184BF6"/>
    <w:rsid w:val="00184F66"/>
    <w:rsid w:val="00185002"/>
    <w:rsid w:val="00191661"/>
    <w:rsid w:val="00191C4F"/>
    <w:rsid w:val="00192520"/>
    <w:rsid w:val="001925CF"/>
    <w:rsid w:val="0019275E"/>
    <w:rsid w:val="00192B66"/>
    <w:rsid w:val="001935CA"/>
    <w:rsid w:val="001935D9"/>
    <w:rsid w:val="00194327"/>
    <w:rsid w:val="001944FC"/>
    <w:rsid w:val="001946CD"/>
    <w:rsid w:val="001952FE"/>
    <w:rsid w:val="00196282"/>
    <w:rsid w:val="00196509"/>
    <w:rsid w:val="001967A0"/>
    <w:rsid w:val="00196C28"/>
    <w:rsid w:val="00197DEA"/>
    <w:rsid w:val="001A0D7F"/>
    <w:rsid w:val="001A0DEC"/>
    <w:rsid w:val="001A1866"/>
    <w:rsid w:val="001A1F5F"/>
    <w:rsid w:val="001A2165"/>
    <w:rsid w:val="001A2776"/>
    <w:rsid w:val="001A431D"/>
    <w:rsid w:val="001A6233"/>
    <w:rsid w:val="001A6373"/>
    <w:rsid w:val="001A67D4"/>
    <w:rsid w:val="001A74DD"/>
    <w:rsid w:val="001B0B65"/>
    <w:rsid w:val="001B0BE7"/>
    <w:rsid w:val="001B0C14"/>
    <w:rsid w:val="001B149F"/>
    <w:rsid w:val="001B1540"/>
    <w:rsid w:val="001B1CE2"/>
    <w:rsid w:val="001B1FF4"/>
    <w:rsid w:val="001B26CF"/>
    <w:rsid w:val="001B2F44"/>
    <w:rsid w:val="001B3087"/>
    <w:rsid w:val="001B3141"/>
    <w:rsid w:val="001B3232"/>
    <w:rsid w:val="001B39B9"/>
    <w:rsid w:val="001B42AF"/>
    <w:rsid w:val="001B53F7"/>
    <w:rsid w:val="001B563A"/>
    <w:rsid w:val="001B5FDC"/>
    <w:rsid w:val="001B69FB"/>
    <w:rsid w:val="001B715C"/>
    <w:rsid w:val="001B76F9"/>
    <w:rsid w:val="001B7DE4"/>
    <w:rsid w:val="001C05C1"/>
    <w:rsid w:val="001C3061"/>
    <w:rsid w:val="001C3155"/>
    <w:rsid w:val="001C3200"/>
    <w:rsid w:val="001C3276"/>
    <w:rsid w:val="001C3284"/>
    <w:rsid w:val="001C4937"/>
    <w:rsid w:val="001C4D42"/>
    <w:rsid w:val="001C50F2"/>
    <w:rsid w:val="001C588E"/>
    <w:rsid w:val="001C5EA9"/>
    <w:rsid w:val="001C6F8A"/>
    <w:rsid w:val="001C78DC"/>
    <w:rsid w:val="001C7A05"/>
    <w:rsid w:val="001D012E"/>
    <w:rsid w:val="001D09BC"/>
    <w:rsid w:val="001D1275"/>
    <w:rsid w:val="001D1D8C"/>
    <w:rsid w:val="001D2655"/>
    <w:rsid w:val="001D27AA"/>
    <w:rsid w:val="001D27F3"/>
    <w:rsid w:val="001D2E07"/>
    <w:rsid w:val="001D301E"/>
    <w:rsid w:val="001D393D"/>
    <w:rsid w:val="001D3CD4"/>
    <w:rsid w:val="001D3E5E"/>
    <w:rsid w:val="001D54B7"/>
    <w:rsid w:val="001D608D"/>
    <w:rsid w:val="001D60C4"/>
    <w:rsid w:val="001D60FC"/>
    <w:rsid w:val="001D65E6"/>
    <w:rsid w:val="001E0141"/>
    <w:rsid w:val="001E0655"/>
    <w:rsid w:val="001E07B9"/>
    <w:rsid w:val="001E0DCA"/>
    <w:rsid w:val="001E1242"/>
    <w:rsid w:val="001E1C55"/>
    <w:rsid w:val="001E1D6F"/>
    <w:rsid w:val="001E213E"/>
    <w:rsid w:val="001E223A"/>
    <w:rsid w:val="001E232D"/>
    <w:rsid w:val="001E237E"/>
    <w:rsid w:val="001E280B"/>
    <w:rsid w:val="001E28A2"/>
    <w:rsid w:val="001E2D93"/>
    <w:rsid w:val="001E2FC0"/>
    <w:rsid w:val="001E3278"/>
    <w:rsid w:val="001E3A59"/>
    <w:rsid w:val="001E3FF2"/>
    <w:rsid w:val="001E43BE"/>
    <w:rsid w:val="001E457D"/>
    <w:rsid w:val="001E4796"/>
    <w:rsid w:val="001E4954"/>
    <w:rsid w:val="001E4D55"/>
    <w:rsid w:val="001E539B"/>
    <w:rsid w:val="001E74F4"/>
    <w:rsid w:val="001F0DAD"/>
    <w:rsid w:val="001F2499"/>
    <w:rsid w:val="001F26CC"/>
    <w:rsid w:val="001F2F98"/>
    <w:rsid w:val="001F356B"/>
    <w:rsid w:val="001F48E5"/>
    <w:rsid w:val="001F49E8"/>
    <w:rsid w:val="001F4ADC"/>
    <w:rsid w:val="001F602A"/>
    <w:rsid w:val="001F6052"/>
    <w:rsid w:val="001F6505"/>
    <w:rsid w:val="001F7545"/>
    <w:rsid w:val="001F77EF"/>
    <w:rsid w:val="002001B5"/>
    <w:rsid w:val="00200B6E"/>
    <w:rsid w:val="0020162A"/>
    <w:rsid w:val="00201BD0"/>
    <w:rsid w:val="0020230C"/>
    <w:rsid w:val="0020248C"/>
    <w:rsid w:val="00202902"/>
    <w:rsid w:val="00202E46"/>
    <w:rsid w:val="00202FFD"/>
    <w:rsid w:val="002031C0"/>
    <w:rsid w:val="0020334B"/>
    <w:rsid w:val="00203D55"/>
    <w:rsid w:val="00204355"/>
    <w:rsid w:val="00204ECE"/>
    <w:rsid w:val="00206C08"/>
    <w:rsid w:val="0021106F"/>
    <w:rsid w:val="00211433"/>
    <w:rsid w:val="00211D2C"/>
    <w:rsid w:val="002121C5"/>
    <w:rsid w:val="00212CA7"/>
    <w:rsid w:val="0021331F"/>
    <w:rsid w:val="00213356"/>
    <w:rsid w:val="0021355F"/>
    <w:rsid w:val="0021442A"/>
    <w:rsid w:val="0021478E"/>
    <w:rsid w:val="00215624"/>
    <w:rsid w:val="002166C6"/>
    <w:rsid w:val="00217269"/>
    <w:rsid w:val="002174E7"/>
    <w:rsid w:val="0021764F"/>
    <w:rsid w:val="00217B44"/>
    <w:rsid w:val="00217C52"/>
    <w:rsid w:val="002203DE"/>
    <w:rsid w:val="002210B5"/>
    <w:rsid w:val="002221E2"/>
    <w:rsid w:val="00222444"/>
    <w:rsid w:val="00222A94"/>
    <w:rsid w:val="00222C65"/>
    <w:rsid w:val="00222C74"/>
    <w:rsid w:val="00222D6C"/>
    <w:rsid w:val="00222E8A"/>
    <w:rsid w:val="00223160"/>
    <w:rsid w:val="0022392B"/>
    <w:rsid w:val="002244EF"/>
    <w:rsid w:val="00225F37"/>
    <w:rsid w:val="00226219"/>
    <w:rsid w:val="00227785"/>
    <w:rsid w:val="00227913"/>
    <w:rsid w:val="00227F12"/>
    <w:rsid w:val="00230F25"/>
    <w:rsid w:val="002312C9"/>
    <w:rsid w:val="00231532"/>
    <w:rsid w:val="00231570"/>
    <w:rsid w:val="00231D4A"/>
    <w:rsid w:val="00232299"/>
    <w:rsid w:val="00234A67"/>
    <w:rsid w:val="00234C46"/>
    <w:rsid w:val="00234DD2"/>
    <w:rsid w:val="00234FCF"/>
    <w:rsid w:val="00235264"/>
    <w:rsid w:val="00235926"/>
    <w:rsid w:val="0023641B"/>
    <w:rsid w:val="00236D8E"/>
    <w:rsid w:val="002400DB"/>
    <w:rsid w:val="002401C2"/>
    <w:rsid w:val="002409A6"/>
    <w:rsid w:val="00240A00"/>
    <w:rsid w:val="002419E3"/>
    <w:rsid w:val="00241AD5"/>
    <w:rsid w:val="00241B84"/>
    <w:rsid w:val="002437F8"/>
    <w:rsid w:val="00243FED"/>
    <w:rsid w:val="00244B5B"/>
    <w:rsid w:val="0024507F"/>
    <w:rsid w:val="002454E3"/>
    <w:rsid w:val="0024711E"/>
    <w:rsid w:val="002516BB"/>
    <w:rsid w:val="002523DB"/>
    <w:rsid w:val="00252453"/>
    <w:rsid w:val="00252AF2"/>
    <w:rsid w:val="002533A9"/>
    <w:rsid w:val="0025391C"/>
    <w:rsid w:val="0025473E"/>
    <w:rsid w:val="002548A0"/>
    <w:rsid w:val="00254AF5"/>
    <w:rsid w:val="00254D24"/>
    <w:rsid w:val="00254FF8"/>
    <w:rsid w:val="002559B6"/>
    <w:rsid w:val="00255E80"/>
    <w:rsid w:val="00256710"/>
    <w:rsid w:val="002567D9"/>
    <w:rsid w:val="00257445"/>
    <w:rsid w:val="00257594"/>
    <w:rsid w:val="00257ACA"/>
    <w:rsid w:val="00257D15"/>
    <w:rsid w:val="0026028A"/>
    <w:rsid w:val="00261D35"/>
    <w:rsid w:val="002620E0"/>
    <w:rsid w:val="0026256F"/>
    <w:rsid w:val="0026267C"/>
    <w:rsid w:val="002627B1"/>
    <w:rsid w:val="002629F8"/>
    <w:rsid w:val="00263A40"/>
    <w:rsid w:val="0026428A"/>
    <w:rsid w:val="00265F65"/>
    <w:rsid w:val="00266224"/>
    <w:rsid w:val="0026647D"/>
    <w:rsid w:val="00266CC3"/>
    <w:rsid w:val="002679F5"/>
    <w:rsid w:val="00267A40"/>
    <w:rsid w:val="00267DC2"/>
    <w:rsid w:val="002700E4"/>
    <w:rsid w:val="00270349"/>
    <w:rsid w:val="0027153A"/>
    <w:rsid w:val="00271E9A"/>
    <w:rsid w:val="002722D4"/>
    <w:rsid w:val="00272315"/>
    <w:rsid w:val="00272D05"/>
    <w:rsid w:val="00273255"/>
    <w:rsid w:val="00273862"/>
    <w:rsid w:val="0027434E"/>
    <w:rsid w:val="00274E64"/>
    <w:rsid w:val="00274E67"/>
    <w:rsid w:val="0027556F"/>
    <w:rsid w:val="00275BAC"/>
    <w:rsid w:val="00275EF4"/>
    <w:rsid w:val="002776F6"/>
    <w:rsid w:val="0027773A"/>
    <w:rsid w:val="00280078"/>
    <w:rsid w:val="0028039E"/>
    <w:rsid w:val="00280F23"/>
    <w:rsid w:val="002813C9"/>
    <w:rsid w:val="00281980"/>
    <w:rsid w:val="00281BCE"/>
    <w:rsid w:val="00282B0F"/>
    <w:rsid w:val="00283A61"/>
    <w:rsid w:val="0028444F"/>
    <w:rsid w:val="00285C62"/>
    <w:rsid w:val="002900EF"/>
    <w:rsid w:val="00291F11"/>
    <w:rsid w:val="00292857"/>
    <w:rsid w:val="00292898"/>
    <w:rsid w:val="00292E97"/>
    <w:rsid w:val="002933A6"/>
    <w:rsid w:val="00293551"/>
    <w:rsid w:val="00293E72"/>
    <w:rsid w:val="0029445B"/>
    <w:rsid w:val="00294A54"/>
    <w:rsid w:val="00294DCE"/>
    <w:rsid w:val="00295208"/>
    <w:rsid w:val="00297284"/>
    <w:rsid w:val="002974FB"/>
    <w:rsid w:val="00297D18"/>
    <w:rsid w:val="00297D74"/>
    <w:rsid w:val="00297FAE"/>
    <w:rsid w:val="002A0191"/>
    <w:rsid w:val="002A0325"/>
    <w:rsid w:val="002A082B"/>
    <w:rsid w:val="002A0E22"/>
    <w:rsid w:val="002A15AA"/>
    <w:rsid w:val="002A1BD4"/>
    <w:rsid w:val="002A22F0"/>
    <w:rsid w:val="002A2E40"/>
    <w:rsid w:val="002A3358"/>
    <w:rsid w:val="002A4050"/>
    <w:rsid w:val="002A45FB"/>
    <w:rsid w:val="002A4BD0"/>
    <w:rsid w:val="002A4C2D"/>
    <w:rsid w:val="002A565F"/>
    <w:rsid w:val="002A573F"/>
    <w:rsid w:val="002A59A2"/>
    <w:rsid w:val="002A5ED1"/>
    <w:rsid w:val="002A61E2"/>
    <w:rsid w:val="002A6976"/>
    <w:rsid w:val="002A6E9A"/>
    <w:rsid w:val="002B07B7"/>
    <w:rsid w:val="002B10FC"/>
    <w:rsid w:val="002B224D"/>
    <w:rsid w:val="002B23FE"/>
    <w:rsid w:val="002B2620"/>
    <w:rsid w:val="002B26E4"/>
    <w:rsid w:val="002B330D"/>
    <w:rsid w:val="002B345C"/>
    <w:rsid w:val="002B4072"/>
    <w:rsid w:val="002B4451"/>
    <w:rsid w:val="002B4A7B"/>
    <w:rsid w:val="002B52A4"/>
    <w:rsid w:val="002B5A68"/>
    <w:rsid w:val="002B5F0B"/>
    <w:rsid w:val="002B60D6"/>
    <w:rsid w:val="002B7306"/>
    <w:rsid w:val="002B76F5"/>
    <w:rsid w:val="002C0A28"/>
    <w:rsid w:val="002C1202"/>
    <w:rsid w:val="002C16EB"/>
    <w:rsid w:val="002C1B87"/>
    <w:rsid w:val="002C2548"/>
    <w:rsid w:val="002C2845"/>
    <w:rsid w:val="002C28F2"/>
    <w:rsid w:val="002C3B98"/>
    <w:rsid w:val="002C3F22"/>
    <w:rsid w:val="002C40BD"/>
    <w:rsid w:val="002C476E"/>
    <w:rsid w:val="002C671C"/>
    <w:rsid w:val="002C720A"/>
    <w:rsid w:val="002D05BE"/>
    <w:rsid w:val="002D1809"/>
    <w:rsid w:val="002D1AB9"/>
    <w:rsid w:val="002D2672"/>
    <w:rsid w:val="002D268D"/>
    <w:rsid w:val="002D2E8C"/>
    <w:rsid w:val="002D31A6"/>
    <w:rsid w:val="002D50B6"/>
    <w:rsid w:val="002D5B29"/>
    <w:rsid w:val="002D6EDC"/>
    <w:rsid w:val="002D7180"/>
    <w:rsid w:val="002D7725"/>
    <w:rsid w:val="002D7938"/>
    <w:rsid w:val="002D7939"/>
    <w:rsid w:val="002D7B41"/>
    <w:rsid w:val="002E02BD"/>
    <w:rsid w:val="002E02C8"/>
    <w:rsid w:val="002E2BD7"/>
    <w:rsid w:val="002E3017"/>
    <w:rsid w:val="002E35B6"/>
    <w:rsid w:val="002E3B56"/>
    <w:rsid w:val="002E3D34"/>
    <w:rsid w:val="002E4218"/>
    <w:rsid w:val="002E4487"/>
    <w:rsid w:val="002E5813"/>
    <w:rsid w:val="002E5D21"/>
    <w:rsid w:val="002E61D8"/>
    <w:rsid w:val="002E686C"/>
    <w:rsid w:val="002E747F"/>
    <w:rsid w:val="002E7C5C"/>
    <w:rsid w:val="002F0026"/>
    <w:rsid w:val="002F0652"/>
    <w:rsid w:val="002F0B5D"/>
    <w:rsid w:val="002F0C4B"/>
    <w:rsid w:val="002F110E"/>
    <w:rsid w:val="002F1E10"/>
    <w:rsid w:val="002F360B"/>
    <w:rsid w:val="002F46EC"/>
    <w:rsid w:val="002F479D"/>
    <w:rsid w:val="002F4AF7"/>
    <w:rsid w:val="002F5D3A"/>
    <w:rsid w:val="002F6E62"/>
    <w:rsid w:val="002F71F9"/>
    <w:rsid w:val="002F72C9"/>
    <w:rsid w:val="002F7794"/>
    <w:rsid w:val="002F7C2C"/>
    <w:rsid w:val="0030081B"/>
    <w:rsid w:val="00300E00"/>
    <w:rsid w:val="0030224F"/>
    <w:rsid w:val="003034EB"/>
    <w:rsid w:val="00304007"/>
    <w:rsid w:val="00305617"/>
    <w:rsid w:val="00306AF8"/>
    <w:rsid w:val="00306F1C"/>
    <w:rsid w:val="00306F28"/>
    <w:rsid w:val="0030741F"/>
    <w:rsid w:val="00307E3A"/>
    <w:rsid w:val="00310921"/>
    <w:rsid w:val="0031122F"/>
    <w:rsid w:val="00311567"/>
    <w:rsid w:val="003128E3"/>
    <w:rsid w:val="00312C22"/>
    <w:rsid w:val="00312E04"/>
    <w:rsid w:val="00313537"/>
    <w:rsid w:val="00313B8E"/>
    <w:rsid w:val="00315927"/>
    <w:rsid w:val="00315CC0"/>
    <w:rsid w:val="00315F0D"/>
    <w:rsid w:val="00316121"/>
    <w:rsid w:val="00316A7B"/>
    <w:rsid w:val="00317581"/>
    <w:rsid w:val="00317806"/>
    <w:rsid w:val="00317815"/>
    <w:rsid w:val="003205F7"/>
    <w:rsid w:val="00320FBD"/>
    <w:rsid w:val="003222B2"/>
    <w:rsid w:val="00322D1E"/>
    <w:rsid w:val="003230A4"/>
    <w:rsid w:val="00323B2B"/>
    <w:rsid w:val="003243EE"/>
    <w:rsid w:val="00324743"/>
    <w:rsid w:val="00324A48"/>
    <w:rsid w:val="00325174"/>
    <w:rsid w:val="003252F0"/>
    <w:rsid w:val="00326FC0"/>
    <w:rsid w:val="003302B8"/>
    <w:rsid w:val="00330BBF"/>
    <w:rsid w:val="00331ECE"/>
    <w:rsid w:val="003326FB"/>
    <w:rsid w:val="00332723"/>
    <w:rsid w:val="00332A51"/>
    <w:rsid w:val="0033356B"/>
    <w:rsid w:val="00333FFC"/>
    <w:rsid w:val="00334AB6"/>
    <w:rsid w:val="00334FB0"/>
    <w:rsid w:val="00334FB6"/>
    <w:rsid w:val="00335BDC"/>
    <w:rsid w:val="00336BCB"/>
    <w:rsid w:val="0033762E"/>
    <w:rsid w:val="0033776F"/>
    <w:rsid w:val="00337C05"/>
    <w:rsid w:val="003401A7"/>
    <w:rsid w:val="00340A50"/>
    <w:rsid w:val="00341453"/>
    <w:rsid w:val="0034153E"/>
    <w:rsid w:val="00341A4B"/>
    <w:rsid w:val="0034224F"/>
    <w:rsid w:val="003427EA"/>
    <w:rsid w:val="003434D6"/>
    <w:rsid w:val="003437DC"/>
    <w:rsid w:val="00344B50"/>
    <w:rsid w:val="0034554C"/>
    <w:rsid w:val="003461CD"/>
    <w:rsid w:val="003463D4"/>
    <w:rsid w:val="003476B2"/>
    <w:rsid w:val="00347F68"/>
    <w:rsid w:val="003501D8"/>
    <w:rsid w:val="003507F8"/>
    <w:rsid w:val="003516A1"/>
    <w:rsid w:val="003521DE"/>
    <w:rsid w:val="00352655"/>
    <w:rsid w:val="00352EA7"/>
    <w:rsid w:val="003533BB"/>
    <w:rsid w:val="003537AF"/>
    <w:rsid w:val="0035429F"/>
    <w:rsid w:val="00354A31"/>
    <w:rsid w:val="003555E6"/>
    <w:rsid w:val="00355C6E"/>
    <w:rsid w:val="00355EDE"/>
    <w:rsid w:val="00355FE2"/>
    <w:rsid w:val="00356C67"/>
    <w:rsid w:val="00357F73"/>
    <w:rsid w:val="00360115"/>
    <w:rsid w:val="003602D4"/>
    <w:rsid w:val="00361A78"/>
    <w:rsid w:val="00361B74"/>
    <w:rsid w:val="00362CC2"/>
    <w:rsid w:val="00362DF7"/>
    <w:rsid w:val="00363765"/>
    <w:rsid w:val="003637BF"/>
    <w:rsid w:val="00363B2B"/>
    <w:rsid w:val="00364BA0"/>
    <w:rsid w:val="00364D15"/>
    <w:rsid w:val="0036602B"/>
    <w:rsid w:val="00367197"/>
    <w:rsid w:val="00370410"/>
    <w:rsid w:val="003706DD"/>
    <w:rsid w:val="00371167"/>
    <w:rsid w:val="003715DB"/>
    <w:rsid w:val="00371932"/>
    <w:rsid w:val="00371A57"/>
    <w:rsid w:val="0037276D"/>
    <w:rsid w:val="00375027"/>
    <w:rsid w:val="0037552D"/>
    <w:rsid w:val="003757C3"/>
    <w:rsid w:val="0037623A"/>
    <w:rsid w:val="00376773"/>
    <w:rsid w:val="0038006D"/>
    <w:rsid w:val="00380F18"/>
    <w:rsid w:val="00381658"/>
    <w:rsid w:val="00381F58"/>
    <w:rsid w:val="003821A8"/>
    <w:rsid w:val="0038236B"/>
    <w:rsid w:val="00383337"/>
    <w:rsid w:val="00383B2B"/>
    <w:rsid w:val="00383B9D"/>
    <w:rsid w:val="00383C18"/>
    <w:rsid w:val="003850C2"/>
    <w:rsid w:val="00385F28"/>
    <w:rsid w:val="00386BD3"/>
    <w:rsid w:val="00390527"/>
    <w:rsid w:val="0039103D"/>
    <w:rsid w:val="003911BF"/>
    <w:rsid w:val="003914AA"/>
    <w:rsid w:val="003915EB"/>
    <w:rsid w:val="0039192A"/>
    <w:rsid w:val="0039237A"/>
    <w:rsid w:val="00392F2C"/>
    <w:rsid w:val="003931EB"/>
    <w:rsid w:val="00393497"/>
    <w:rsid w:val="003936CB"/>
    <w:rsid w:val="00393941"/>
    <w:rsid w:val="00394BBB"/>
    <w:rsid w:val="00395780"/>
    <w:rsid w:val="00395A02"/>
    <w:rsid w:val="00396EDD"/>
    <w:rsid w:val="00397483"/>
    <w:rsid w:val="00397F6F"/>
    <w:rsid w:val="003A1032"/>
    <w:rsid w:val="003A178D"/>
    <w:rsid w:val="003A19A9"/>
    <w:rsid w:val="003A1DEB"/>
    <w:rsid w:val="003A2A80"/>
    <w:rsid w:val="003A5396"/>
    <w:rsid w:val="003A57DD"/>
    <w:rsid w:val="003A5AFB"/>
    <w:rsid w:val="003A6D1F"/>
    <w:rsid w:val="003B093D"/>
    <w:rsid w:val="003B1443"/>
    <w:rsid w:val="003B15A3"/>
    <w:rsid w:val="003B31F8"/>
    <w:rsid w:val="003B3253"/>
    <w:rsid w:val="003B3D76"/>
    <w:rsid w:val="003B4524"/>
    <w:rsid w:val="003B4CF5"/>
    <w:rsid w:val="003B53B6"/>
    <w:rsid w:val="003B53BE"/>
    <w:rsid w:val="003B548B"/>
    <w:rsid w:val="003B5551"/>
    <w:rsid w:val="003B5C4A"/>
    <w:rsid w:val="003B6208"/>
    <w:rsid w:val="003B681C"/>
    <w:rsid w:val="003B74BA"/>
    <w:rsid w:val="003C0155"/>
    <w:rsid w:val="003C151D"/>
    <w:rsid w:val="003C15FD"/>
    <w:rsid w:val="003C16BA"/>
    <w:rsid w:val="003C20C5"/>
    <w:rsid w:val="003C2391"/>
    <w:rsid w:val="003C2827"/>
    <w:rsid w:val="003C2EF1"/>
    <w:rsid w:val="003C3046"/>
    <w:rsid w:val="003C3A47"/>
    <w:rsid w:val="003C3BD7"/>
    <w:rsid w:val="003C41F6"/>
    <w:rsid w:val="003C4496"/>
    <w:rsid w:val="003C462F"/>
    <w:rsid w:val="003C63A0"/>
    <w:rsid w:val="003C7A9C"/>
    <w:rsid w:val="003C7C83"/>
    <w:rsid w:val="003D03B9"/>
    <w:rsid w:val="003D0DCB"/>
    <w:rsid w:val="003D1132"/>
    <w:rsid w:val="003D1BD4"/>
    <w:rsid w:val="003D1DD8"/>
    <w:rsid w:val="003D2053"/>
    <w:rsid w:val="003D2D3B"/>
    <w:rsid w:val="003D2D66"/>
    <w:rsid w:val="003D39C5"/>
    <w:rsid w:val="003D39CC"/>
    <w:rsid w:val="003D40EB"/>
    <w:rsid w:val="003D4111"/>
    <w:rsid w:val="003D4E97"/>
    <w:rsid w:val="003D4F96"/>
    <w:rsid w:val="003D5661"/>
    <w:rsid w:val="003D577E"/>
    <w:rsid w:val="003D586B"/>
    <w:rsid w:val="003D694B"/>
    <w:rsid w:val="003D69E9"/>
    <w:rsid w:val="003D6E9C"/>
    <w:rsid w:val="003D79BF"/>
    <w:rsid w:val="003D7FE2"/>
    <w:rsid w:val="003E089B"/>
    <w:rsid w:val="003E0D3A"/>
    <w:rsid w:val="003E236A"/>
    <w:rsid w:val="003E28A5"/>
    <w:rsid w:val="003E2E25"/>
    <w:rsid w:val="003E38F8"/>
    <w:rsid w:val="003E3911"/>
    <w:rsid w:val="003E4298"/>
    <w:rsid w:val="003E50BE"/>
    <w:rsid w:val="003E536F"/>
    <w:rsid w:val="003E5B6F"/>
    <w:rsid w:val="003E735A"/>
    <w:rsid w:val="003E774F"/>
    <w:rsid w:val="003E7C79"/>
    <w:rsid w:val="003E7EAF"/>
    <w:rsid w:val="003E7F8F"/>
    <w:rsid w:val="003F0BD3"/>
    <w:rsid w:val="003F140B"/>
    <w:rsid w:val="003F1867"/>
    <w:rsid w:val="003F1AD0"/>
    <w:rsid w:val="003F2730"/>
    <w:rsid w:val="003F2B81"/>
    <w:rsid w:val="003F2F6D"/>
    <w:rsid w:val="003F33ED"/>
    <w:rsid w:val="003F4768"/>
    <w:rsid w:val="003F47A7"/>
    <w:rsid w:val="003F49AE"/>
    <w:rsid w:val="003F4CE1"/>
    <w:rsid w:val="003F5BD1"/>
    <w:rsid w:val="003F5C0D"/>
    <w:rsid w:val="003F6859"/>
    <w:rsid w:val="003F7128"/>
    <w:rsid w:val="003F735A"/>
    <w:rsid w:val="003F7B26"/>
    <w:rsid w:val="003F7B99"/>
    <w:rsid w:val="003F7C54"/>
    <w:rsid w:val="004004D8"/>
    <w:rsid w:val="0040080B"/>
    <w:rsid w:val="004009C0"/>
    <w:rsid w:val="00400F7D"/>
    <w:rsid w:val="00401011"/>
    <w:rsid w:val="00401960"/>
    <w:rsid w:val="004022BD"/>
    <w:rsid w:val="00402717"/>
    <w:rsid w:val="00403724"/>
    <w:rsid w:val="00403B17"/>
    <w:rsid w:val="0040416E"/>
    <w:rsid w:val="00404DEF"/>
    <w:rsid w:val="00405C29"/>
    <w:rsid w:val="00405FCF"/>
    <w:rsid w:val="00406A6A"/>
    <w:rsid w:val="0040769C"/>
    <w:rsid w:val="00407D98"/>
    <w:rsid w:val="00410983"/>
    <w:rsid w:val="00410D11"/>
    <w:rsid w:val="00411947"/>
    <w:rsid w:val="00411D69"/>
    <w:rsid w:val="00412708"/>
    <w:rsid w:val="004129E6"/>
    <w:rsid w:val="00412DF1"/>
    <w:rsid w:val="00413ABC"/>
    <w:rsid w:val="0041414F"/>
    <w:rsid w:val="00415CF7"/>
    <w:rsid w:val="00417597"/>
    <w:rsid w:val="00417920"/>
    <w:rsid w:val="00417D1A"/>
    <w:rsid w:val="0042060E"/>
    <w:rsid w:val="00420DEE"/>
    <w:rsid w:val="00420F7D"/>
    <w:rsid w:val="00421397"/>
    <w:rsid w:val="004215F5"/>
    <w:rsid w:val="00421E8F"/>
    <w:rsid w:val="004222FF"/>
    <w:rsid w:val="00422DD5"/>
    <w:rsid w:val="00423202"/>
    <w:rsid w:val="004247D7"/>
    <w:rsid w:val="0042500B"/>
    <w:rsid w:val="004257D3"/>
    <w:rsid w:val="00425CF6"/>
    <w:rsid w:val="0042752A"/>
    <w:rsid w:val="00427956"/>
    <w:rsid w:val="00430CD1"/>
    <w:rsid w:val="004315EA"/>
    <w:rsid w:val="00431E24"/>
    <w:rsid w:val="00432186"/>
    <w:rsid w:val="0043269C"/>
    <w:rsid w:val="00432E00"/>
    <w:rsid w:val="00432F10"/>
    <w:rsid w:val="00432FA5"/>
    <w:rsid w:val="004336B7"/>
    <w:rsid w:val="0043586E"/>
    <w:rsid w:val="00435985"/>
    <w:rsid w:val="00435B2B"/>
    <w:rsid w:val="00435B75"/>
    <w:rsid w:val="0043606A"/>
    <w:rsid w:val="004360E5"/>
    <w:rsid w:val="00436998"/>
    <w:rsid w:val="00436F67"/>
    <w:rsid w:val="004372EE"/>
    <w:rsid w:val="004405D0"/>
    <w:rsid w:val="00441A38"/>
    <w:rsid w:val="00442C44"/>
    <w:rsid w:val="004438EC"/>
    <w:rsid w:val="00443BFC"/>
    <w:rsid w:val="004457D5"/>
    <w:rsid w:val="00445EAF"/>
    <w:rsid w:val="00446905"/>
    <w:rsid w:val="00446EF4"/>
    <w:rsid w:val="00450125"/>
    <w:rsid w:val="00450327"/>
    <w:rsid w:val="00450F6E"/>
    <w:rsid w:val="00451159"/>
    <w:rsid w:val="0045147F"/>
    <w:rsid w:val="0045218A"/>
    <w:rsid w:val="0045272B"/>
    <w:rsid w:val="00452802"/>
    <w:rsid w:val="004539A9"/>
    <w:rsid w:val="004539DC"/>
    <w:rsid w:val="00454105"/>
    <w:rsid w:val="00454C8B"/>
    <w:rsid w:val="00455AB6"/>
    <w:rsid w:val="00455D7F"/>
    <w:rsid w:val="00456950"/>
    <w:rsid w:val="0045718A"/>
    <w:rsid w:val="0045771C"/>
    <w:rsid w:val="00457D01"/>
    <w:rsid w:val="00457DAF"/>
    <w:rsid w:val="004604FF"/>
    <w:rsid w:val="00460780"/>
    <w:rsid w:val="00460A42"/>
    <w:rsid w:val="00460B48"/>
    <w:rsid w:val="00460CDF"/>
    <w:rsid w:val="00461536"/>
    <w:rsid w:val="004617C1"/>
    <w:rsid w:val="00462DCA"/>
    <w:rsid w:val="00463A18"/>
    <w:rsid w:val="00464498"/>
    <w:rsid w:val="004645AE"/>
    <w:rsid w:val="004645CE"/>
    <w:rsid w:val="004652DD"/>
    <w:rsid w:val="00465432"/>
    <w:rsid w:val="00465831"/>
    <w:rsid w:val="00465AF3"/>
    <w:rsid w:val="00465B65"/>
    <w:rsid w:val="00466097"/>
    <w:rsid w:val="00466143"/>
    <w:rsid w:val="004671B7"/>
    <w:rsid w:val="00467488"/>
    <w:rsid w:val="00467E2A"/>
    <w:rsid w:val="0047008B"/>
    <w:rsid w:val="0047031D"/>
    <w:rsid w:val="004705A8"/>
    <w:rsid w:val="0047062C"/>
    <w:rsid w:val="00471740"/>
    <w:rsid w:val="00471881"/>
    <w:rsid w:val="00471A25"/>
    <w:rsid w:val="00472211"/>
    <w:rsid w:val="00472FC3"/>
    <w:rsid w:val="00473CF3"/>
    <w:rsid w:val="0047413A"/>
    <w:rsid w:val="0047428D"/>
    <w:rsid w:val="00474980"/>
    <w:rsid w:val="004750C2"/>
    <w:rsid w:val="00475669"/>
    <w:rsid w:val="004759DD"/>
    <w:rsid w:val="00476E4F"/>
    <w:rsid w:val="004770C8"/>
    <w:rsid w:val="004775AA"/>
    <w:rsid w:val="0048046F"/>
    <w:rsid w:val="0048078E"/>
    <w:rsid w:val="00481012"/>
    <w:rsid w:val="00481631"/>
    <w:rsid w:val="00481A32"/>
    <w:rsid w:val="00482BC0"/>
    <w:rsid w:val="00483658"/>
    <w:rsid w:val="00483778"/>
    <w:rsid w:val="00483F1C"/>
    <w:rsid w:val="00484E69"/>
    <w:rsid w:val="00485B71"/>
    <w:rsid w:val="00485ED6"/>
    <w:rsid w:val="00485F4E"/>
    <w:rsid w:val="00486A14"/>
    <w:rsid w:val="00486DF9"/>
    <w:rsid w:val="004870D3"/>
    <w:rsid w:val="004873A6"/>
    <w:rsid w:val="004875C4"/>
    <w:rsid w:val="0048798D"/>
    <w:rsid w:val="00487CF0"/>
    <w:rsid w:val="004911F2"/>
    <w:rsid w:val="00491B52"/>
    <w:rsid w:val="00491E34"/>
    <w:rsid w:val="00493499"/>
    <w:rsid w:val="0049521C"/>
    <w:rsid w:val="004954A6"/>
    <w:rsid w:val="00495620"/>
    <w:rsid w:val="00495B6B"/>
    <w:rsid w:val="0049642D"/>
    <w:rsid w:val="00496B4A"/>
    <w:rsid w:val="00497527"/>
    <w:rsid w:val="00497A7D"/>
    <w:rsid w:val="00497D41"/>
    <w:rsid w:val="004A0040"/>
    <w:rsid w:val="004A0176"/>
    <w:rsid w:val="004A191A"/>
    <w:rsid w:val="004A1A27"/>
    <w:rsid w:val="004A3101"/>
    <w:rsid w:val="004A4A9B"/>
    <w:rsid w:val="004A5ACE"/>
    <w:rsid w:val="004A6606"/>
    <w:rsid w:val="004A691D"/>
    <w:rsid w:val="004A6E83"/>
    <w:rsid w:val="004A6EC7"/>
    <w:rsid w:val="004B0B10"/>
    <w:rsid w:val="004B1CE5"/>
    <w:rsid w:val="004B2CF6"/>
    <w:rsid w:val="004B3F02"/>
    <w:rsid w:val="004B4223"/>
    <w:rsid w:val="004B446E"/>
    <w:rsid w:val="004B45D5"/>
    <w:rsid w:val="004B4E2F"/>
    <w:rsid w:val="004B5074"/>
    <w:rsid w:val="004B51F2"/>
    <w:rsid w:val="004B586C"/>
    <w:rsid w:val="004B5AF8"/>
    <w:rsid w:val="004B67BA"/>
    <w:rsid w:val="004B6D2C"/>
    <w:rsid w:val="004B7A18"/>
    <w:rsid w:val="004B7FB2"/>
    <w:rsid w:val="004C127A"/>
    <w:rsid w:val="004C2617"/>
    <w:rsid w:val="004C2ACA"/>
    <w:rsid w:val="004C2FE4"/>
    <w:rsid w:val="004C33AA"/>
    <w:rsid w:val="004C36F0"/>
    <w:rsid w:val="004C3752"/>
    <w:rsid w:val="004C3DF3"/>
    <w:rsid w:val="004C43F1"/>
    <w:rsid w:val="004C476A"/>
    <w:rsid w:val="004C5766"/>
    <w:rsid w:val="004C5807"/>
    <w:rsid w:val="004C5CBF"/>
    <w:rsid w:val="004C5DA8"/>
    <w:rsid w:val="004C6AF9"/>
    <w:rsid w:val="004C743E"/>
    <w:rsid w:val="004C75EC"/>
    <w:rsid w:val="004C7E38"/>
    <w:rsid w:val="004D00B2"/>
    <w:rsid w:val="004D0670"/>
    <w:rsid w:val="004D0FCD"/>
    <w:rsid w:val="004D1981"/>
    <w:rsid w:val="004D1B8B"/>
    <w:rsid w:val="004D245D"/>
    <w:rsid w:val="004D2C0F"/>
    <w:rsid w:val="004D2EB6"/>
    <w:rsid w:val="004D362B"/>
    <w:rsid w:val="004D3A8F"/>
    <w:rsid w:val="004D3C6C"/>
    <w:rsid w:val="004D43BA"/>
    <w:rsid w:val="004D501C"/>
    <w:rsid w:val="004D50FD"/>
    <w:rsid w:val="004D52A9"/>
    <w:rsid w:val="004D5EBB"/>
    <w:rsid w:val="004D62E6"/>
    <w:rsid w:val="004D6A78"/>
    <w:rsid w:val="004D6AFB"/>
    <w:rsid w:val="004D70BB"/>
    <w:rsid w:val="004D7AA4"/>
    <w:rsid w:val="004D7E41"/>
    <w:rsid w:val="004E0079"/>
    <w:rsid w:val="004E118E"/>
    <w:rsid w:val="004E1832"/>
    <w:rsid w:val="004E2A19"/>
    <w:rsid w:val="004E327B"/>
    <w:rsid w:val="004E430C"/>
    <w:rsid w:val="004E5614"/>
    <w:rsid w:val="004E61C0"/>
    <w:rsid w:val="004E63B6"/>
    <w:rsid w:val="004E6855"/>
    <w:rsid w:val="004E7324"/>
    <w:rsid w:val="004E78AE"/>
    <w:rsid w:val="004E7CA8"/>
    <w:rsid w:val="004F00D0"/>
    <w:rsid w:val="004F0554"/>
    <w:rsid w:val="004F10A5"/>
    <w:rsid w:val="004F17D8"/>
    <w:rsid w:val="004F2257"/>
    <w:rsid w:val="004F2DD5"/>
    <w:rsid w:val="004F2F04"/>
    <w:rsid w:val="004F32BF"/>
    <w:rsid w:val="004F3439"/>
    <w:rsid w:val="004F3816"/>
    <w:rsid w:val="004F3A79"/>
    <w:rsid w:val="004F3B49"/>
    <w:rsid w:val="004F3D26"/>
    <w:rsid w:val="004F430E"/>
    <w:rsid w:val="004F5553"/>
    <w:rsid w:val="004F652A"/>
    <w:rsid w:val="004F6CE5"/>
    <w:rsid w:val="004F7497"/>
    <w:rsid w:val="00500261"/>
    <w:rsid w:val="005006D1"/>
    <w:rsid w:val="0050104A"/>
    <w:rsid w:val="0050207F"/>
    <w:rsid w:val="00502850"/>
    <w:rsid w:val="005031E5"/>
    <w:rsid w:val="0050338F"/>
    <w:rsid w:val="0050541B"/>
    <w:rsid w:val="005054D7"/>
    <w:rsid w:val="00505950"/>
    <w:rsid w:val="0050604C"/>
    <w:rsid w:val="00506352"/>
    <w:rsid w:val="0050773C"/>
    <w:rsid w:val="00507C9F"/>
    <w:rsid w:val="00507D90"/>
    <w:rsid w:val="00507DAF"/>
    <w:rsid w:val="00507EFA"/>
    <w:rsid w:val="005101C1"/>
    <w:rsid w:val="00510670"/>
    <w:rsid w:val="00510A59"/>
    <w:rsid w:val="00510C27"/>
    <w:rsid w:val="005121CD"/>
    <w:rsid w:val="005124E3"/>
    <w:rsid w:val="00513831"/>
    <w:rsid w:val="00513844"/>
    <w:rsid w:val="0051405C"/>
    <w:rsid w:val="00514EF6"/>
    <w:rsid w:val="00515D49"/>
    <w:rsid w:val="005164DD"/>
    <w:rsid w:val="00516CA4"/>
    <w:rsid w:val="0051747A"/>
    <w:rsid w:val="0051750A"/>
    <w:rsid w:val="005176B8"/>
    <w:rsid w:val="0052056D"/>
    <w:rsid w:val="0052148F"/>
    <w:rsid w:val="005217A6"/>
    <w:rsid w:val="005217E9"/>
    <w:rsid w:val="005225A9"/>
    <w:rsid w:val="00522BC5"/>
    <w:rsid w:val="00522E54"/>
    <w:rsid w:val="005235CC"/>
    <w:rsid w:val="00523DFC"/>
    <w:rsid w:val="00525F05"/>
    <w:rsid w:val="0052638B"/>
    <w:rsid w:val="00526DB8"/>
    <w:rsid w:val="005273D1"/>
    <w:rsid w:val="005276D1"/>
    <w:rsid w:val="0052793A"/>
    <w:rsid w:val="005300C0"/>
    <w:rsid w:val="00530282"/>
    <w:rsid w:val="00530378"/>
    <w:rsid w:val="0053109A"/>
    <w:rsid w:val="0053158E"/>
    <w:rsid w:val="005315A5"/>
    <w:rsid w:val="00532407"/>
    <w:rsid w:val="0053264B"/>
    <w:rsid w:val="0053355B"/>
    <w:rsid w:val="0053356B"/>
    <w:rsid w:val="00535E27"/>
    <w:rsid w:val="005373C8"/>
    <w:rsid w:val="00537791"/>
    <w:rsid w:val="005401B3"/>
    <w:rsid w:val="0054050A"/>
    <w:rsid w:val="0054128C"/>
    <w:rsid w:val="00541A7A"/>
    <w:rsid w:val="005421D6"/>
    <w:rsid w:val="0054233F"/>
    <w:rsid w:val="00542395"/>
    <w:rsid w:val="00542924"/>
    <w:rsid w:val="00542ABF"/>
    <w:rsid w:val="00542B16"/>
    <w:rsid w:val="005431D6"/>
    <w:rsid w:val="005436D5"/>
    <w:rsid w:val="00543FB2"/>
    <w:rsid w:val="00544419"/>
    <w:rsid w:val="00544807"/>
    <w:rsid w:val="00545797"/>
    <w:rsid w:val="00545E64"/>
    <w:rsid w:val="0054607C"/>
    <w:rsid w:val="005465A3"/>
    <w:rsid w:val="0054730D"/>
    <w:rsid w:val="00547464"/>
    <w:rsid w:val="00547656"/>
    <w:rsid w:val="00547759"/>
    <w:rsid w:val="00547815"/>
    <w:rsid w:val="00550AD2"/>
    <w:rsid w:val="00550FB5"/>
    <w:rsid w:val="005511C2"/>
    <w:rsid w:val="0055180D"/>
    <w:rsid w:val="00551FBD"/>
    <w:rsid w:val="005521A5"/>
    <w:rsid w:val="00552FAF"/>
    <w:rsid w:val="005532A2"/>
    <w:rsid w:val="00553744"/>
    <w:rsid w:val="00553B24"/>
    <w:rsid w:val="00553EBC"/>
    <w:rsid w:val="00554407"/>
    <w:rsid w:val="005564B0"/>
    <w:rsid w:val="0055658F"/>
    <w:rsid w:val="005572B7"/>
    <w:rsid w:val="00560286"/>
    <w:rsid w:val="0056076A"/>
    <w:rsid w:val="00560BA4"/>
    <w:rsid w:val="00560D1B"/>
    <w:rsid w:val="00561674"/>
    <w:rsid w:val="005640F1"/>
    <w:rsid w:val="005643A5"/>
    <w:rsid w:val="005645F5"/>
    <w:rsid w:val="00564966"/>
    <w:rsid w:val="00564DF8"/>
    <w:rsid w:val="0056588A"/>
    <w:rsid w:val="00565A50"/>
    <w:rsid w:val="00567720"/>
    <w:rsid w:val="005706E9"/>
    <w:rsid w:val="0057077D"/>
    <w:rsid w:val="0057082E"/>
    <w:rsid w:val="00570B8D"/>
    <w:rsid w:val="00570DBC"/>
    <w:rsid w:val="00572015"/>
    <w:rsid w:val="0057240C"/>
    <w:rsid w:val="00572C3A"/>
    <w:rsid w:val="00572D53"/>
    <w:rsid w:val="00572EEF"/>
    <w:rsid w:val="00572FC4"/>
    <w:rsid w:val="005730DC"/>
    <w:rsid w:val="0057401D"/>
    <w:rsid w:val="00574459"/>
    <w:rsid w:val="0057473B"/>
    <w:rsid w:val="00574BD1"/>
    <w:rsid w:val="00575C88"/>
    <w:rsid w:val="00575EB7"/>
    <w:rsid w:val="005760E1"/>
    <w:rsid w:val="00577225"/>
    <w:rsid w:val="0058011D"/>
    <w:rsid w:val="00580129"/>
    <w:rsid w:val="005805BA"/>
    <w:rsid w:val="00581828"/>
    <w:rsid w:val="0058195D"/>
    <w:rsid w:val="0058207D"/>
    <w:rsid w:val="0058232C"/>
    <w:rsid w:val="005826F0"/>
    <w:rsid w:val="00583113"/>
    <w:rsid w:val="0058464A"/>
    <w:rsid w:val="005849D4"/>
    <w:rsid w:val="005850E9"/>
    <w:rsid w:val="005852A2"/>
    <w:rsid w:val="00585C9D"/>
    <w:rsid w:val="00585D85"/>
    <w:rsid w:val="00585E45"/>
    <w:rsid w:val="00586683"/>
    <w:rsid w:val="0058691A"/>
    <w:rsid w:val="00587D34"/>
    <w:rsid w:val="0059059B"/>
    <w:rsid w:val="00590BA0"/>
    <w:rsid w:val="00590D2C"/>
    <w:rsid w:val="00590F9F"/>
    <w:rsid w:val="0059173E"/>
    <w:rsid w:val="00591C5D"/>
    <w:rsid w:val="00591DAD"/>
    <w:rsid w:val="00592762"/>
    <w:rsid w:val="005937C0"/>
    <w:rsid w:val="00594222"/>
    <w:rsid w:val="005942EF"/>
    <w:rsid w:val="0059448E"/>
    <w:rsid w:val="0059503D"/>
    <w:rsid w:val="00595178"/>
    <w:rsid w:val="005953B8"/>
    <w:rsid w:val="00595EAB"/>
    <w:rsid w:val="00596621"/>
    <w:rsid w:val="005966D8"/>
    <w:rsid w:val="00596A3E"/>
    <w:rsid w:val="005974A6"/>
    <w:rsid w:val="005978F4"/>
    <w:rsid w:val="00597A56"/>
    <w:rsid w:val="005A0343"/>
    <w:rsid w:val="005A0BA4"/>
    <w:rsid w:val="005A2D68"/>
    <w:rsid w:val="005A3793"/>
    <w:rsid w:val="005A38DB"/>
    <w:rsid w:val="005A3A50"/>
    <w:rsid w:val="005A3E63"/>
    <w:rsid w:val="005A44A8"/>
    <w:rsid w:val="005A5297"/>
    <w:rsid w:val="005A694A"/>
    <w:rsid w:val="005A6963"/>
    <w:rsid w:val="005A6C1D"/>
    <w:rsid w:val="005A6CAB"/>
    <w:rsid w:val="005A6ED1"/>
    <w:rsid w:val="005B047F"/>
    <w:rsid w:val="005B0488"/>
    <w:rsid w:val="005B06FF"/>
    <w:rsid w:val="005B0C8A"/>
    <w:rsid w:val="005B1AED"/>
    <w:rsid w:val="005B1D61"/>
    <w:rsid w:val="005B231F"/>
    <w:rsid w:val="005B36F9"/>
    <w:rsid w:val="005B46B3"/>
    <w:rsid w:val="005B46C7"/>
    <w:rsid w:val="005B4FC1"/>
    <w:rsid w:val="005B55E5"/>
    <w:rsid w:val="005B602C"/>
    <w:rsid w:val="005B62C4"/>
    <w:rsid w:val="005B6D4F"/>
    <w:rsid w:val="005B6D87"/>
    <w:rsid w:val="005B724C"/>
    <w:rsid w:val="005B7E18"/>
    <w:rsid w:val="005C03B2"/>
    <w:rsid w:val="005C0600"/>
    <w:rsid w:val="005C0CEC"/>
    <w:rsid w:val="005C1DEB"/>
    <w:rsid w:val="005C35BD"/>
    <w:rsid w:val="005C3FD3"/>
    <w:rsid w:val="005C548C"/>
    <w:rsid w:val="005C5D4D"/>
    <w:rsid w:val="005C61BC"/>
    <w:rsid w:val="005C639B"/>
    <w:rsid w:val="005C6FA1"/>
    <w:rsid w:val="005D10E7"/>
    <w:rsid w:val="005D12D6"/>
    <w:rsid w:val="005D18BC"/>
    <w:rsid w:val="005D19B9"/>
    <w:rsid w:val="005D1B22"/>
    <w:rsid w:val="005D22A2"/>
    <w:rsid w:val="005D25E8"/>
    <w:rsid w:val="005D26AC"/>
    <w:rsid w:val="005D3434"/>
    <w:rsid w:val="005D3AAF"/>
    <w:rsid w:val="005D4918"/>
    <w:rsid w:val="005D51A7"/>
    <w:rsid w:val="005D5312"/>
    <w:rsid w:val="005D5C92"/>
    <w:rsid w:val="005D5CC5"/>
    <w:rsid w:val="005D5DD8"/>
    <w:rsid w:val="005E01E2"/>
    <w:rsid w:val="005E09D2"/>
    <w:rsid w:val="005E0E7D"/>
    <w:rsid w:val="005E1BD0"/>
    <w:rsid w:val="005E2052"/>
    <w:rsid w:val="005E2F87"/>
    <w:rsid w:val="005E31C6"/>
    <w:rsid w:val="005E328A"/>
    <w:rsid w:val="005E3648"/>
    <w:rsid w:val="005E48FF"/>
    <w:rsid w:val="005E6B49"/>
    <w:rsid w:val="005E7ABA"/>
    <w:rsid w:val="005F02E4"/>
    <w:rsid w:val="005F0F7F"/>
    <w:rsid w:val="005F19D0"/>
    <w:rsid w:val="005F2185"/>
    <w:rsid w:val="005F2BB9"/>
    <w:rsid w:val="005F2D16"/>
    <w:rsid w:val="005F5429"/>
    <w:rsid w:val="005F60D6"/>
    <w:rsid w:val="005F6882"/>
    <w:rsid w:val="005F68D5"/>
    <w:rsid w:val="005F70B0"/>
    <w:rsid w:val="005F72E4"/>
    <w:rsid w:val="005F7534"/>
    <w:rsid w:val="0060021C"/>
    <w:rsid w:val="00600C36"/>
    <w:rsid w:val="006019D2"/>
    <w:rsid w:val="00604324"/>
    <w:rsid w:val="00605EDD"/>
    <w:rsid w:val="006105E8"/>
    <w:rsid w:val="0061078E"/>
    <w:rsid w:val="0061095C"/>
    <w:rsid w:val="00612576"/>
    <w:rsid w:val="00612686"/>
    <w:rsid w:val="00612C46"/>
    <w:rsid w:val="0061336F"/>
    <w:rsid w:val="006138E2"/>
    <w:rsid w:val="00613E6E"/>
    <w:rsid w:val="00614153"/>
    <w:rsid w:val="00614367"/>
    <w:rsid w:val="0061452C"/>
    <w:rsid w:val="0061489D"/>
    <w:rsid w:val="00614D42"/>
    <w:rsid w:val="006160B6"/>
    <w:rsid w:val="0061697D"/>
    <w:rsid w:val="00616B0F"/>
    <w:rsid w:val="006204B1"/>
    <w:rsid w:val="006213A2"/>
    <w:rsid w:val="00621747"/>
    <w:rsid w:val="00621A37"/>
    <w:rsid w:val="00621F43"/>
    <w:rsid w:val="00622277"/>
    <w:rsid w:val="00622646"/>
    <w:rsid w:val="00622A60"/>
    <w:rsid w:val="00622BB8"/>
    <w:rsid w:val="0062326C"/>
    <w:rsid w:val="006232E4"/>
    <w:rsid w:val="00623E2E"/>
    <w:rsid w:val="006246ED"/>
    <w:rsid w:val="00624FE9"/>
    <w:rsid w:val="006252C6"/>
    <w:rsid w:val="00625782"/>
    <w:rsid w:val="006257AE"/>
    <w:rsid w:val="00625C93"/>
    <w:rsid w:val="00626466"/>
    <w:rsid w:val="00626DFC"/>
    <w:rsid w:val="00626E05"/>
    <w:rsid w:val="00626E3D"/>
    <w:rsid w:val="00627D3C"/>
    <w:rsid w:val="00630A5B"/>
    <w:rsid w:val="00630E6F"/>
    <w:rsid w:val="0063178B"/>
    <w:rsid w:val="00631B03"/>
    <w:rsid w:val="00631F67"/>
    <w:rsid w:val="00631F6E"/>
    <w:rsid w:val="006324B2"/>
    <w:rsid w:val="00632822"/>
    <w:rsid w:val="00632C25"/>
    <w:rsid w:val="00632E56"/>
    <w:rsid w:val="006341A4"/>
    <w:rsid w:val="00634969"/>
    <w:rsid w:val="00634E48"/>
    <w:rsid w:val="00635189"/>
    <w:rsid w:val="0063542C"/>
    <w:rsid w:val="0063591A"/>
    <w:rsid w:val="00635927"/>
    <w:rsid w:val="0063594E"/>
    <w:rsid w:val="006359B0"/>
    <w:rsid w:val="00636444"/>
    <w:rsid w:val="006409CE"/>
    <w:rsid w:val="00642C36"/>
    <w:rsid w:val="00642F3E"/>
    <w:rsid w:val="00643A55"/>
    <w:rsid w:val="00643CA1"/>
    <w:rsid w:val="00644583"/>
    <w:rsid w:val="00644594"/>
    <w:rsid w:val="0064467C"/>
    <w:rsid w:val="00644BD3"/>
    <w:rsid w:val="00644BF9"/>
    <w:rsid w:val="00644FE7"/>
    <w:rsid w:val="00645354"/>
    <w:rsid w:val="00645AF5"/>
    <w:rsid w:val="00646801"/>
    <w:rsid w:val="00646EAC"/>
    <w:rsid w:val="00647010"/>
    <w:rsid w:val="006472DF"/>
    <w:rsid w:val="00647A51"/>
    <w:rsid w:val="0065062B"/>
    <w:rsid w:val="00650896"/>
    <w:rsid w:val="00650AEF"/>
    <w:rsid w:val="0065157E"/>
    <w:rsid w:val="00651647"/>
    <w:rsid w:val="00653895"/>
    <w:rsid w:val="00653ECA"/>
    <w:rsid w:val="00654164"/>
    <w:rsid w:val="0065473C"/>
    <w:rsid w:val="00654EFA"/>
    <w:rsid w:val="00654F27"/>
    <w:rsid w:val="00654FEC"/>
    <w:rsid w:val="0065524D"/>
    <w:rsid w:val="00655782"/>
    <w:rsid w:val="00655A2F"/>
    <w:rsid w:val="00655AC0"/>
    <w:rsid w:val="006570D2"/>
    <w:rsid w:val="0065757F"/>
    <w:rsid w:val="00657CB7"/>
    <w:rsid w:val="00660461"/>
    <w:rsid w:val="00660803"/>
    <w:rsid w:val="00661D6A"/>
    <w:rsid w:val="00661E27"/>
    <w:rsid w:val="006633A6"/>
    <w:rsid w:val="00663A12"/>
    <w:rsid w:val="00663C67"/>
    <w:rsid w:val="00663C7A"/>
    <w:rsid w:val="00664D8B"/>
    <w:rsid w:val="00665208"/>
    <w:rsid w:val="00665292"/>
    <w:rsid w:val="00665E94"/>
    <w:rsid w:val="006662C0"/>
    <w:rsid w:val="006669DC"/>
    <w:rsid w:val="00667424"/>
    <w:rsid w:val="00670CB5"/>
    <w:rsid w:val="00670F14"/>
    <w:rsid w:val="0067106B"/>
    <w:rsid w:val="00671C8B"/>
    <w:rsid w:val="00672E74"/>
    <w:rsid w:val="00676650"/>
    <w:rsid w:val="00677264"/>
    <w:rsid w:val="006773CA"/>
    <w:rsid w:val="006801E7"/>
    <w:rsid w:val="00681BD5"/>
    <w:rsid w:val="006824A1"/>
    <w:rsid w:val="00682865"/>
    <w:rsid w:val="006828F6"/>
    <w:rsid w:val="00685177"/>
    <w:rsid w:val="006860B9"/>
    <w:rsid w:val="00686DA5"/>
    <w:rsid w:val="006911F9"/>
    <w:rsid w:val="006913AB"/>
    <w:rsid w:val="0069144E"/>
    <w:rsid w:val="00691E2D"/>
    <w:rsid w:val="0069262A"/>
    <w:rsid w:val="00692CD9"/>
    <w:rsid w:val="00692E74"/>
    <w:rsid w:val="00693172"/>
    <w:rsid w:val="006934B6"/>
    <w:rsid w:val="0069469E"/>
    <w:rsid w:val="006947B8"/>
    <w:rsid w:val="006951EC"/>
    <w:rsid w:val="00696487"/>
    <w:rsid w:val="00697EA5"/>
    <w:rsid w:val="00697EA7"/>
    <w:rsid w:val="00697EB5"/>
    <w:rsid w:val="006A0619"/>
    <w:rsid w:val="006A076F"/>
    <w:rsid w:val="006A096E"/>
    <w:rsid w:val="006A1136"/>
    <w:rsid w:val="006A2566"/>
    <w:rsid w:val="006A282A"/>
    <w:rsid w:val="006A2835"/>
    <w:rsid w:val="006A31E5"/>
    <w:rsid w:val="006A34AB"/>
    <w:rsid w:val="006A34ED"/>
    <w:rsid w:val="006A4238"/>
    <w:rsid w:val="006A4A05"/>
    <w:rsid w:val="006A50C5"/>
    <w:rsid w:val="006A5777"/>
    <w:rsid w:val="006A5930"/>
    <w:rsid w:val="006A5B59"/>
    <w:rsid w:val="006A5E7D"/>
    <w:rsid w:val="006A62C3"/>
    <w:rsid w:val="006A68FF"/>
    <w:rsid w:val="006A76B2"/>
    <w:rsid w:val="006A7B6C"/>
    <w:rsid w:val="006B014A"/>
    <w:rsid w:val="006B014D"/>
    <w:rsid w:val="006B024B"/>
    <w:rsid w:val="006B0B66"/>
    <w:rsid w:val="006B17A0"/>
    <w:rsid w:val="006B204A"/>
    <w:rsid w:val="006B313C"/>
    <w:rsid w:val="006B31C2"/>
    <w:rsid w:val="006B358E"/>
    <w:rsid w:val="006B36E9"/>
    <w:rsid w:val="006B44AF"/>
    <w:rsid w:val="006B5233"/>
    <w:rsid w:val="006B5E7A"/>
    <w:rsid w:val="006B63F6"/>
    <w:rsid w:val="006B6D25"/>
    <w:rsid w:val="006B7534"/>
    <w:rsid w:val="006B7CDB"/>
    <w:rsid w:val="006C086B"/>
    <w:rsid w:val="006C11A8"/>
    <w:rsid w:val="006C15AE"/>
    <w:rsid w:val="006C1E6A"/>
    <w:rsid w:val="006C33BC"/>
    <w:rsid w:val="006C3466"/>
    <w:rsid w:val="006C4128"/>
    <w:rsid w:val="006C43A4"/>
    <w:rsid w:val="006C5104"/>
    <w:rsid w:val="006C578B"/>
    <w:rsid w:val="006C5961"/>
    <w:rsid w:val="006C6A12"/>
    <w:rsid w:val="006C73F0"/>
    <w:rsid w:val="006C7A52"/>
    <w:rsid w:val="006D0E3A"/>
    <w:rsid w:val="006D1150"/>
    <w:rsid w:val="006D1187"/>
    <w:rsid w:val="006D16E8"/>
    <w:rsid w:val="006D1737"/>
    <w:rsid w:val="006D4708"/>
    <w:rsid w:val="006D4FFF"/>
    <w:rsid w:val="006D5AE5"/>
    <w:rsid w:val="006D5C36"/>
    <w:rsid w:val="006D61D2"/>
    <w:rsid w:val="006D68B4"/>
    <w:rsid w:val="006D774B"/>
    <w:rsid w:val="006D7DB9"/>
    <w:rsid w:val="006D7DFD"/>
    <w:rsid w:val="006D7EF2"/>
    <w:rsid w:val="006E0782"/>
    <w:rsid w:val="006E0F82"/>
    <w:rsid w:val="006E122C"/>
    <w:rsid w:val="006E1291"/>
    <w:rsid w:val="006E1AFE"/>
    <w:rsid w:val="006E1D6E"/>
    <w:rsid w:val="006E1E78"/>
    <w:rsid w:val="006E267D"/>
    <w:rsid w:val="006E2B65"/>
    <w:rsid w:val="006E2C5D"/>
    <w:rsid w:val="006E2E55"/>
    <w:rsid w:val="006E3890"/>
    <w:rsid w:val="006E3BB7"/>
    <w:rsid w:val="006E3F08"/>
    <w:rsid w:val="006E53F0"/>
    <w:rsid w:val="006E6419"/>
    <w:rsid w:val="006E69AA"/>
    <w:rsid w:val="006E6F0E"/>
    <w:rsid w:val="006E72DC"/>
    <w:rsid w:val="006F0481"/>
    <w:rsid w:val="006F04C9"/>
    <w:rsid w:val="006F1A2A"/>
    <w:rsid w:val="006F1F1B"/>
    <w:rsid w:val="006F359D"/>
    <w:rsid w:val="006F4144"/>
    <w:rsid w:val="006F435C"/>
    <w:rsid w:val="006F5E87"/>
    <w:rsid w:val="006F5EBF"/>
    <w:rsid w:val="006F654A"/>
    <w:rsid w:val="006F6DD2"/>
    <w:rsid w:val="006F7516"/>
    <w:rsid w:val="006F796C"/>
    <w:rsid w:val="006F7A6F"/>
    <w:rsid w:val="00700BFA"/>
    <w:rsid w:val="00700E8E"/>
    <w:rsid w:val="007024B9"/>
    <w:rsid w:val="00702711"/>
    <w:rsid w:val="00703642"/>
    <w:rsid w:val="00704669"/>
    <w:rsid w:val="0070467A"/>
    <w:rsid w:val="0070547C"/>
    <w:rsid w:val="00705897"/>
    <w:rsid w:val="00705DD4"/>
    <w:rsid w:val="00706535"/>
    <w:rsid w:val="00707565"/>
    <w:rsid w:val="007077F5"/>
    <w:rsid w:val="00707D51"/>
    <w:rsid w:val="00710155"/>
    <w:rsid w:val="007105B5"/>
    <w:rsid w:val="00710EED"/>
    <w:rsid w:val="007113B0"/>
    <w:rsid w:val="00713580"/>
    <w:rsid w:val="007139F6"/>
    <w:rsid w:val="00713C96"/>
    <w:rsid w:val="00713FD3"/>
    <w:rsid w:val="0071420A"/>
    <w:rsid w:val="00714828"/>
    <w:rsid w:val="00714A54"/>
    <w:rsid w:val="00714C1C"/>
    <w:rsid w:val="0071513A"/>
    <w:rsid w:val="007157FF"/>
    <w:rsid w:val="0071701D"/>
    <w:rsid w:val="00717576"/>
    <w:rsid w:val="0072114D"/>
    <w:rsid w:val="007217D6"/>
    <w:rsid w:val="007220D1"/>
    <w:rsid w:val="00722814"/>
    <w:rsid w:val="00722904"/>
    <w:rsid w:val="00722FA0"/>
    <w:rsid w:val="00723693"/>
    <w:rsid w:val="0072417D"/>
    <w:rsid w:val="00724B7A"/>
    <w:rsid w:val="007258B6"/>
    <w:rsid w:val="00725E07"/>
    <w:rsid w:val="007265F3"/>
    <w:rsid w:val="00726E30"/>
    <w:rsid w:val="00727030"/>
    <w:rsid w:val="00727BCB"/>
    <w:rsid w:val="00730428"/>
    <w:rsid w:val="0073114E"/>
    <w:rsid w:val="007314D5"/>
    <w:rsid w:val="00731ADB"/>
    <w:rsid w:val="00732A57"/>
    <w:rsid w:val="00732F29"/>
    <w:rsid w:val="00733BB3"/>
    <w:rsid w:val="0073430F"/>
    <w:rsid w:val="007345B5"/>
    <w:rsid w:val="00735720"/>
    <w:rsid w:val="0073582B"/>
    <w:rsid w:val="00735AC9"/>
    <w:rsid w:val="00736265"/>
    <w:rsid w:val="00736870"/>
    <w:rsid w:val="00737E3E"/>
    <w:rsid w:val="007400C6"/>
    <w:rsid w:val="00740CDD"/>
    <w:rsid w:val="00741501"/>
    <w:rsid w:val="007422F9"/>
    <w:rsid w:val="00742509"/>
    <w:rsid w:val="007425C8"/>
    <w:rsid w:val="007429D7"/>
    <w:rsid w:val="00742B84"/>
    <w:rsid w:val="00743344"/>
    <w:rsid w:val="007437EE"/>
    <w:rsid w:val="00744AA6"/>
    <w:rsid w:val="0074571B"/>
    <w:rsid w:val="00745BE0"/>
    <w:rsid w:val="00745F88"/>
    <w:rsid w:val="00746564"/>
    <w:rsid w:val="00747FD5"/>
    <w:rsid w:val="007509E4"/>
    <w:rsid w:val="00750BA8"/>
    <w:rsid w:val="007511A3"/>
    <w:rsid w:val="00751D8A"/>
    <w:rsid w:val="00751FF3"/>
    <w:rsid w:val="00752072"/>
    <w:rsid w:val="007522D3"/>
    <w:rsid w:val="00752422"/>
    <w:rsid w:val="00752791"/>
    <w:rsid w:val="0075393A"/>
    <w:rsid w:val="00754398"/>
    <w:rsid w:val="0075465C"/>
    <w:rsid w:val="00754C7E"/>
    <w:rsid w:val="00755330"/>
    <w:rsid w:val="007557BA"/>
    <w:rsid w:val="00755BAB"/>
    <w:rsid w:val="00755C82"/>
    <w:rsid w:val="00756041"/>
    <w:rsid w:val="0075619B"/>
    <w:rsid w:val="00756931"/>
    <w:rsid w:val="00756950"/>
    <w:rsid w:val="00757CDC"/>
    <w:rsid w:val="00757D1A"/>
    <w:rsid w:val="0076041F"/>
    <w:rsid w:val="0076050C"/>
    <w:rsid w:val="00761D27"/>
    <w:rsid w:val="0076235F"/>
    <w:rsid w:val="007624C3"/>
    <w:rsid w:val="007630F3"/>
    <w:rsid w:val="00763DE7"/>
    <w:rsid w:val="00763F1F"/>
    <w:rsid w:val="00766F8F"/>
    <w:rsid w:val="007676CC"/>
    <w:rsid w:val="00767877"/>
    <w:rsid w:val="0077082D"/>
    <w:rsid w:val="00770BB7"/>
    <w:rsid w:val="00770C1D"/>
    <w:rsid w:val="00771BDC"/>
    <w:rsid w:val="00771C58"/>
    <w:rsid w:val="00772420"/>
    <w:rsid w:val="007738D7"/>
    <w:rsid w:val="00773C2F"/>
    <w:rsid w:val="00773EE8"/>
    <w:rsid w:val="0077439D"/>
    <w:rsid w:val="00774405"/>
    <w:rsid w:val="007758B2"/>
    <w:rsid w:val="00775BF9"/>
    <w:rsid w:val="00776083"/>
    <w:rsid w:val="007763A3"/>
    <w:rsid w:val="007774DA"/>
    <w:rsid w:val="007777A7"/>
    <w:rsid w:val="00777C3E"/>
    <w:rsid w:val="0078083D"/>
    <w:rsid w:val="0078089D"/>
    <w:rsid w:val="00781383"/>
    <w:rsid w:val="0078145F"/>
    <w:rsid w:val="00781684"/>
    <w:rsid w:val="00782809"/>
    <w:rsid w:val="00782916"/>
    <w:rsid w:val="00782974"/>
    <w:rsid w:val="00782DE7"/>
    <w:rsid w:val="00783019"/>
    <w:rsid w:val="007838A1"/>
    <w:rsid w:val="00783E75"/>
    <w:rsid w:val="007852D1"/>
    <w:rsid w:val="00785D18"/>
    <w:rsid w:val="0078665C"/>
    <w:rsid w:val="00786C60"/>
    <w:rsid w:val="00787069"/>
    <w:rsid w:val="0078726B"/>
    <w:rsid w:val="007877C3"/>
    <w:rsid w:val="00790B05"/>
    <w:rsid w:val="0079117C"/>
    <w:rsid w:val="00792889"/>
    <w:rsid w:val="00794179"/>
    <w:rsid w:val="00795A16"/>
    <w:rsid w:val="00796C22"/>
    <w:rsid w:val="00797039"/>
    <w:rsid w:val="00797724"/>
    <w:rsid w:val="00797869"/>
    <w:rsid w:val="00797B4E"/>
    <w:rsid w:val="007A0755"/>
    <w:rsid w:val="007A0948"/>
    <w:rsid w:val="007A0973"/>
    <w:rsid w:val="007A10D8"/>
    <w:rsid w:val="007A135C"/>
    <w:rsid w:val="007A13DE"/>
    <w:rsid w:val="007A1523"/>
    <w:rsid w:val="007A18D6"/>
    <w:rsid w:val="007A19BF"/>
    <w:rsid w:val="007A266B"/>
    <w:rsid w:val="007A267B"/>
    <w:rsid w:val="007A26CB"/>
    <w:rsid w:val="007A2A4B"/>
    <w:rsid w:val="007A2B61"/>
    <w:rsid w:val="007A36C4"/>
    <w:rsid w:val="007A3D9F"/>
    <w:rsid w:val="007A55D2"/>
    <w:rsid w:val="007A5AA6"/>
    <w:rsid w:val="007A60DB"/>
    <w:rsid w:val="007A60E0"/>
    <w:rsid w:val="007A6259"/>
    <w:rsid w:val="007A68AC"/>
    <w:rsid w:val="007A7CAB"/>
    <w:rsid w:val="007B0434"/>
    <w:rsid w:val="007B0EE9"/>
    <w:rsid w:val="007B1901"/>
    <w:rsid w:val="007B1CCF"/>
    <w:rsid w:val="007B1F38"/>
    <w:rsid w:val="007B2056"/>
    <w:rsid w:val="007B2592"/>
    <w:rsid w:val="007B2738"/>
    <w:rsid w:val="007B297C"/>
    <w:rsid w:val="007B3057"/>
    <w:rsid w:val="007B3AB1"/>
    <w:rsid w:val="007B448C"/>
    <w:rsid w:val="007B49B2"/>
    <w:rsid w:val="007B52E5"/>
    <w:rsid w:val="007B556B"/>
    <w:rsid w:val="007B5A46"/>
    <w:rsid w:val="007B5E77"/>
    <w:rsid w:val="007B632A"/>
    <w:rsid w:val="007B6534"/>
    <w:rsid w:val="007B7294"/>
    <w:rsid w:val="007B7410"/>
    <w:rsid w:val="007B7550"/>
    <w:rsid w:val="007B756C"/>
    <w:rsid w:val="007B7702"/>
    <w:rsid w:val="007B7853"/>
    <w:rsid w:val="007C0EDD"/>
    <w:rsid w:val="007C2438"/>
    <w:rsid w:val="007C29CF"/>
    <w:rsid w:val="007C34A6"/>
    <w:rsid w:val="007C35BF"/>
    <w:rsid w:val="007C4E88"/>
    <w:rsid w:val="007C5A83"/>
    <w:rsid w:val="007C5BE4"/>
    <w:rsid w:val="007C5C5D"/>
    <w:rsid w:val="007C6071"/>
    <w:rsid w:val="007C66F2"/>
    <w:rsid w:val="007C6A99"/>
    <w:rsid w:val="007C721F"/>
    <w:rsid w:val="007C7974"/>
    <w:rsid w:val="007C7CBA"/>
    <w:rsid w:val="007D0A36"/>
    <w:rsid w:val="007D0CDD"/>
    <w:rsid w:val="007D1544"/>
    <w:rsid w:val="007D172B"/>
    <w:rsid w:val="007D1CDC"/>
    <w:rsid w:val="007D249C"/>
    <w:rsid w:val="007D2C8E"/>
    <w:rsid w:val="007D41C2"/>
    <w:rsid w:val="007D44B0"/>
    <w:rsid w:val="007D48F3"/>
    <w:rsid w:val="007D4910"/>
    <w:rsid w:val="007D63BF"/>
    <w:rsid w:val="007D6676"/>
    <w:rsid w:val="007D7395"/>
    <w:rsid w:val="007D7522"/>
    <w:rsid w:val="007D79E9"/>
    <w:rsid w:val="007D7E24"/>
    <w:rsid w:val="007E0CAC"/>
    <w:rsid w:val="007E1418"/>
    <w:rsid w:val="007E26A2"/>
    <w:rsid w:val="007E3A73"/>
    <w:rsid w:val="007E44EE"/>
    <w:rsid w:val="007E4578"/>
    <w:rsid w:val="007E52EB"/>
    <w:rsid w:val="007E5BCE"/>
    <w:rsid w:val="007E6058"/>
    <w:rsid w:val="007F03EE"/>
    <w:rsid w:val="007F1737"/>
    <w:rsid w:val="007F1742"/>
    <w:rsid w:val="007F2618"/>
    <w:rsid w:val="007F2761"/>
    <w:rsid w:val="007F2AE9"/>
    <w:rsid w:val="007F3000"/>
    <w:rsid w:val="007F355A"/>
    <w:rsid w:val="007F35B8"/>
    <w:rsid w:val="007F43C4"/>
    <w:rsid w:val="007F5B17"/>
    <w:rsid w:val="007F5F3E"/>
    <w:rsid w:val="007F7AE1"/>
    <w:rsid w:val="0080021F"/>
    <w:rsid w:val="008007A7"/>
    <w:rsid w:val="00800ACF"/>
    <w:rsid w:val="00800F39"/>
    <w:rsid w:val="0080136D"/>
    <w:rsid w:val="008013B5"/>
    <w:rsid w:val="00801C9E"/>
    <w:rsid w:val="0080306C"/>
    <w:rsid w:val="008031FA"/>
    <w:rsid w:val="0080396C"/>
    <w:rsid w:val="00805018"/>
    <w:rsid w:val="00805181"/>
    <w:rsid w:val="008056B1"/>
    <w:rsid w:val="008058FD"/>
    <w:rsid w:val="008065AB"/>
    <w:rsid w:val="008076CB"/>
    <w:rsid w:val="00807D11"/>
    <w:rsid w:val="008107DF"/>
    <w:rsid w:val="00810811"/>
    <w:rsid w:val="00810875"/>
    <w:rsid w:val="0081099C"/>
    <w:rsid w:val="00811891"/>
    <w:rsid w:val="00811BD7"/>
    <w:rsid w:val="008138B4"/>
    <w:rsid w:val="0081408F"/>
    <w:rsid w:val="00814C65"/>
    <w:rsid w:val="008157C0"/>
    <w:rsid w:val="00815B65"/>
    <w:rsid w:val="0081663E"/>
    <w:rsid w:val="00816A80"/>
    <w:rsid w:val="00817480"/>
    <w:rsid w:val="008179FB"/>
    <w:rsid w:val="00820B10"/>
    <w:rsid w:val="00820CA2"/>
    <w:rsid w:val="00820DFC"/>
    <w:rsid w:val="00820ED3"/>
    <w:rsid w:val="0082147E"/>
    <w:rsid w:val="00821804"/>
    <w:rsid w:val="00821B67"/>
    <w:rsid w:val="00822E83"/>
    <w:rsid w:val="00822F20"/>
    <w:rsid w:val="00823772"/>
    <w:rsid w:val="00823824"/>
    <w:rsid w:val="00823C78"/>
    <w:rsid w:val="008240CC"/>
    <w:rsid w:val="00824187"/>
    <w:rsid w:val="008252FE"/>
    <w:rsid w:val="008258ED"/>
    <w:rsid w:val="00825ACE"/>
    <w:rsid w:val="00825D32"/>
    <w:rsid w:val="00825E75"/>
    <w:rsid w:val="00826B4D"/>
    <w:rsid w:val="00826F2F"/>
    <w:rsid w:val="00827819"/>
    <w:rsid w:val="008279C2"/>
    <w:rsid w:val="008279CF"/>
    <w:rsid w:val="0083107C"/>
    <w:rsid w:val="00831596"/>
    <w:rsid w:val="00831913"/>
    <w:rsid w:val="0083192A"/>
    <w:rsid w:val="00831B8F"/>
    <w:rsid w:val="00832826"/>
    <w:rsid w:val="00832CF7"/>
    <w:rsid w:val="008333B2"/>
    <w:rsid w:val="0083350A"/>
    <w:rsid w:val="00833667"/>
    <w:rsid w:val="00833A32"/>
    <w:rsid w:val="00834064"/>
    <w:rsid w:val="00834297"/>
    <w:rsid w:val="00834BDB"/>
    <w:rsid w:val="00834CB5"/>
    <w:rsid w:val="00835708"/>
    <w:rsid w:val="00836EC0"/>
    <w:rsid w:val="00836F90"/>
    <w:rsid w:val="00836FDC"/>
    <w:rsid w:val="00840882"/>
    <w:rsid w:val="008425DF"/>
    <w:rsid w:val="008431AE"/>
    <w:rsid w:val="008432D4"/>
    <w:rsid w:val="00843D51"/>
    <w:rsid w:val="008448A7"/>
    <w:rsid w:val="00844FD5"/>
    <w:rsid w:val="008456D7"/>
    <w:rsid w:val="0084639A"/>
    <w:rsid w:val="0084659A"/>
    <w:rsid w:val="008472A4"/>
    <w:rsid w:val="0084792F"/>
    <w:rsid w:val="008503C7"/>
    <w:rsid w:val="008506A3"/>
    <w:rsid w:val="008509EC"/>
    <w:rsid w:val="0085151D"/>
    <w:rsid w:val="008525C8"/>
    <w:rsid w:val="00852DEA"/>
    <w:rsid w:val="008535D6"/>
    <w:rsid w:val="008551FE"/>
    <w:rsid w:val="008556BB"/>
    <w:rsid w:val="008556D8"/>
    <w:rsid w:val="008559C3"/>
    <w:rsid w:val="00855EF9"/>
    <w:rsid w:val="008561C0"/>
    <w:rsid w:val="008562F9"/>
    <w:rsid w:val="00856511"/>
    <w:rsid w:val="00856629"/>
    <w:rsid w:val="00857637"/>
    <w:rsid w:val="008578F7"/>
    <w:rsid w:val="00857F58"/>
    <w:rsid w:val="00857FD6"/>
    <w:rsid w:val="00860016"/>
    <w:rsid w:val="00860389"/>
    <w:rsid w:val="0086103E"/>
    <w:rsid w:val="008612C8"/>
    <w:rsid w:val="008615DB"/>
    <w:rsid w:val="00861A99"/>
    <w:rsid w:val="00861C1D"/>
    <w:rsid w:val="008620F0"/>
    <w:rsid w:val="0086267D"/>
    <w:rsid w:val="00862AD6"/>
    <w:rsid w:val="008632D4"/>
    <w:rsid w:val="00863A88"/>
    <w:rsid w:val="00864D7D"/>
    <w:rsid w:val="00865B56"/>
    <w:rsid w:val="0086640D"/>
    <w:rsid w:val="008670C1"/>
    <w:rsid w:val="0086748B"/>
    <w:rsid w:val="00867D7D"/>
    <w:rsid w:val="00867FF6"/>
    <w:rsid w:val="0087042B"/>
    <w:rsid w:val="008707FE"/>
    <w:rsid w:val="00870EED"/>
    <w:rsid w:val="008710BB"/>
    <w:rsid w:val="008726BC"/>
    <w:rsid w:val="00873CF0"/>
    <w:rsid w:val="00873EBB"/>
    <w:rsid w:val="00873F4B"/>
    <w:rsid w:val="008744F4"/>
    <w:rsid w:val="00874596"/>
    <w:rsid w:val="0087515D"/>
    <w:rsid w:val="008752EC"/>
    <w:rsid w:val="0087560D"/>
    <w:rsid w:val="00876AB6"/>
    <w:rsid w:val="00876CF9"/>
    <w:rsid w:val="00877431"/>
    <w:rsid w:val="0087772C"/>
    <w:rsid w:val="00880708"/>
    <w:rsid w:val="008807B3"/>
    <w:rsid w:val="00881659"/>
    <w:rsid w:val="00881874"/>
    <w:rsid w:val="00881A02"/>
    <w:rsid w:val="00882727"/>
    <w:rsid w:val="00882C26"/>
    <w:rsid w:val="0088474C"/>
    <w:rsid w:val="00885B87"/>
    <w:rsid w:val="00890745"/>
    <w:rsid w:val="00891CF9"/>
    <w:rsid w:val="00892289"/>
    <w:rsid w:val="0089273D"/>
    <w:rsid w:val="008933F3"/>
    <w:rsid w:val="00893953"/>
    <w:rsid w:val="00893D4D"/>
    <w:rsid w:val="00893F2F"/>
    <w:rsid w:val="00894475"/>
    <w:rsid w:val="008950CB"/>
    <w:rsid w:val="0089564E"/>
    <w:rsid w:val="00895779"/>
    <w:rsid w:val="00895AA8"/>
    <w:rsid w:val="00895D0A"/>
    <w:rsid w:val="00895FDC"/>
    <w:rsid w:val="00896E91"/>
    <w:rsid w:val="00897A7B"/>
    <w:rsid w:val="00897B33"/>
    <w:rsid w:val="008A0319"/>
    <w:rsid w:val="008A192C"/>
    <w:rsid w:val="008A243B"/>
    <w:rsid w:val="008A276D"/>
    <w:rsid w:val="008A33E0"/>
    <w:rsid w:val="008A3434"/>
    <w:rsid w:val="008A375A"/>
    <w:rsid w:val="008A3949"/>
    <w:rsid w:val="008A3C3E"/>
    <w:rsid w:val="008A48AD"/>
    <w:rsid w:val="008A4E70"/>
    <w:rsid w:val="008A51DC"/>
    <w:rsid w:val="008A5CC5"/>
    <w:rsid w:val="008A6841"/>
    <w:rsid w:val="008A6A2B"/>
    <w:rsid w:val="008A7105"/>
    <w:rsid w:val="008A74CD"/>
    <w:rsid w:val="008B0F89"/>
    <w:rsid w:val="008B205B"/>
    <w:rsid w:val="008B25E0"/>
    <w:rsid w:val="008B2848"/>
    <w:rsid w:val="008B297E"/>
    <w:rsid w:val="008B2B4F"/>
    <w:rsid w:val="008B3B17"/>
    <w:rsid w:val="008B3C31"/>
    <w:rsid w:val="008B3F92"/>
    <w:rsid w:val="008B4013"/>
    <w:rsid w:val="008B4192"/>
    <w:rsid w:val="008B472A"/>
    <w:rsid w:val="008B5CBD"/>
    <w:rsid w:val="008B6828"/>
    <w:rsid w:val="008B69B0"/>
    <w:rsid w:val="008B7DCC"/>
    <w:rsid w:val="008B7EF5"/>
    <w:rsid w:val="008C05F4"/>
    <w:rsid w:val="008C0DC6"/>
    <w:rsid w:val="008C2244"/>
    <w:rsid w:val="008C22C6"/>
    <w:rsid w:val="008C22C8"/>
    <w:rsid w:val="008C26CC"/>
    <w:rsid w:val="008C2C1E"/>
    <w:rsid w:val="008C3C84"/>
    <w:rsid w:val="008C43E2"/>
    <w:rsid w:val="008C45C9"/>
    <w:rsid w:val="008C485E"/>
    <w:rsid w:val="008C5508"/>
    <w:rsid w:val="008C551B"/>
    <w:rsid w:val="008C5610"/>
    <w:rsid w:val="008C5CD5"/>
    <w:rsid w:val="008C5D48"/>
    <w:rsid w:val="008C6CE7"/>
    <w:rsid w:val="008C7BBA"/>
    <w:rsid w:val="008C7EA8"/>
    <w:rsid w:val="008D0573"/>
    <w:rsid w:val="008D0E58"/>
    <w:rsid w:val="008D10C2"/>
    <w:rsid w:val="008D13B9"/>
    <w:rsid w:val="008D254B"/>
    <w:rsid w:val="008D2838"/>
    <w:rsid w:val="008D37DB"/>
    <w:rsid w:val="008D3929"/>
    <w:rsid w:val="008D402C"/>
    <w:rsid w:val="008D40CE"/>
    <w:rsid w:val="008D4A74"/>
    <w:rsid w:val="008D5C76"/>
    <w:rsid w:val="008D6194"/>
    <w:rsid w:val="008D649B"/>
    <w:rsid w:val="008D6A00"/>
    <w:rsid w:val="008D6DD5"/>
    <w:rsid w:val="008D6F99"/>
    <w:rsid w:val="008D7F4E"/>
    <w:rsid w:val="008E0153"/>
    <w:rsid w:val="008E140B"/>
    <w:rsid w:val="008E157F"/>
    <w:rsid w:val="008E210F"/>
    <w:rsid w:val="008E2A9D"/>
    <w:rsid w:val="008E37F9"/>
    <w:rsid w:val="008E37FA"/>
    <w:rsid w:val="008E39CA"/>
    <w:rsid w:val="008E3CFE"/>
    <w:rsid w:val="008E40BA"/>
    <w:rsid w:val="008E4150"/>
    <w:rsid w:val="008E6008"/>
    <w:rsid w:val="008E6E3A"/>
    <w:rsid w:val="008E7B68"/>
    <w:rsid w:val="008F06B7"/>
    <w:rsid w:val="008F0A0B"/>
    <w:rsid w:val="008F0D88"/>
    <w:rsid w:val="008F1949"/>
    <w:rsid w:val="008F19B5"/>
    <w:rsid w:val="008F1ED6"/>
    <w:rsid w:val="008F325C"/>
    <w:rsid w:val="008F3B3F"/>
    <w:rsid w:val="008F4A9E"/>
    <w:rsid w:val="008F5409"/>
    <w:rsid w:val="008F5B88"/>
    <w:rsid w:val="008F5C5F"/>
    <w:rsid w:val="008F7649"/>
    <w:rsid w:val="009000C6"/>
    <w:rsid w:val="009001E6"/>
    <w:rsid w:val="00900E68"/>
    <w:rsid w:val="009010D8"/>
    <w:rsid w:val="00901E73"/>
    <w:rsid w:val="00901EC1"/>
    <w:rsid w:val="009048B1"/>
    <w:rsid w:val="00904AD4"/>
    <w:rsid w:val="00904B0F"/>
    <w:rsid w:val="009054A4"/>
    <w:rsid w:val="009062E0"/>
    <w:rsid w:val="00906865"/>
    <w:rsid w:val="00906BCF"/>
    <w:rsid w:val="00907889"/>
    <w:rsid w:val="00907D5C"/>
    <w:rsid w:val="00907FC6"/>
    <w:rsid w:val="00911446"/>
    <w:rsid w:val="009128A1"/>
    <w:rsid w:val="00912F5B"/>
    <w:rsid w:val="009141CD"/>
    <w:rsid w:val="00914589"/>
    <w:rsid w:val="00914933"/>
    <w:rsid w:val="00914B25"/>
    <w:rsid w:val="00914BF5"/>
    <w:rsid w:val="00916D7C"/>
    <w:rsid w:val="009171EC"/>
    <w:rsid w:val="00917AEA"/>
    <w:rsid w:val="00920A80"/>
    <w:rsid w:val="00920A8D"/>
    <w:rsid w:val="00921147"/>
    <w:rsid w:val="009217A0"/>
    <w:rsid w:val="00921B67"/>
    <w:rsid w:val="00921E54"/>
    <w:rsid w:val="00921FBA"/>
    <w:rsid w:val="00922095"/>
    <w:rsid w:val="00922711"/>
    <w:rsid w:val="00922A35"/>
    <w:rsid w:val="00922E5D"/>
    <w:rsid w:val="00923E28"/>
    <w:rsid w:val="009245F2"/>
    <w:rsid w:val="0092478B"/>
    <w:rsid w:val="00924ABD"/>
    <w:rsid w:val="00926063"/>
    <w:rsid w:val="00930344"/>
    <w:rsid w:val="009304FF"/>
    <w:rsid w:val="00930A19"/>
    <w:rsid w:val="009325F6"/>
    <w:rsid w:val="00933B84"/>
    <w:rsid w:val="00933E27"/>
    <w:rsid w:val="009346C4"/>
    <w:rsid w:val="0093581E"/>
    <w:rsid w:val="009359F0"/>
    <w:rsid w:val="009363C3"/>
    <w:rsid w:val="0093656E"/>
    <w:rsid w:val="00936AB5"/>
    <w:rsid w:val="00937683"/>
    <w:rsid w:val="009376E0"/>
    <w:rsid w:val="00937F6A"/>
    <w:rsid w:val="00937F74"/>
    <w:rsid w:val="00940E7B"/>
    <w:rsid w:val="0094163A"/>
    <w:rsid w:val="009416F6"/>
    <w:rsid w:val="0094181F"/>
    <w:rsid w:val="00941AA6"/>
    <w:rsid w:val="00941C0F"/>
    <w:rsid w:val="00941F4E"/>
    <w:rsid w:val="009425A8"/>
    <w:rsid w:val="0094274A"/>
    <w:rsid w:val="00942998"/>
    <w:rsid w:val="00942F25"/>
    <w:rsid w:val="0094310B"/>
    <w:rsid w:val="009436DC"/>
    <w:rsid w:val="00944068"/>
    <w:rsid w:val="009446B5"/>
    <w:rsid w:val="00944F61"/>
    <w:rsid w:val="0094608A"/>
    <w:rsid w:val="0094618B"/>
    <w:rsid w:val="00946203"/>
    <w:rsid w:val="009462E8"/>
    <w:rsid w:val="009465E7"/>
    <w:rsid w:val="00950082"/>
    <w:rsid w:val="00950475"/>
    <w:rsid w:val="00951265"/>
    <w:rsid w:val="00951D67"/>
    <w:rsid w:val="00952397"/>
    <w:rsid w:val="009524C5"/>
    <w:rsid w:val="00953E23"/>
    <w:rsid w:val="00954210"/>
    <w:rsid w:val="009543B3"/>
    <w:rsid w:val="009558E4"/>
    <w:rsid w:val="009562FA"/>
    <w:rsid w:val="009564AD"/>
    <w:rsid w:val="00956E47"/>
    <w:rsid w:val="00957517"/>
    <w:rsid w:val="009578E7"/>
    <w:rsid w:val="0096015E"/>
    <w:rsid w:val="00960162"/>
    <w:rsid w:val="0096138C"/>
    <w:rsid w:val="0096158F"/>
    <w:rsid w:val="00961682"/>
    <w:rsid w:val="009630FD"/>
    <w:rsid w:val="00963496"/>
    <w:rsid w:val="00963C76"/>
    <w:rsid w:val="0096406D"/>
    <w:rsid w:val="009644E4"/>
    <w:rsid w:val="009647CA"/>
    <w:rsid w:val="0096487A"/>
    <w:rsid w:val="00964D13"/>
    <w:rsid w:val="00967739"/>
    <w:rsid w:val="00967AF2"/>
    <w:rsid w:val="00967E4F"/>
    <w:rsid w:val="00967E7C"/>
    <w:rsid w:val="00970C95"/>
    <w:rsid w:val="00971C8A"/>
    <w:rsid w:val="00971E44"/>
    <w:rsid w:val="0097291D"/>
    <w:rsid w:val="00973D66"/>
    <w:rsid w:val="009749A8"/>
    <w:rsid w:val="0097538B"/>
    <w:rsid w:val="009769C5"/>
    <w:rsid w:val="00977401"/>
    <w:rsid w:val="00977775"/>
    <w:rsid w:val="00980B7E"/>
    <w:rsid w:val="00980BA5"/>
    <w:rsid w:val="00981281"/>
    <w:rsid w:val="00981E85"/>
    <w:rsid w:val="00982563"/>
    <w:rsid w:val="009834D8"/>
    <w:rsid w:val="00983CEE"/>
    <w:rsid w:val="00983FC6"/>
    <w:rsid w:val="009848BC"/>
    <w:rsid w:val="00985103"/>
    <w:rsid w:val="0098543A"/>
    <w:rsid w:val="009861DE"/>
    <w:rsid w:val="009861F6"/>
    <w:rsid w:val="00986687"/>
    <w:rsid w:val="00986AA1"/>
    <w:rsid w:val="00986F6A"/>
    <w:rsid w:val="009870D7"/>
    <w:rsid w:val="00987318"/>
    <w:rsid w:val="00987D6F"/>
    <w:rsid w:val="00990432"/>
    <w:rsid w:val="009904DB"/>
    <w:rsid w:val="0099108D"/>
    <w:rsid w:val="009910D0"/>
    <w:rsid w:val="0099196B"/>
    <w:rsid w:val="00992738"/>
    <w:rsid w:val="009934F9"/>
    <w:rsid w:val="00994E57"/>
    <w:rsid w:val="00995001"/>
    <w:rsid w:val="00995128"/>
    <w:rsid w:val="009957B8"/>
    <w:rsid w:val="009959EF"/>
    <w:rsid w:val="00995C72"/>
    <w:rsid w:val="00996B4A"/>
    <w:rsid w:val="0099721F"/>
    <w:rsid w:val="009A0E26"/>
    <w:rsid w:val="009A16F1"/>
    <w:rsid w:val="009A1B9E"/>
    <w:rsid w:val="009A3E5C"/>
    <w:rsid w:val="009A4961"/>
    <w:rsid w:val="009A4BAF"/>
    <w:rsid w:val="009A4ED9"/>
    <w:rsid w:val="009A55A2"/>
    <w:rsid w:val="009A65CE"/>
    <w:rsid w:val="009A6AA9"/>
    <w:rsid w:val="009A6EB7"/>
    <w:rsid w:val="009A700D"/>
    <w:rsid w:val="009A75FA"/>
    <w:rsid w:val="009A7C22"/>
    <w:rsid w:val="009A7F47"/>
    <w:rsid w:val="009B0E68"/>
    <w:rsid w:val="009B239B"/>
    <w:rsid w:val="009B26A5"/>
    <w:rsid w:val="009B2D05"/>
    <w:rsid w:val="009B4393"/>
    <w:rsid w:val="009B4546"/>
    <w:rsid w:val="009B53EC"/>
    <w:rsid w:val="009B5FB6"/>
    <w:rsid w:val="009B6CC5"/>
    <w:rsid w:val="009B786D"/>
    <w:rsid w:val="009B7B3C"/>
    <w:rsid w:val="009B7C1B"/>
    <w:rsid w:val="009C0048"/>
    <w:rsid w:val="009C130E"/>
    <w:rsid w:val="009C20D8"/>
    <w:rsid w:val="009C216B"/>
    <w:rsid w:val="009C2DAA"/>
    <w:rsid w:val="009C35C1"/>
    <w:rsid w:val="009C3714"/>
    <w:rsid w:val="009C3983"/>
    <w:rsid w:val="009C39DE"/>
    <w:rsid w:val="009C562E"/>
    <w:rsid w:val="009C6449"/>
    <w:rsid w:val="009C655C"/>
    <w:rsid w:val="009C6A31"/>
    <w:rsid w:val="009C7F8B"/>
    <w:rsid w:val="009D08B9"/>
    <w:rsid w:val="009D0A2F"/>
    <w:rsid w:val="009D0AB2"/>
    <w:rsid w:val="009D0EE2"/>
    <w:rsid w:val="009D2CC3"/>
    <w:rsid w:val="009D2E64"/>
    <w:rsid w:val="009D37A0"/>
    <w:rsid w:val="009D3A04"/>
    <w:rsid w:val="009D3DF9"/>
    <w:rsid w:val="009D47F6"/>
    <w:rsid w:val="009D4E41"/>
    <w:rsid w:val="009D4FA9"/>
    <w:rsid w:val="009D4FF4"/>
    <w:rsid w:val="009D58B2"/>
    <w:rsid w:val="009D58B6"/>
    <w:rsid w:val="009D5F7A"/>
    <w:rsid w:val="009D60E8"/>
    <w:rsid w:val="009D79F8"/>
    <w:rsid w:val="009E0041"/>
    <w:rsid w:val="009E27D7"/>
    <w:rsid w:val="009E2C86"/>
    <w:rsid w:val="009E3FCA"/>
    <w:rsid w:val="009E463F"/>
    <w:rsid w:val="009E64E1"/>
    <w:rsid w:val="009E6C83"/>
    <w:rsid w:val="009E6D75"/>
    <w:rsid w:val="009E72A5"/>
    <w:rsid w:val="009E7B9E"/>
    <w:rsid w:val="009F048E"/>
    <w:rsid w:val="009F0CCB"/>
    <w:rsid w:val="009F245C"/>
    <w:rsid w:val="009F28BA"/>
    <w:rsid w:val="009F2ED0"/>
    <w:rsid w:val="009F3D54"/>
    <w:rsid w:val="009F4852"/>
    <w:rsid w:val="009F4AEB"/>
    <w:rsid w:val="009F4C76"/>
    <w:rsid w:val="009F4F40"/>
    <w:rsid w:val="009F5C3A"/>
    <w:rsid w:val="009F6AFE"/>
    <w:rsid w:val="009F7077"/>
    <w:rsid w:val="00A00159"/>
    <w:rsid w:val="00A01216"/>
    <w:rsid w:val="00A01DFE"/>
    <w:rsid w:val="00A029EF"/>
    <w:rsid w:val="00A02A0F"/>
    <w:rsid w:val="00A03611"/>
    <w:rsid w:val="00A039D3"/>
    <w:rsid w:val="00A042FE"/>
    <w:rsid w:val="00A04B5B"/>
    <w:rsid w:val="00A04E59"/>
    <w:rsid w:val="00A05C81"/>
    <w:rsid w:val="00A05CEA"/>
    <w:rsid w:val="00A07D6D"/>
    <w:rsid w:val="00A11A9D"/>
    <w:rsid w:val="00A12659"/>
    <w:rsid w:val="00A12C1C"/>
    <w:rsid w:val="00A13075"/>
    <w:rsid w:val="00A13782"/>
    <w:rsid w:val="00A13C02"/>
    <w:rsid w:val="00A13E75"/>
    <w:rsid w:val="00A13F64"/>
    <w:rsid w:val="00A14390"/>
    <w:rsid w:val="00A1453A"/>
    <w:rsid w:val="00A148B1"/>
    <w:rsid w:val="00A15D9B"/>
    <w:rsid w:val="00A15DA8"/>
    <w:rsid w:val="00A179E4"/>
    <w:rsid w:val="00A20C44"/>
    <w:rsid w:val="00A22469"/>
    <w:rsid w:val="00A251E6"/>
    <w:rsid w:val="00A25ACE"/>
    <w:rsid w:val="00A272C4"/>
    <w:rsid w:val="00A27DA0"/>
    <w:rsid w:val="00A30119"/>
    <w:rsid w:val="00A30161"/>
    <w:rsid w:val="00A3100A"/>
    <w:rsid w:val="00A31728"/>
    <w:rsid w:val="00A31C7D"/>
    <w:rsid w:val="00A32E13"/>
    <w:rsid w:val="00A32E63"/>
    <w:rsid w:val="00A330DA"/>
    <w:rsid w:val="00A339A6"/>
    <w:rsid w:val="00A33A3B"/>
    <w:rsid w:val="00A34CEC"/>
    <w:rsid w:val="00A35B9B"/>
    <w:rsid w:val="00A3712B"/>
    <w:rsid w:val="00A3791B"/>
    <w:rsid w:val="00A37C5F"/>
    <w:rsid w:val="00A40547"/>
    <w:rsid w:val="00A40683"/>
    <w:rsid w:val="00A408F8"/>
    <w:rsid w:val="00A41E42"/>
    <w:rsid w:val="00A41E87"/>
    <w:rsid w:val="00A427CE"/>
    <w:rsid w:val="00A43974"/>
    <w:rsid w:val="00A44089"/>
    <w:rsid w:val="00A44185"/>
    <w:rsid w:val="00A4448C"/>
    <w:rsid w:val="00A44BF9"/>
    <w:rsid w:val="00A45484"/>
    <w:rsid w:val="00A475BD"/>
    <w:rsid w:val="00A4792E"/>
    <w:rsid w:val="00A5064A"/>
    <w:rsid w:val="00A517EE"/>
    <w:rsid w:val="00A519A0"/>
    <w:rsid w:val="00A52214"/>
    <w:rsid w:val="00A53315"/>
    <w:rsid w:val="00A53772"/>
    <w:rsid w:val="00A541B6"/>
    <w:rsid w:val="00A552AC"/>
    <w:rsid w:val="00A55810"/>
    <w:rsid w:val="00A56AD0"/>
    <w:rsid w:val="00A5763B"/>
    <w:rsid w:val="00A57874"/>
    <w:rsid w:val="00A57C8F"/>
    <w:rsid w:val="00A606D2"/>
    <w:rsid w:val="00A60768"/>
    <w:rsid w:val="00A618A6"/>
    <w:rsid w:val="00A62566"/>
    <w:rsid w:val="00A62737"/>
    <w:rsid w:val="00A62C70"/>
    <w:rsid w:val="00A630BC"/>
    <w:rsid w:val="00A63A00"/>
    <w:rsid w:val="00A63D5D"/>
    <w:rsid w:val="00A64301"/>
    <w:rsid w:val="00A658C7"/>
    <w:rsid w:val="00A6612C"/>
    <w:rsid w:val="00A66610"/>
    <w:rsid w:val="00A66699"/>
    <w:rsid w:val="00A66BA1"/>
    <w:rsid w:val="00A66F79"/>
    <w:rsid w:val="00A6715A"/>
    <w:rsid w:val="00A70A00"/>
    <w:rsid w:val="00A72124"/>
    <w:rsid w:val="00A72C6D"/>
    <w:rsid w:val="00A73517"/>
    <w:rsid w:val="00A767EB"/>
    <w:rsid w:val="00A77552"/>
    <w:rsid w:val="00A778AC"/>
    <w:rsid w:val="00A77B58"/>
    <w:rsid w:val="00A8088B"/>
    <w:rsid w:val="00A81054"/>
    <w:rsid w:val="00A83B9B"/>
    <w:rsid w:val="00A84005"/>
    <w:rsid w:val="00A8433A"/>
    <w:rsid w:val="00A8459A"/>
    <w:rsid w:val="00A850C6"/>
    <w:rsid w:val="00A8516A"/>
    <w:rsid w:val="00A860CD"/>
    <w:rsid w:val="00A865F2"/>
    <w:rsid w:val="00A87166"/>
    <w:rsid w:val="00A90548"/>
    <w:rsid w:val="00A915AF"/>
    <w:rsid w:val="00A919DB"/>
    <w:rsid w:val="00A92BDF"/>
    <w:rsid w:val="00A92DCA"/>
    <w:rsid w:val="00A933B8"/>
    <w:rsid w:val="00A945AE"/>
    <w:rsid w:val="00A94B30"/>
    <w:rsid w:val="00A94EE9"/>
    <w:rsid w:val="00A94F9D"/>
    <w:rsid w:val="00A95B97"/>
    <w:rsid w:val="00A95E26"/>
    <w:rsid w:val="00A96893"/>
    <w:rsid w:val="00A96B0D"/>
    <w:rsid w:val="00AA0119"/>
    <w:rsid w:val="00AA1B29"/>
    <w:rsid w:val="00AA2479"/>
    <w:rsid w:val="00AA265E"/>
    <w:rsid w:val="00AA2DDB"/>
    <w:rsid w:val="00AA3393"/>
    <w:rsid w:val="00AA39F4"/>
    <w:rsid w:val="00AA3A0D"/>
    <w:rsid w:val="00AA3B97"/>
    <w:rsid w:val="00AA456E"/>
    <w:rsid w:val="00AA4B27"/>
    <w:rsid w:val="00AA5795"/>
    <w:rsid w:val="00AA5889"/>
    <w:rsid w:val="00AA5C1B"/>
    <w:rsid w:val="00AA5F0A"/>
    <w:rsid w:val="00AA7013"/>
    <w:rsid w:val="00AA7216"/>
    <w:rsid w:val="00AA72E5"/>
    <w:rsid w:val="00AB1D7E"/>
    <w:rsid w:val="00AB2490"/>
    <w:rsid w:val="00AB2763"/>
    <w:rsid w:val="00AB2BBB"/>
    <w:rsid w:val="00AB3215"/>
    <w:rsid w:val="00AB38A9"/>
    <w:rsid w:val="00AB3937"/>
    <w:rsid w:val="00AB4482"/>
    <w:rsid w:val="00AB57E4"/>
    <w:rsid w:val="00AB60F1"/>
    <w:rsid w:val="00AB63D2"/>
    <w:rsid w:val="00AB69BB"/>
    <w:rsid w:val="00AB7DC6"/>
    <w:rsid w:val="00AB7F9D"/>
    <w:rsid w:val="00AC00E3"/>
    <w:rsid w:val="00AC044D"/>
    <w:rsid w:val="00AC0AA1"/>
    <w:rsid w:val="00AC0B35"/>
    <w:rsid w:val="00AC0F70"/>
    <w:rsid w:val="00AC132D"/>
    <w:rsid w:val="00AC1A25"/>
    <w:rsid w:val="00AC2B5E"/>
    <w:rsid w:val="00AC2D6C"/>
    <w:rsid w:val="00AC4115"/>
    <w:rsid w:val="00AC4C22"/>
    <w:rsid w:val="00AC5BF3"/>
    <w:rsid w:val="00AC6530"/>
    <w:rsid w:val="00AC7C33"/>
    <w:rsid w:val="00AD0167"/>
    <w:rsid w:val="00AD0D5B"/>
    <w:rsid w:val="00AD1B84"/>
    <w:rsid w:val="00AD1BB5"/>
    <w:rsid w:val="00AD2095"/>
    <w:rsid w:val="00AD297F"/>
    <w:rsid w:val="00AD2A79"/>
    <w:rsid w:val="00AD2CA2"/>
    <w:rsid w:val="00AD3419"/>
    <w:rsid w:val="00AD34D7"/>
    <w:rsid w:val="00AD3542"/>
    <w:rsid w:val="00AD408D"/>
    <w:rsid w:val="00AD417F"/>
    <w:rsid w:val="00AD42FF"/>
    <w:rsid w:val="00AD49A8"/>
    <w:rsid w:val="00AD5523"/>
    <w:rsid w:val="00AD5DB3"/>
    <w:rsid w:val="00AD5ECC"/>
    <w:rsid w:val="00AD6032"/>
    <w:rsid w:val="00AD6BFB"/>
    <w:rsid w:val="00AD7087"/>
    <w:rsid w:val="00AD70C3"/>
    <w:rsid w:val="00AD7959"/>
    <w:rsid w:val="00AD7B41"/>
    <w:rsid w:val="00AD7CB3"/>
    <w:rsid w:val="00AD7E1D"/>
    <w:rsid w:val="00AD7ED9"/>
    <w:rsid w:val="00AE113D"/>
    <w:rsid w:val="00AE11F1"/>
    <w:rsid w:val="00AE1FDF"/>
    <w:rsid w:val="00AE2947"/>
    <w:rsid w:val="00AE2F5D"/>
    <w:rsid w:val="00AE324C"/>
    <w:rsid w:val="00AE3BDF"/>
    <w:rsid w:val="00AE3EE6"/>
    <w:rsid w:val="00AE48B0"/>
    <w:rsid w:val="00AE4BAA"/>
    <w:rsid w:val="00AE4D72"/>
    <w:rsid w:val="00AE54CD"/>
    <w:rsid w:val="00AE63C3"/>
    <w:rsid w:val="00AE68A8"/>
    <w:rsid w:val="00AE79A9"/>
    <w:rsid w:val="00AE7F20"/>
    <w:rsid w:val="00AF0BD6"/>
    <w:rsid w:val="00AF1258"/>
    <w:rsid w:val="00AF2237"/>
    <w:rsid w:val="00AF2B97"/>
    <w:rsid w:val="00AF2C23"/>
    <w:rsid w:val="00AF3042"/>
    <w:rsid w:val="00AF3048"/>
    <w:rsid w:val="00AF329E"/>
    <w:rsid w:val="00AF36A3"/>
    <w:rsid w:val="00AF3899"/>
    <w:rsid w:val="00AF3BA1"/>
    <w:rsid w:val="00AF40A7"/>
    <w:rsid w:val="00AF4ED4"/>
    <w:rsid w:val="00AF512F"/>
    <w:rsid w:val="00AF55FB"/>
    <w:rsid w:val="00AF5CCB"/>
    <w:rsid w:val="00AF5EA9"/>
    <w:rsid w:val="00AF60D9"/>
    <w:rsid w:val="00AF69CD"/>
    <w:rsid w:val="00B0032B"/>
    <w:rsid w:val="00B00751"/>
    <w:rsid w:val="00B00E23"/>
    <w:rsid w:val="00B013DF"/>
    <w:rsid w:val="00B01415"/>
    <w:rsid w:val="00B0186F"/>
    <w:rsid w:val="00B03532"/>
    <w:rsid w:val="00B036A1"/>
    <w:rsid w:val="00B03E17"/>
    <w:rsid w:val="00B06ED2"/>
    <w:rsid w:val="00B0756D"/>
    <w:rsid w:val="00B07FB1"/>
    <w:rsid w:val="00B102AD"/>
    <w:rsid w:val="00B10875"/>
    <w:rsid w:val="00B10BD8"/>
    <w:rsid w:val="00B11239"/>
    <w:rsid w:val="00B11307"/>
    <w:rsid w:val="00B1135C"/>
    <w:rsid w:val="00B11EE9"/>
    <w:rsid w:val="00B122F4"/>
    <w:rsid w:val="00B12C5D"/>
    <w:rsid w:val="00B1321B"/>
    <w:rsid w:val="00B136BF"/>
    <w:rsid w:val="00B14501"/>
    <w:rsid w:val="00B1494C"/>
    <w:rsid w:val="00B14AC9"/>
    <w:rsid w:val="00B14BA4"/>
    <w:rsid w:val="00B14DA8"/>
    <w:rsid w:val="00B161F7"/>
    <w:rsid w:val="00B162F6"/>
    <w:rsid w:val="00B16990"/>
    <w:rsid w:val="00B16EF5"/>
    <w:rsid w:val="00B16FFB"/>
    <w:rsid w:val="00B1721E"/>
    <w:rsid w:val="00B172EF"/>
    <w:rsid w:val="00B17502"/>
    <w:rsid w:val="00B17ACE"/>
    <w:rsid w:val="00B208E4"/>
    <w:rsid w:val="00B20FFC"/>
    <w:rsid w:val="00B210A3"/>
    <w:rsid w:val="00B21954"/>
    <w:rsid w:val="00B221FC"/>
    <w:rsid w:val="00B2273A"/>
    <w:rsid w:val="00B22BA7"/>
    <w:rsid w:val="00B22E42"/>
    <w:rsid w:val="00B22F06"/>
    <w:rsid w:val="00B239CE"/>
    <w:rsid w:val="00B245B1"/>
    <w:rsid w:val="00B268A2"/>
    <w:rsid w:val="00B26ADE"/>
    <w:rsid w:val="00B2712C"/>
    <w:rsid w:val="00B30195"/>
    <w:rsid w:val="00B30432"/>
    <w:rsid w:val="00B308DA"/>
    <w:rsid w:val="00B3111A"/>
    <w:rsid w:val="00B321C8"/>
    <w:rsid w:val="00B3421D"/>
    <w:rsid w:val="00B35873"/>
    <w:rsid w:val="00B36127"/>
    <w:rsid w:val="00B36306"/>
    <w:rsid w:val="00B36ECD"/>
    <w:rsid w:val="00B371FD"/>
    <w:rsid w:val="00B37843"/>
    <w:rsid w:val="00B37A3B"/>
    <w:rsid w:val="00B4005A"/>
    <w:rsid w:val="00B4037E"/>
    <w:rsid w:val="00B40C21"/>
    <w:rsid w:val="00B410AD"/>
    <w:rsid w:val="00B430EC"/>
    <w:rsid w:val="00B447F1"/>
    <w:rsid w:val="00B45B38"/>
    <w:rsid w:val="00B46411"/>
    <w:rsid w:val="00B4713E"/>
    <w:rsid w:val="00B47D0F"/>
    <w:rsid w:val="00B51187"/>
    <w:rsid w:val="00B52E38"/>
    <w:rsid w:val="00B545D0"/>
    <w:rsid w:val="00B54624"/>
    <w:rsid w:val="00B54BCA"/>
    <w:rsid w:val="00B55591"/>
    <w:rsid w:val="00B556E0"/>
    <w:rsid w:val="00B55BFA"/>
    <w:rsid w:val="00B563E0"/>
    <w:rsid w:val="00B56CA4"/>
    <w:rsid w:val="00B57070"/>
    <w:rsid w:val="00B60DF2"/>
    <w:rsid w:val="00B615AF"/>
    <w:rsid w:val="00B61980"/>
    <w:rsid w:val="00B61CF3"/>
    <w:rsid w:val="00B620D4"/>
    <w:rsid w:val="00B621F4"/>
    <w:rsid w:val="00B622A5"/>
    <w:rsid w:val="00B62691"/>
    <w:rsid w:val="00B62BB8"/>
    <w:rsid w:val="00B6334B"/>
    <w:rsid w:val="00B6439B"/>
    <w:rsid w:val="00B6444D"/>
    <w:rsid w:val="00B645F7"/>
    <w:rsid w:val="00B64B4E"/>
    <w:rsid w:val="00B64E22"/>
    <w:rsid w:val="00B66354"/>
    <w:rsid w:val="00B663F2"/>
    <w:rsid w:val="00B6642C"/>
    <w:rsid w:val="00B7013A"/>
    <w:rsid w:val="00B72733"/>
    <w:rsid w:val="00B72D77"/>
    <w:rsid w:val="00B73323"/>
    <w:rsid w:val="00B73B58"/>
    <w:rsid w:val="00B73FF7"/>
    <w:rsid w:val="00B743A0"/>
    <w:rsid w:val="00B74589"/>
    <w:rsid w:val="00B74A03"/>
    <w:rsid w:val="00B74BC1"/>
    <w:rsid w:val="00B75624"/>
    <w:rsid w:val="00B760F0"/>
    <w:rsid w:val="00B76B50"/>
    <w:rsid w:val="00B77948"/>
    <w:rsid w:val="00B77BCF"/>
    <w:rsid w:val="00B8001E"/>
    <w:rsid w:val="00B813BF"/>
    <w:rsid w:val="00B82594"/>
    <w:rsid w:val="00B82781"/>
    <w:rsid w:val="00B83941"/>
    <w:rsid w:val="00B83C60"/>
    <w:rsid w:val="00B83C63"/>
    <w:rsid w:val="00B83CD6"/>
    <w:rsid w:val="00B85B1D"/>
    <w:rsid w:val="00B85CD2"/>
    <w:rsid w:val="00B85F7F"/>
    <w:rsid w:val="00B867C4"/>
    <w:rsid w:val="00B87554"/>
    <w:rsid w:val="00B875A3"/>
    <w:rsid w:val="00B902A1"/>
    <w:rsid w:val="00B902F9"/>
    <w:rsid w:val="00B9048E"/>
    <w:rsid w:val="00B91E24"/>
    <w:rsid w:val="00B92542"/>
    <w:rsid w:val="00B92932"/>
    <w:rsid w:val="00B94B58"/>
    <w:rsid w:val="00B94EE7"/>
    <w:rsid w:val="00B95828"/>
    <w:rsid w:val="00B95A99"/>
    <w:rsid w:val="00B97EC9"/>
    <w:rsid w:val="00BA059D"/>
    <w:rsid w:val="00BA0979"/>
    <w:rsid w:val="00BA0DA8"/>
    <w:rsid w:val="00BA203E"/>
    <w:rsid w:val="00BA2058"/>
    <w:rsid w:val="00BA2132"/>
    <w:rsid w:val="00BA2267"/>
    <w:rsid w:val="00BA244C"/>
    <w:rsid w:val="00BA2646"/>
    <w:rsid w:val="00BA29F6"/>
    <w:rsid w:val="00BA2FBF"/>
    <w:rsid w:val="00BA3AE9"/>
    <w:rsid w:val="00BA3C79"/>
    <w:rsid w:val="00BA4417"/>
    <w:rsid w:val="00BA4C26"/>
    <w:rsid w:val="00BA56DF"/>
    <w:rsid w:val="00BA5CBB"/>
    <w:rsid w:val="00BA662A"/>
    <w:rsid w:val="00BA6811"/>
    <w:rsid w:val="00BA69ED"/>
    <w:rsid w:val="00BA6F4A"/>
    <w:rsid w:val="00BA71A9"/>
    <w:rsid w:val="00BA7830"/>
    <w:rsid w:val="00BB0A77"/>
    <w:rsid w:val="00BB19B1"/>
    <w:rsid w:val="00BB2034"/>
    <w:rsid w:val="00BB2D41"/>
    <w:rsid w:val="00BB3648"/>
    <w:rsid w:val="00BB3789"/>
    <w:rsid w:val="00BB3B1A"/>
    <w:rsid w:val="00BB443A"/>
    <w:rsid w:val="00BB52B0"/>
    <w:rsid w:val="00BB5454"/>
    <w:rsid w:val="00BB5B46"/>
    <w:rsid w:val="00BB6026"/>
    <w:rsid w:val="00BB60A0"/>
    <w:rsid w:val="00BB6896"/>
    <w:rsid w:val="00BB6C09"/>
    <w:rsid w:val="00BB7579"/>
    <w:rsid w:val="00BB7662"/>
    <w:rsid w:val="00BB7B6C"/>
    <w:rsid w:val="00BB7C04"/>
    <w:rsid w:val="00BC01C5"/>
    <w:rsid w:val="00BC0757"/>
    <w:rsid w:val="00BC0F66"/>
    <w:rsid w:val="00BC1266"/>
    <w:rsid w:val="00BC13D8"/>
    <w:rsid w:val="00BC17DF"/>
    <w:rsid w:val="00BC1B13"/>
    <w:rsid w:val="00BC2FFB"/>
    <w:rsid w:val="00BC324F"/>
    <w:rsid w:val="00BC35E0"/>
    <w:rsid w:val="00BC3903"/>
    <w:rsid w:val="00BC4DB9"/>
    <w:rsid w:val="00BC52C3"/>
    <w:rsid w:val="00BC54DC"/>
    <w:rsid w:val="00BC686D"/>
    <w:rsid w:val="00BC71C6"/>
    <w:rsid w:val="00BC7371"/>
    <w:rsid w:val="00BC798B"/>
    <w:rsid w:val="00BD0904"/>
    <w:rsid w:val="00BD0DC6"/>
    <w:rsid w:val="00BD103E"/>
    <w:rsid w:val="00BD124E"/>
    <w:rsid w:val="00BD13EE"/>
    <w:rsid w:val="00BD1FE1"/>
    <w:rsid w:val="00BD2D06"/>
    <w:rsid w:val="00BD2E6A"/>
    <w:rsid w:val="00BD391D"/>
    <w:rsid w:val="00BD3D9A"/>
    <w:rsid w:val="00BD3E0B"/>
    <w:rsid w:val="00BD4CF5"/>
    <w:rsid w:val="00BD5241"/>
    <w:rsid w:val="00BD635F"/>
    <w:rsid w:val="00BD6577"/>
    <w:rsid w:val="00BD6E34"/>
    <w:rsid w:val="00BD70E0"/>
    <w:rsid w:val="00BD7437"/>
    <w:rsid w:val="00BD751E"/>
    <w:rsid w:val="00BD77DC"/>
    <w:rsid w:val="00BE0AFF"/>
    <w:rsid w:val="00BE14A5"/>
    <w:rsid w:val="00BE1A25"/>
    <w:rsid w:val="00BE23F9"/>
    <w:rsid w:val="00BE2AB6"/>
    <w:rsid w:val="00BE32FB"/>
    <w:rsid w:val="00BE3649"/>
    <w:rsid w:val="00BE3668"/>
    <w:rsid w:val="00BE48D4"/>
    <w:rsid w:val="00BE4C2E"/>
    <w:rsid w:val="00BE51CE"/>
    <w:rsid w:val="00BE5DA6"/>
    <w:rsid w:val="00BE62C6"/>
    <w:rsid w:val="00BE67FF"/>
    <w:rsid w:val="00BF140E"/>
    <w:rsid w:val="00BF1CD2"/>
    <w:rsid w:val="00BF2CB5"/>
    <w:rsid w:val="00BF30B2"/>
    <w:rsid w:val="00BF31E1"/>
    <w:rsid w:val="00BF3D9D"/>
    <w:rsid w:val="00BF407E"/>
    <w:rsid w:val="00BF410D"/>
    <w:rsid w:val="00BF4124"/>
    <w:rsid w:val="00BF4852"/>
    <w:rsid w:val="00BF5485"/>
    <w:rsid w:val="00BF5805"/>
    <w:rsid w:val="00BF5B65"/>
    <w:rsid w:val="00BF6F30"/>
    <w:rsid w:val="00BF7691"/>
    <w:rsid w:val="00C0035D"/>
    <w:rsid w:val="00C01477"/>
    <w:rsid w:val="00C01E12"/>
    <w:rsid w:val="00C02322"/>
    <w:rsid w:val="00C02949"/>
    <w:rsid w:val="00C02E28"/>
    <w:rsid w:val="00C032B3"/>
    <w:rsid w:val="00C0352F"/>
    <w:rsid w:val="00C03A86"/>
    <w:rsid w:val="00C03C5A"/>
    <w:rsid w:val="00C0406E"/>
    <w:rsid w:val="00C04737"/>
    <w:rsid w:val="00C05816"/>
    <w:rsid w:val="00C058F5"/>
    <w:rsid w:val="00C05908"/>
    <w:rsid w:val="00C05A72"/>
    <w:rsid w:val="00C060E8"/>
    <w:rsid w:val="00C06B3B"/>
    <w:rsid w:val="00C0773C"/>
    <w:rsid w:val="00C0783B"/>
    <w:rsid w:val="00C07FB8"/>
    <w:rsid w:val="00C10543"/>
    <w:rsid w:val="00C10946"/>
    <w:rsid w:val="00C10E74"/>
    <w:rsid w:val="00C13289"/>
    <w:rsid w:val="00C148E6"/>
    <w:rsid w:val="00C14C4E"/>
    <w:rsid w:val="00C14C73"/>
    <w:rsid w:val="00C14D1E"/>
    <w:rsid w:val="00C1500A"/>
    <w:rsid w:val="00C1527E"/>
    <w:rsid w:val="00C1584D"/>
    <w:rsid w:val="00C164A7"/>
    <w:rsid w:val="00C1797D"/>
    <w:rsid w:val="00C208B9"/>
    <w:rsid w:val="00C21B88"/>
    <w:rsid w:val="00C2201A"/>
    <w:rsid w:val="00C220F1"/>
    <w:rsid w:val="00C2248A"/>
    <w:rsid w:val="00C224AC"/>
    <w:rsid w:val="00C2252C"/>
    <w:rsid w:val="00C2430E"/>
    <w:rsid w:val="00C247AA"/>
    <w:rsid w:val="00C2485A"/>
    <w:rsid w:val="00C2485B"/>
    <w:rsid w:val="00C24CF2"/>
    <w:rsid w:val="00C2513F"/>
    <w:rsid w:val="00C26265"/>
    <w:rsid w:val="00C26C93"/>
    <w:rsid w:val="00C26F46"/>
    <w:rsid w:val="00C2787E"/>
    <w:rsid w:val="00C27F6D"/>
    <w:rsid w:val="00C309E0"/>
    <w:rsid w:val="00C30BF7"/>
    <w:rsid w:val="00C30FB5"/>
    <w:rsid w:val="00C31121"/>
    <w:rsid w:val="00C330E5"/>
    <w:rsid w:val="00C3394B"/>
    <w:rsid w:val="00C34B50"/>
    <w:rsid w:val="00C3529C"/>
    <w:rsid w:val="00C35656"/>
    <w:rsid w:val="00C36B90"/>
    <w:rsid w:val="00C37700"/>
    <w:rsid w:val="00C404CF"/>
    <w:rsid w:val="00C414C4"/>
    <w:rsid w:val="00C41AEC"/>
    <w:rsid w:val="00C42A89"/>
    <w:rsid w:val="00C439DF"/>
    <w:rsid w:val="00C43FB1"/>
    <w:rsid w:val="00C440D0"/>
    <w:rsid w:val="00C444EE"/>
    <w:rsid w:val="00C44CAD"/>
    <w:rsid w:val="00C44FEA"/>
    <w:rsid w:val="00C475C1"/>
    <w:rsid w:val="00C5000A"/>
    <w:rsid w:val="00C50816"/>
    <w:rsid w:val="00C50C65"/>
    <w:rsid w:val="00C50E29"/>
    <w:rsid w:val="00C50EDB"/>
    <w:rsid w:val="00C5137E"/>
    <w:rsid w:val="00C515B2"/>
    <w:rsid w:val="00C52265"/>
    <w:rsid w:val="00C531FB"/>
    <w:rsid w:val="00C53781"/>
    <w:rsid w:val="00C539DA"/>
    <w:rsid w:val="00C54F38"/>
    <w:rsid w:val="00C559C7"/>
    <w:rsid w:val="00C559FC"/>
    <w:rsid w:val="00C568B5"/>
    <w:rsid w:val="00C56F5F"/>
    <w:rsid w:val="00C57066"/>
    <w:rsid w:val="00C572AB"/>
    <w:rsid w:val="00C5765C"/>
    <w:rsid w:val="00C57802"/>
    <w:rsid w:val="00C60160"/>
    <w:rsid w:val="00C606CF"/>
    <w:rsid w:val="00C60DC1"/>
    <w:rsid w:val="00C61504"/>
    <w:rsid w:val="00C61FAE"/>
    <w:rsid w:val="00C61FAF"/>
    <w:rsid w:val="00C62B6F"/>
    <w:rsid w:val="00C6301A"/>
    <w:rsid w:val="00C637F3"/>
    <w:rsid w:val="00C6399C"/>
    <w:rsid w:val="00C63E59"/>
    <w:rsid w:val="00C64326"/>
    <w:rsid w:val="00C64984"/>
    <w:rsid w:val="00C64CEF"/>
    <w:rsid w:val="00C65443"/>
    <w:rsid w:val="00C65FEE"/>
    <w:rsid w:val="00C66719"/>
    <w:rsid w:val="00C66C2C"/>
    <w:rsid w:val="00C66C74"/>
    <w:rsid w:val="00C67010"/>
    <w:rsid w:val="00C672D3"/>
    <w:rsid w:val="00C67655"/>
    <w:rsid w:val="00C67C0F"/>
    <w:rsid w:val="00C67C59"/>
    <w:rsid w:val="00C704F6"/>
    <w:rsid w:val="00C705B1"/>
    <w:rsid w:val="00C70A2E"/>
    <w:rsid w:val="00C711DA"/>
    <w:rsid w:val="00C71392"/>
    <w:rsid w:val="00C71A15"/>
    <w:rsid w:val="00C71B1D"/>
    <w:rsid w:val="00C72291"/>
    <w:rsid w:val="00C72346"/>
    <w:rsid w:val="00C728E6"/>
    <w:rsid w:val="00C72AEA"/>
    <w:rsid w:val="00C72E37"/>
    <w:rsid w:val="00C7723C"/>
    <w:rsid w:val="00C772E3"/>
    <w:rsid w:val="00C808E5"/>
    <w:rsid w:val="00C814E1"/>
    <w:rsid w:val="00C81A71"/>
    <w:rsid w:val="00C81C18"/>
    <w:rsid w:val="00C82316"/>
    <w:rsid w:val="00C83067"/>
    <w:rsid w:val="00C83128"/>
    <w:rsid w:val="00C84AE5"/>
    <w:rsid w:val="00C865B6"/>
    <w:rsid w:val="00C868F6"/>
    <w:rsid w:val="00C86E26"/>
    <w:rsid w:val="00C92CDA"/>
    <w:rsid w:val="00C92F83"/>
    <w:rsid w:val="00C93AD5"/>
    <w:rsid w:val="00C94596"/>
    <w:rsid w:val="00C94DAB"/>
    <w:rsid w:val="00C95165"/>
    <w:rsid w:val="00C955D5"/>
    <w:rsid w:val="00C968C3"/>
    <w:rsid w:val="00C96F20"/>
    <w:rsid w:val="00C97B9B"/>
    <w:rsid w:val="00CA0565"/>
    <w:rsid w:val="00CA0C26"/>
    <w:rsid w:val="00CA0DF5"/>
    <w:rsid w:val="00CA0F66"/>
    <w:rsid w:val="00CA2A6E"/>
    <w:rsid w:val="00CA2A85"/>
    <w:rsid w:val="00CA4100"/>
    <w:rsid w:val="00CA473C"/>
    <w:rsid w:val="00CA49C9"/>
    <w:rsid w:val="00CA5E9E"/>
    <w:rsid w:val="00CA6555"/>
    <w:rsid w:val="00CA6B90"/>
    <w:rsid w:val="00CA6CB0"/>
    <w:rsid w:val="00CA707A"/>
    <w:rsid w:val="00CA753F"/>
    <w:rsid w:val="00CA7BDA"/>
    <w:rsid w:val="00CA7C30"/>
    <w:rsid w:val="00CB058A"/>
    <w:rsid w:val="00CB128D"/>
    <w:rsid w:val="00CB1562"/>
    <w:rsid w:val="00CB196C"/>
    <w:rsid w:val="00CB1ECC"/>
    <w:rsid w:val="00CB1F0F"/>
    <w:rsid w:val="00CB2F8B"/>
    <w:rsid w:val="00CB3009"/>
    <w:rsid w:val="00CB3020"/>
    <w:rsid w:val="00CB38BC"/>
    <w:rsid w:val="00CB3BDC"/>
    <w:rsid w:val="00CB48E5"/>
    <w:rsid w:val="00CB4994"/>
    <w:rsid w:val="00CB5301"/>
    <w:rsid w:val="00CB65C9"/>
    <w:rsid w:val="00CB6911"/>
    <w:rsid w:val="00CB699B"/>
    <w:rsid w:val="00CB6D7C"/>
    <w:rsid w:val="00CB7390"/>
    <w:rsid w:val="00CC0A5E"/>
    <w:rsid w:val="00CC1337"/>
    <w:rsid w:val="00CC1884"/>
    <w:rsid w:val="00CC1DB3"/>
    <w:rsid w:val="00CC25BB"/>
    <w:rsid w:val="00CC3439"/>
    <w:rsid w:val="00CC403E"/>
    <w:rsid w:val="00CC406D"/>
    <w:rsid w:val="00CC41C9"/>
    <w:rsid w:val="00CC4916"/>
    <w:rsid w:val="00CC4A92"/>
    <w:rsid w:val="00CC4E90"/>
    <w:rsid w:val="00CC519E"/>
    <w:rsid w:val="00CC5A27"/>
    <w:rsid w:val="00CC5B47"/>
    <w:rsid w:val="00CC609D"/>
    <w:rsid w:val="00CC6A9B"/>
    <w:rsid w:val="00CC7D13"/>
    <w:rsid w:val="00CD0228"/>
    <w:rsid w:val="00CD0F92"/>
    <w:rsid w:val="00CD106F"/>
    <w:rsid w:val="00CD130E"/>
    <w:rsid w:val="00CD20A1"/>
    <w:rsid w:val="00CD2D99"/>
    <w:rsid w:val="00CD3193"/>
    <w:rsid w:val="00CD34B7"/>
    <w:rsid w:val="00CD3C0C"/>
    <w:rsid w:val="00CD3EDA"/>
    <w:rsid w:val="00CD3F63"/>
    <w:rsid w:val="00CD40EB"/>
    <w:rsid w:val="00CD4422"/>
    <w:rsid w:val="00CD533A"/>
    <w:rsid w:val="00CD588F"/>
    <w:rsid w:val="00CD58E2"/>
    <w:rsid w:val="00CD616E"/>
    <w:rsid w:val="00CD6FDF"/>
    <w:rsid w:val="00CD7212"/>
    <w:rsid w:val="00CD73A3"/>
    <w:rsid w:val="00CD7B42"/>
    <w:rsid w:val="00CD7B60"/>
    <w:rsid w:val="00CE1385"/>
    <w:rsid w:val="00CE145B"/>
    <w:rsid w:val="00CE2506"/>
    <w:rsid w:val="00CE5932"/>
    <w:rsid w:val="00CE608E"/>
    <w:rsid w:val="00CE6944"/>
    <w:rsid w:val="00CE7187"/>
    <w:rsid w:val="00CE7495"/>
    <w:rsid w:val="00CE7705"/>
    <w:rsid w:val="00CF0627"/>
    <w:rsid w:val="00CF07F4"/>
    <w:rsid w:val="00CF13E4"/>
    <w:rsid w:val="00CF2484"/>
    <w:rsid w:val="00CF25D2"/>
    <w:rsid w:val="00CF34C3"/>
    <w:rsid w:val="00CF3C1F"/>
    <w:rsid w:val="00CF3DE5"/>
    <w:rsid w:val="00CF49F6"/>
    <w:rsid w:val="00CF4A03"/>
    <w:rsid w:val="00CF646E"/>
    <w:rsid w:val="00CF6520"/>
    <w:rsid w:val="00CF750D"/>
    <w:rsid w:val="00D00D25"/>
    <w:rsid w:val="00D00E05"/>
    <w:rsid w:val="00D01334"/>
    <w:rsid w:val="00D02774"/>
    <w:rsid w:val="00D02CD1"/>
    <w:rsid w:val="00D02F48"/>
    <w:rsid w:val="00D035D3"/>
    <w:rsid w:val="00D036C0"/>
    <w:rsid w:val="00D03995"/>
    <w:rsid w:val="00D03DEB"/>
    <w:rsid w:val="00D051EA"/>
    <w:rsid w:val="00D05C64"/>
    <w:rsid w:val="00D06041"/>
    <w:rsid w:val="00D068A9"/>
    <w:rsid w:val="00D06C68"/>
    <w:rsid w:val="00D077AF"/>
    <w:rsid w:val="00D078BB"/>
    <w:rsid w:val="00D07C0A"/>
    <w:rsid w:val="00D11C11"/>
    <w:rsid w:val="00D11ED8"/>
    <w:rsid w:val="00D13B4F"/>
    <w:rsid w:val="00D13CD3"/>
    <w:rsid w:val="00D15281"/>
    <w:rsid w:val="00D1551B"/>
    <w:rsid w:val="00D15685"/>
    <w:rsid w:val="00D15859"/>
    <w:rsid w:val="00D15942"/>
    <w:rsid w:val="00D167F7"/>
    <w:rsid w:val="00D16997"/>
    <w:rsid w:val="00D16F90"/>
    <w:rsid w:val="00D176AC"/>
    <w:rsid w:val="00D17D99"/>
    <w:rsid w:val="00D2018B"/>
    <w:rsid w:val="00D20448"/>
    <w:rsid w:val="00D216FA"/>
    <w:rsid w:val="00D21EB3"/>
    <w:rsid w:val="00D223FD"/>
    <w:rsid w:val="00D22567"/>
    <w:rsid w:val="00D22715"/>
    <w:rsid w:val="00D23481"/>
    <w:rsid w:val="00D236EC"/>
    <w:rsid w:val="00D24820"/>
    <w:rsid w:val="00D24DE1"/>
    <w:rsid w:val="00D25425"/>
    <w:rsid w:val="00D26A02"/>
    <w:rsid w:val="00D26B15"/>
    <w:rsid w:val="00D2772F"/>
    <w:rsid w:val="00D3092E"/>
    <w:rsid w:val="00D31827"/>
    <w:rsid w:val="00D3252A"/>
    <w:rsid w:val="00D3458A"/>
    <w:rsid w:val="00D34B51"/>
    <w:rsid w:val="00D34D7D"/>
    <w:rsid w:val="00D36157"/>
    <w:rsid w:val="00D36232"/>
    <w:rsid w:val="00D364E9"/>
    <w:rsid w:val="00D36BFE"/>
    <w:rsid w:val="00D401C7"/>
    <w:rsid w:val="00D407F8"/>
    <w:rsid w:val="00D4092E"/>
    <w:rsid w:val="00D4095F"/>
    <w:rsid w:val="00D410FD"/>
    <w:rsid w:val="00D41D71"/>
    <w:rsid w:val="00D4273D"/>
    <w:rsid w:val="00D4321A"/>
    <w:rsid w:val="00D43454"/>
    <w:rsid w:val="00D44440"/>
    <w:rsid w:val="00D446A5"/>
    <w:rsid w:val="00D44F11"/>
    <w:rsid w:val="00D45E18"/>
    <w:rsid w:val="00D463F2"/>
    <w:rsid w:val="00D50087"/>
    <w:rsid w:val="00D50A87"/>
    <w:rsid w:val="00D5262D"/>
    <w:rsid w:val="00D52BC9"/>
    <w:rsid w:val="00D53A62"/>
    <w:rsid w:val="00D548EE"/>
    <w:rsid w:val="00D55D3B"/>
    <w:rsid w:val="00D562C5"/>
    <w:rsid w:val="00D56316"/>
    <w:rsid w:val="00D568BB"/>
    <w:rsid w:val="00D57466"/>
    <w:rsid w:val="00D57AB6"/>
    <w:rsid w:val="00D57AD0"/>
    <w:rsid w:val="00D57CD5"/>
    <w:rsid w:val="00D60A35"/>
    <w:rsid w:val="00D624AD"/>
    <w:rsid w:val="00D64988"/>
    <w:rsid w:val="00D64C76"/>
    <w:rsid w:val="00D65EA8"/>
    <w:rsid w:val="00D66504"/>
    <w:rsid w:val="00D66778"/>
    <w:rsid w:val="00D670AB"/>
    <w:rsid w:val="00D678A0"/>
    <w:rsid w:val="00D67EF0"/>
    <w:rsid w:val="00D7058E"/>
    <w:rsid w:val="00D70A33"/>
    <w:rsid w:val="00D70BEE"/>
    <w:rsid w:val="00D7130E"/>
    <w:rsid w:val="00D71398"/>
    <w:rsid w:val="00D72092"/>
    <w:rsid w:val="00D72826"/>
    <w:rsid w:val="00D73C1F"/>
    <w:rsid w:val="00D73CAD"/>
    <w:rsid w:val="00D73FF7"/>
    <w:rsid w:val="00D749BE"/>
    <w:rsid w:val="00D74D10"/>
    <w:rsid w:val="00D74E3E"/>
    <w:rsid w:val="00D74F69"/>
    <w:rsid w:val="00D7503C"/>
    <w:rsid w:val="00D75115"/>
    <w:rsid w:val="00D754F3"/>
    <w:rsid w:val="00D76399"/>
    <w:rsid w:val="00D76AB9"/>
    <w:rsid w:val="00D76AE4"/>
    <w:rsid w:val="00D76D77"/>
    <w:rsid w:val="00D774D5"/>
    <w:rsid w:val="00D77746"/>
    <w:rsid w:val="00D77A00"/>
    <w:rsid w:val="00D77A54"/>
    <w:rsid w:val="00D77AC6"/>
    <w:rsid w:val="00D77F00"/>
    <w:rsid w:val="00D80A3E"/>
    <w:rsid w:val="00D80D0E"/>
    <w:rsid w:val="00D8125A"/>
    <w:rsid w:val="00D81706"/>
    <w:rsid w:val="00D81B36"/>
    <w:rsid w:val="00D821D4"/>
    <w:rsid w:val="00D824D2"/>
    <w:rsid w:val="00D82FE9"/>
    <w:rsid w:val="00D8386C"/>
    <w:rsid w:val="00D84806"/>
    <w:rsid w:val="00D85155"/>
    <w:rsid w:val="00D86536"/>
    <w:rsid w:val="00D8680B"/>
    <w:rsid w:val="00D903F6"/>
    <w:rsid w:val="00D91270"/>
    <w:rsid w:val="00D91616"/>
    <w:rsid w:val="00D92A21"/>
    <w:rsid w:val="00D9310A"/>
    <w:rsid w:val="00D93BE1"/>
    <w:rsid w:val="00D9471B"/>
    <w:rsid w:val="00D94B01"/>
    <w:rsid w:val="00D94FD6"/>
    <w:rsid w:val="00DA0796"/>
    <w:rsid w:val="00DA0BD4"/>
    <w:rsid w:val="00DA0D03"/>
    <w:rsid w:val="00DA16B9"/>
    <w:rsid w:val="00DA1802"/>
    <w:rsid w:val="00DA1DD3"/>
    <w:rsid w:val="00DA2A2E"/>
    <w:rsid w:val="00DA32AA"/>
    <w:rsid w:val="00DA33BA"/>
    <w:rsid w:val="00DA3488"/>
    <w:rsid w:val="00DA4B5C"/>
    <w:rsid w:val="00DA536C"/>
    <w:rsid w:val="00DA5B1F"/>
    <w:rsid w:val="00DA5BA9"/>
    <w:rsid w:val="00DA6723"/>
    <w:rsid w:val="00DA6C19"/>
    <w:rsid w:val="00DA6C2F"/>
    <w:rsid w:val="00DA6DCD"/>
    <w:rsid w:val="00DA6F64"/>
    <w:rsid w:val="00DA73BE"/>
    <w:rsid w:val="00DB036E"/>
    <w:rsid w:val="00DB0684"/>
    <w:rsid w:val="00DB12AA"/>
    <w:rsid w:val="00DB12B5"/>
    <w:rsid w:val="00DB148C"/>
    <w:rsid w:val="00DB2DDD"/>
    <w:rsid w:val="00DB34CC"/>
    <w:rsid w:val="00DB3661"/>
    <w:rsid w:val="00DB38B0"/>
    <w:rsid w:val="00DB3E59"/>
    <w:rsid w:val="00DB3FBB"/>
    <w:rsid w:val="00DB466B"/>
    <w:rsid w:val="00DB51C8"/>
    <w:rsid w:val="00DB5A1E"/>
    <w:rsid w:val="00DB5C34"/>
    <w:rsid w:val="00DB6854"/>
    <w:rsid w:val="00DB696E"/>
    <w:rsid w:val="00DB6D7B"/>
    <w:rsid w:val="00DB6F07"/>
    <w:rsid w:val="00DC09C3"/>
    <w:rsid w:val="00DC0AA7"/>
    <w:rsid w:val="00DC0D7D"/>
    <w:rsid w:val="00DC1660"/>
    <w:rsid w:val="00DC28C5"/>
    <w:rsid w:val="00DC3392"/>
    <w:rsid w:val="00DC36C1"/>
    <w:rsid w:val="00DC37D4"/>
    <w:rsid w:val="00DC3F5E"/>
    <w:rsid w:val="00DC44B1"/>
    <w:rsid w:val="00DC4D8D"/>
    <w:rsid w:val="00DC551D"/>
    <w:rsid w:val="00DC5A48"/>
    <w:rsid w:val="00DC66FD"/>
    <w:rsid w:val="00DC714B"/>
    <w:rsid w:val="00DC77D3"/>
    <w:rsid w:val="00DC7A73"/>
    <w:rsid w:val="00DC7E2E"/>
    <w:rsid w:val="00DD01BA"/>
    <w:rsid w:val="00DD11DB"/>
    <w:rsid w:val="00DD2193"/>
    <w:rsid w:val="00DD2F8A"/>
    <w:rsid w:val="00DD3AF8"/>
    <w:rsid w:val="00DD3B78"/>
    <w:rsid w:val="00DD3BD0"/>
    <w:rsid w:val="00DD4417"/>
    <w:rsid w:val="00DD473A"/>
    <w:rsid w:val="00DD63B7"/>
    <w:rsid w:val="00DD6A98"/>
    <w:rsid w:val="00DD6F2D"/>
    <w:rsid w:val="00DD797A"/>
    <w:rsid w:val="00DE00E6"/>
    <w:rsid w:val="00DE0DA4"/>
    <w:rsid w:val="00DE29FA"/>
    <w:rsid w:val="00DE34EE"/>
    <w:rsid w:val="00DE3642"/>
    <w:rsid w:val="00DE3B78"/>
    <w:rsid w:val="00DE40F4"/>
    <w:rsid w:val="00DE434D"/>
    <w:rsid w:val="00DE49D0"/>
    <w:rsid w:val="00DE53C9"/>
    <w:rsid w:val="00DE5841"/>
    <w:rsid w:val="00DE597A"/>
    <w:rsid w:val="00DE59D7"/>
    <w:rsid w:val="00DE5A08"/>
    <w:rsid w:val="00DE6F8B"/>
    <w:rsid w:val="00DE73FE"/>
    <w:rsid w:val="00DF0245"/>
    <w:rsid w:val="00DF0A72"/>
    <w:rsid w:val="00DF0B54"/>
    <w:rsid w:val="00DF185B"/>
    <w:rsid w:val="00DF18B3"/>
    <w:rsid w:val="00DF2B45"/>
    <w:rsid w:val="00DF2DA9"/>
    <w:rsid w:val="00DF30F5"/>
    <w:rsid w:val="00DF3E92"/>
    <w:rsid w:val="00DF43FD"/>
    <w:rsid w:val="00DF4574"/>
    <w:rsid w:val="00DF45E8"/>
    <w:rsid w:val="00DF4839"/>
    <w:rsid w:val="00DF4E66"/>
    <w:rsid w:val="00DF4FBA"/>
    <w:rsid w:val="00DF5952"/>
    <w:rsid w:val="00DF5EF3"/>
    <w:rsid w:val="00DF6E0B"/>
    <w:rsid w:val="00E0065D"/>
    <w:rsid w:val="00E00802"/>
    <w:rsid w:val="00E01357"/>
    <w:rsid w:val="00E02597"/>
    <w:rsid w:val="00E02AA4"/>
    <w:rsid w:val="00E02C75"/>
    <w:rsid w:val="00E03288"/>
    <w:rsid w:val="00E035EE"/>
    <w:rsid w:val="00E04702"/>
    <w:rsid w:val="00E04D39"/>
    <w:rsid w:val="00E04E06"/>
    <w:rsid w:val="00E0532B"/>
    <w:rsid w:val="00E0624D"/>
    <w:rsid w:val="00E06912"/>
    <w:rsid w:val="00E06BED"/>
    <w:rsid w:val="00E06C27"/>
    <w:rsid w:val="00E07166"/>
    <w:rsid w:val="00E0771E"/>
    <w:rsid w:val="00E077A4"/>
    <w:rsid w:val="00E100D8"/>
    <w:rsid w:val="00E10D4A"/>
    <w:rsid w:val="00E1221D"/>
    <w:rsid w:val="00E12650"/>
    <w:rsid w:val="00E12B0A"/>
    <w:rsid w:val="00E12DDE"/>
    <w:rsid w:val="00E12FC1"/>
    <w:rsid w:val="00E13561"/>
    <w:rsid w:val="00E1365D"/>
    <w:rsid w:val="00E138C2"/>
    <w:rsid w:val="00E13CAC"/>
    <w:rsid w:val="00E140A3"/>
    <w:rsid w:val="00E14734"/>
    <w:rsid w:val="00E1560A"/>
    <w:rsid w:val="00E15D7B"/>
    <w:rsid w:val="00E15DD9"/>
    <w:rsid w:val="00E162C8"/>
    <w:rsid w:val="00E16C2B"/>
    <w:rsid w:val="00E1701C"/>
    <w:rsid w:val="00E176B7"/>
    <w:rsid w:val="00E179DB"/>
    <w:rsid w:val="00E214B6"/>
    <w:rsid w:val="00E21A05"/>
    <w:rsid w:val="00E21AD3"/>
    <w:rsid w:val="00E21C5C"/>
    <w:rsid w:val="00E22089"/>
    <w:rsid w:val="00E2289B"/>
    <w:rsid w:val="00E24407"/>
    <w:rsid w:val="00E24667"/>
    <w:rsid w:val="00E24DAB"/>
    <w:rsid w:val="00E24E42"/>
    <w:rsid w:val="00E26358"/>
    <w:rsid w:val="00E26490"/>
    <w:rsid w:val="00E264FF"/>
    <w:rsid w:val="00E26B1C"/>
    <w:rsid w:val="00E275F2"/>
    <w:rsid w:val="00E3032D"/>
    <w:rsid w:val="00E3135F"/>
    <w:rsid w:val="00E3137C"/>
    <w:rsid w:val="00E31432"/>
    <w:rsid w:val="00E32749"/>
    <w:rsid w:val="00E327A1"/>
    <w:rsid w:val="00E343FF"/>
    <w:rsid w:val="00E35616"/>
    <w:rsid w:val="00E36CC6"/>
    <w:rsid w:val="00E37B7B"/>
    <w:rsid w:val="00E40B7D"/>
    <w:rsid w:val="00E41852"/>
    <w:rsid w:val="00E422F5"/>
    <w:rsid w:val="00E427F7"/>
    <w:rsid w:val="00E42C8A"/>
    <w:rsid w:val="00E42CF0"/>
    <w:rsid w:val="00E43C9D"/>
    <w:rsid w:val="00E440A9"/>
    <w:rsid w:val="00E447E7"/>
    <w:rsid w:val="00E44E76"/>
    <w:rsid w:val="00E44F19"/>
    <w:rsid w:val="00E4560F"/>
    <w:rsid w:val="00E458BA"/>
    <w:rsid w:val="00E4741A"/>
    <w:rsid w:val="00E50540"/>
    <w:rsid w:val="00E50F7C"/>
    <w:rsid w:val="00E52265"/>
    <w:rsid w:val="00E52536"/>
    <w:rsid w:val="00E527B9"/>
    <w:rsid w:val="00E52ED4"/>
    <w:rsid w:val="00E53004"/>
    <w:rsid w:val="00E531C5"/>
    <w:rsid w:val="00E539FC"/>
    <w:rsid w:val="00E54859"/>
    <w:rsid w:val="00E54D2B"/>
    <w:rsid w:val="00E55248"/>
    <w:rsid w:val="00E55345"/>
    <w:rsid w:val="00E55462"/>
    <w:rsid w:val="00E561AB"/>
    <w:rsid w:val="00E5656E"/>
    <w:rsid w:val="00E56FFF"/>
    <w:rsid w:val="00E57DD1"/>
    <w:rsid w:val="00E60B65"/>
    <w:rsid w:val="00E60FC5"/>
    <w:rsid w:val="00E61400"/>
    <w:rsid w:val="00E61E0D"/>
    <w:rsid w:val="00E6249B"/>
    <w:rsid w:val="00E624F8"/>
    <w:rsid w:val="00E62C9D"/>
    <w:rsid w:val="00E634E7"/>
    <w:rsid w:val="00E63583"/>
    <w:rsid w:val="00E63717"/>
    <w:rsid w:val="00E639BC"/>
    <w:rsid w:val="00E64291"/>
    <w:rsid w:val="00E6620B"/>
    <w:rsid w:val="00E7088E"/>
    <w:rsid w:val="00E70988"/>
    <w:rsid w:val="00E70A27"/>
    <w:rsid w:val="00E70CE3"/>
    <w:rsid w:val="00E71CA6"/>
    <w:rsid w:val="00E71FB1"/>
    <w:rsid w:val="00E72B9B"/>
    <w:rsid w:val="00E73098"/>
    <w:rsid w:val="00E739F8"/>
    <w:rsid w:val="00E73E44"/>
    <w:rsid w:val="00E74803"/>
    <w:rsid w:val="00E74C8A"/>
    <w:rsid w:val="00E74DA5"/>
    <w:rsid w:val="00E75814"/>
    <w:rsid w:val="00E75C4D"/>
    <w:rsid w:val="00E769FF"/>
    <w:rsid w:val="00E76AB3"/>
    <w:rsid w:val="00E76B12"/>
    <w:rsid w:val="00E76B43"/>
    <w:rsid w:val="00E80BF2"/>
    <w:rsid w:val="00E80F7E"/>
    <w:rsid w:val="00E8125D"/>
    <w:rsid w:val="00E812E9"/>
    <w:rsid w:val="00E8130F"/>
    <w:rsid w:val="00E81385"/>
    <w:rsid w:val="00E816C6"/>
    <w:rsid w:val="00E81D84"/>
    <w:rsid w:val="00E81EB4"/>
    <w:rsid w:val="00E81EFE"/>
    <w:rsid w:val="00E8235E"/>
    <w:rsid w:val="00E824D4"/>
    <w:rsid w:val="00E825CA"/>
    <w:rsid w:val="00E832EC"/>
    <w:rsid w:val="00E8367A"/>
    <w:rsid w:val="00E84651"/>
    <w:rsid w:val="00E84962"/>
    <w:rsid w:val="00E8542C"/>
    <w:rsid w:val="00E85938"/>
    <w:rsid w:val="00E87BDF"/>
    <w:rsid w:val="00E87E5B"/>
    <w:rsid w:val="00E90EB4"/>
    <w:rsid w:val="00E90FF0"/>
    <w:rsid w:val="00E9203D"/>
    <w:rsid w:val="00E9294C"/>
    <w:rsid w:val="00E92A40"/>
    <w:rsid w:val="00E92C67"/>
    <w:rsid w:val="00E94370"/>
    <w:rsid w:val="00E95775"/>
    <w:rsid w:val="00E95BAF"/>
    <w:rsid w:val="00E9619D"/>
    <w:rsid w:val="00E97A9C"/>
    <w:rsid w:val="00EA0056"/>
    <w:rsid w:val="00EA0F57"/>
    <w:rsid w:val="00EA1CBE"/>
    <w:rsid w:val="00EA2E21"/>
    <w:rsid w:val="00EA30BD"/>
    <w:rsid w:val="00EA3132"/>
    <w:rsid w:val="00EA3C81"/>
    <w:rsid w:val="00EA44E9"/>
    <w:rsid w:val="00EA485F"/>
    <w:rsid w:val="00EA4BD7"/>
    <w:rsid w:val="00EA68A4"/>
    <w:rsid w:val="00EA6A8E"/>
    <w:rsid w:val="00EB0232"/>
    <w:rsid w:val="00EB0CDA"/>
    <w:rsid w:val="00EB11B2"/>
    <w:rsid w:val="00EB158D"/>
    <w:rsid w:val="00EB1D75"/>
    <w:rsid w:val="00EB2CCE"/>
    <w:rsid w:val="00EB32EB"/>
    <w:rsid w:val="00EB40A6"/>
    <w:rsid w:val="00EB4CAC"/>
    <w:rsid w:val="00EB5DB6"/>
    <w:rsid w:val="00EB64E0"/>
    <w:rsid w:val="00EB66CD"/>
    <w:rsid w:val="00EB672B"/>
    <w:rsid w:val="00EB711C"/>
    <w:rsid w:val="00EC0951"/>
    <w:rsid w:val="00EC2621"/>
    <w:rsid w:val="00EC2E62"/>
    <w:rsid w:val="00EC31E1"/>
    <w:rsid w:val="00EC38B6"/>
    <w:rsid w:val="00EC39C2"/>
    <w:rsid w:val="00EC3A5F"/>
    <w:rsid w:val="00EC4B2A"/>
    <w:rsid w:val="00EC4D16"/>
    <w:rsid w:val="00EC5096"/>
    <w:rsid w:val="00EC5333"/>
    <w:rsid w:val="00EC5DA6"/>
    <w:rsid w:val="00EC626E"/>
    <w:rsid w:val="00EC6CAD"/>
    <w:rsid w:val="00EC759B"/>
    <w:rsid w:val="00EC7906"/>
    <w:rsid w:val="00EC7BBB"/>
    <w:rsid w:val="00EC7C55"/>
    <w:rsid w:val="00ED04A7"/>
    <w:rsid w:val="00ED0765"/>
    <w:rsid w:val="00ED1A3F"/>
    <w:rsid w:val="00ED1DDC"/>
    <w:rsid w:val="00ED220D"/>
    <w:rsid w:val="00ED2A42"/>
    <w:rsid w:val="00ED2C9E"/>
    <w:rsid w:val="00ED310C"/>
    <w:rsid w:val="00ED364A"/>
    <w:rsid w:val="00ED3C04"/>
    <w:rsid w:val="00ED4896"/>
    <w:rsid w:val="00ED5341"/>
    <w:rsid w:val="00EE086A"/>
    <w:rsid w:val="00EE198F"/>
    <w:rsid w:val="00EE19E3"/>
    <w:rsid w:val="00EE1F1A"/>
    <w:rsid w:val="00EE3065"/>
    <w:rsid w:val="00EE30A9"/>
    <w:rsid w:val="00EE3478"/>
    <w:rsid w:val="00EE41E2"/>
    <w:rsid w:val="00EE4458"/>
    <w:rsid w:val="00EE44D3"/>
    <w:rsid w:val="00EE53A2"/>
    <w:rsid w:val="00EE541A"/>
    <w:rsid w:val="00EE5501"/>
    <w:rsid w:val="00EE5CAB"/>
    <w:rsid w:val="00EE64AE"/>
    <w:rsid w:val="00EE7EC4"/>
    <w:rsid w:val="00EF06F7"/>
    <w:rsid w:val="00EF22D7"/>
    <w:rsid w:val="00EF50EA"/>
    <w:rsid w:val="00EF55B5"/>
    <w:rsid w:val="00EF6673"/>
    <w:rsid w:val="00EF67E7"/>
    <w:rsid w:val="00EF6D94"/>
    <w:rsid w:val="00F0000D"/>
    <w:rsid w:val="00F0183F"/>
    <w:rsid w:val="00F0231D"/>
    <w:rsid w:val="00F0251F"/>
    <w:rsid w:val="00F02620"/>
    <w:rsid w:val="00F03B5B"/>
    <w:rsid w:val="00F04579"/>
    <w:rsid w:val="00F0485E"/>
    <w:rsid w:val="00F0486E"/>
    <w:rsid w:val="00F04B30"/>
    <w:rsid w:val="00F05A29"/>
    <w:rsid w:val="00F05EE2"/>
    <w:rsid w:val="00F06A77"/>
    <w:rsid w:val="00F1076B"/>
    <w:rsid w:val="00F10834"/>
    <w:rsid w:val="00F10DC2"/>
    <w:rsid w:val="00F12126"/>
    <w:rsid w:val="00F122F7"/>
    <w:rsid w:val="00F1273D"/>
    <w:rsid w:val="00F13001"/>
    <w:rsid w:val="00F13347"/>
    <w:rsid w:val="00F136DE"/>
    <w:rsid w:val="00F13987"/>
    <w:rsid w:val="00F1468B"/>
    <w:rsid w:val="00F148EC"/>
    <w:rsid w:val="00F14B11"/>
    <w:rsid w:val="00F14F6A"/>
    <w:rsid w:val="00F15706"/>
    <w:rsid w:val="00F15B96"/>
    <w:rsid w:val="00F15CAB"/>
    <w:rsid w:val="00F1653D"/>
    <w:rsid w:val="00F1767C"/>
    <w:rsid w:val="00F177DE"/>
    <w:rsid w:val="00F201CC"/>
    <w:rsid w:val="00F20683"/>
    <w:rsid w:val="00F20A01"/>
    <w:rsid w:val="00F21DBA"/>
    <w:rsid w:val="00F227F1"/>
    <w:rsid w:val="00F22DCF"/>
    <w:rsid w:val="00F2303D"/>
    <w:rsid w:val="00F23C36"/>
    <w:rsid w:val="00F23DCD"/>
    <w:rsid w:val="00F23F59"/>
    <w:rsid w:val="00F2558D"/>
    <w:rsid w:val="00F25AC5"/>
    <w:rsid w:val="00F30BC6"/>
    <w:rsid w:val="00F314FD"/>
    <w:rsid w:val="00F316AE"/>
    <w:rsid w:val="00F319FA"/>
    <w:rsid w:val="00F31F86"/>
    <w:rsid w:val="00F327E7"/>
    <w:rsid w:val="00F33433"/>
    <w:rsid w:val="00F34108"/>
    <w:rsid w:val="00F3423C"/>
    <w:rsid w:val="00F3583D"/>
    <w:rsid w:val="00F35DE4"/>
    <w:rsid w:val="00F36012"/>
    <w:rsid w:val="00F36690"/>
    <w:rsid w:val="00F36C81"/>
    <w:rsid w:val="00F377D9"/>
    <w:rsid w:val="00F37889"/>
    <w:rsid w:val="00F40493"/>
    <w:rsid w:val="00F4084D"/>
    <w:rsid w:val="00F40EE8"/>
    <w:rsid w:val="00F423BF"/>
    <w:rsid w:val="00F42E78"/>
    <w:rsid w:val="00F43A3F"/>
    <w:rsid w:val="00F440A1"/>
    <w:rsid w:val="00F444C5"/>
    <w:rsid w:val="00F44CF3"/>
    <w:rsid w:val="00F46034"/>
    <w:rsid w:val="00F478EE"/>
    <w:rsid w:val="00F47C7C"/>
    <w:rsid w:val="00F5067A"/>
    <w:rsid w:val="00F50713"/>
    <w:rsid w:val="00F50A00"/>
    <w:rsid w:val="00F50FAA"/>
    <w:rsid w:val="00F52D92"/>
    <w:rsid w:val="00F53C74"/>
    <w:rsid w:val="00F53F3A"/>
    <w:rsid w:val="00F54065"/>
    <w:rsid w:val="00F54C4A"/>
    <w:rsid w:val="00F550FA"/>
    <w:rsid w:val="00F55333"/>
    <w:rsid w:val="00F56299"/>
    <w:rsid w:val="00F57371"/>
    <w:rsid w:val="00F576DB"/>
    <w:rsid w:val="00F6078D"/>
    <w:rsid w:val="00F608D8"/>
    <w:rsid w:val="00F60A02"/>
    <w:rsid w:val="00F61122"/>
    <w:rsid w:val="00F61CEE"/>
    <w:rsid w:val="00F627B2"/>
    <w:rsid w:val="00F62D48"/>
    <w:rsid w:val="00F635E8"/>
    <w:rsid w:val="00F63875"/>
    <w:rsid w:val="00F64212"/>
    <w:rsid w:val="00F6512A"/>
    <w:rsid w:val="00F65257"/>
    <w:rsid w:val="00F655D1"/>
    <w:rsid w:val="00F6586B"/>
    <w:rsid w:val="00F66AED"/>
    <w:rsid w:val="00F66C92"/>
    <w:rsid w:val="00F678C0"/>
    <w:rsid w:val="00F70048"/>
    <w:rsid w:val="00F70F43"/>
    <w:rsid w:val="00F7121E"/>
    <w:rsid w:val="00F71EFE"/>
    <w:rsid w:val="00F72ACF"/>
    <w:rsid w:val="00F73BDA"/>
    <w:rsid w:val="00F74112"/>
    <w:rsid w:val="00F74D4D"/>
    <w:rsid w:val="00F754D8"/>
    <w:rsid w:val="00F75562"/>
    <w:rsid w:val="00F75D11"/>
    <w:rsid w:val="00F7679F"/>
    <w:rsid w:val="00F76B7C"/>
    <w:rsid w:val="00F80909"/>
    <w:rsid w:val="00F80D6F"/>
    <w:rsid w:val="00F81CAE"/>
    <w:rsid w:val="00F82C1B"/>
    <w:rsid w:val="00F8311E"/>
    <w:rsid w:val="00F83217"/>
    <w:rsid w:val="00F8390F"/>
    <w:rsid w:val="00F83F4B"/>
    <w:rsid w:val="00F84283"/>
    <w:rsid w:val="00F84C39"/>
    <w:rsid w:val="00F84F3C"/>
    <w:rsid w:val="00F851B0"/>
    <w:rsid w:val="00F85411"/>
    <w:rsid w:val="00F8575B"/>
    <w:rsid w:val="00F860C1"/>
    <w:rsid w:val="00F8634C"/>
    <w:rsid w:val="00F86480"/>
    <w:rsid w:val="00F8677E"/>
    <w:rsid w:val="00F86C22"/>
    <w:rsid w:val="00F86FC9"/>
    <w:rsid w:val="00F87EA0"/>
    <w:rsid w:val="00F9076E"/>
    <w:rsid w:val="00F92A58"/>
    <w:rsid w:val="00F932A3"/>
    <w:rsid w:val="00F942AD"/>
    <w:rsid w:val="00F94808"/>
    <w:rsid w:val="00F949C7"/>
    <w:rsid w:val="00F94EA0"/>
    <w:rsid w:val="00F95E29"/>
    <w:rsid w:val="00F96662"/>
    <w:rsid w:val="00F96909"/>
    <w:rsid w:val="00F97CDB"/>
    <w:rsid w:val="00FA1076"/>
    <w:rsid w:val="00FA2E80"/>
    <w:rsid w:val="00FA3833"/>
    <w:rsid w:val="00FA4F55"/>
    <w:rsid w:val="00FA516F"/>
    <w:rsid w:val="00FA51A5"/>
    <w:rsid w:val="00FA5345"/>
    <w:rsid w:val="00FA5938"/>
    <w:rsid w:val="00FA73AB"/>
    <w:rsid w:val="00FA751F"/>
    <w:rsid w:val="00FA7D94"/>
    <w:rsid w:val="00FB0CF8"/>
    <w:rsid w:val="00FB0FA9"/>
    <w:rsid w:val="00FB2051"/>
    <w:rsid w:val="00FB229E"/>
    <w:rsid w:val="00FB2BA4"/>
    <w:rsid w:val="00FB3717"/>
    <w:rsid w:val="00FB37A0"/>
    <w:rsid w:val="00FB3B25"/>
    <w:rsid w:val="00FB42AA"/>
    <w:rsid w:val="00FB42B0"/>
    <w:rsid w:val="00FB486E"/>
    <w:rsid w:val="00FB4FA0"/>
    <w:rsid w:val="00FB6582"/>
    <w:rsid w:val="00FB728A"/>
    <w:rsid w:val="00FB72D2"/>
    <w:rsid w:val="00FB736F"/>
    <w:rsid w:val="00FB74A7"/>
    <w:rsid w:val="00FB7EE3"/>
    <w:rsid w:val="00FC05F4"/>
    <w:rsid w:val="00FC0EE5"/>
    <w:rsid w:val="00FC1166"/>
    <w:rsid w:val="00FC1C5E"/>
    <w:rsid w:val="00FC1D51"/>
    <w:rsid w:val="00FC22AE"/>
    <w:rsid w:val="00FC2F3F"/>
    <w:rsid w:val="00FC324B"/>
    <w:rsid w:val="00FC3923"/>
    <w:rsid w:val="00FC3943"/>
    <w:rsid w:val="00FC458B"/>
    <w:rsid w:val="00FC5C0C"/>
    <w:rsid w:val="00FC630C"/>
    <w:rsid w:val="00FC6B28"/>
    <w:rsid w:val="00FD081E"/>
    <w:rsid w:val="00FD0D11"/>
    <w:rsid w:val="00FD138D"/>
    <w:rsid w:val="00FD189D"/>
    <w:rsid w:val="00FD19AD"/>
    <w:rsid w:val="00FD22A7"/>
    <w:rsid w:val="00FD2376"/>
    <w:rsid w:val="00FD2D87"/>
    <w:rsid w:val="00FD2E16"/>
    <w:rsid w:val="00FD3358"/>
    <w:rsid w:val="00FD3F40"/>
    <w:rsid w:val="00FD3F45"/>
    <w:rsid w:val="00FD4207"/>
    <w:rsid w:val="00FD4388"/>
    <w:rsid w:val="00FD532B"/>
    <w:rsid w:val="00FD5365"/>
    <w:rsid w:val="00FD6AB2"/>
    <w:rsid w:val="00FD70BD"/>
    <w:rsid w:val="00FE0037"/>
    <w:rsid w:val="00FE14DE"/>
    <w:rsid w:val="00FE246C"/>
    <w:rsid w:val="00FE267B"/>
    <w:rsid w:val="00FE2B15"/>
    <w:rsid w:val="00FE2C9D"/>
    <w:rsid w:val="00FE2E04"/>
    <w:rsid w:val="00FE2F9F"/>
    <w:rsid w:val="00FE41E2"/>
    <w:rsid w:val="00FE4E41"/>
    <w:rsid w:val="00FE503E"/>
    <w:rsid w:val="00FE50CE"/>
    <w:rsid w:val="00FE5618"/>
    <w:rsid w:val="00FE57FE"/>
    <w:rsid w:val="00FE7443"/>
    <w:rsid w:val="00FE7BC5"/>
    <w:rsid w:val="00FF008E"/>
    <w:rsid w:val="00FF0691"/>
    <w:rsid w:val="00FF2196"/>
    <w:rsid w:val="00FF3659"/>
    <w:rsid w:val="00FF4408"/>
    <w:rsid w:val="00FF472F"/>
    <w:rsid w:val="00FF4C6D"/>
    <w:rsid w:val="00FF4E93"/>
    <w:rsid w:val="00FF50E5"/>
    <w:rsid w:val="00FF5212"/>
    <w:rsid w:val="00FF55B6"/>
    <w:rsid w:val="00FF5866"/>
    <w:rsid w:val="00FF5A94"/>
    <w:rsid w:val="00FF5C55"/>
    <w:rsid w:val="00FF6442"/>
    <w:rsid w:val="00FF64E2"/>
    <w:rsid w:val="00FF6AAE"/>
    <w:rsid w:val="00FF72EE"/>
    <w:rsid w:val="00FF7E54"/>
    <w:rsid w:val="149C1325"/>
    <w:rsid w:val="1B4BFF46"/>
    <w:rsid w:val="1D78D840"/>
    <w:rsid w:val="1F64E7AE"/>
    <w:rsid w:val="20CF6B5D"/>
    <w:rsid w:val="26FBA3EF"/>
    <w:rsid w:val="28FC3361"/>
    <w:rsid w:val="2914A78E"/>
    <w:rsid w:val="2D2C03BC"/>
    <w:rsid w:val="2FD54490"/>
    <w:rsid w:val="36023058"/>
    <w:rsid w:val="38ED470D"/>
    <w:rsid w:val="3D7FDBFD"/>
    <w:rsid w:val="3E5AF5FF"/>
    <w:rsid w:val="4027D880"/>
    <w:rsid w:val="405F9980"/>
    <w:rsid w:val="458FEF9C"/>
    <w:rsid w:val="515485A5"/>
    <w:rsid w:val="571228B5"/>
    <w:rsid w:val="58780AF0"/>
    <w:rsid w:val="58A0DBF6"/>
    <w:rsid w:val="5C3036AD"/>
    <w:rsid w:val="5D57C3E4"/>
    <w:rsid w:val="629FD116"/>
    <w:rsid w:val="64E4CDC1"/>
    <w:rsid w:val="699CC701"/>
    <w:rsid w:val="6AF82B86"/>
    <w:rsid w:val="7001FD72"/>
    <w:rsid w:val="7648B021"/>
    <w:rsid w:val="7F757E9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9844DE84-462D-4DDA-87B8-233B8F79D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E52ED4"/>
    <w:pPr>
      <w:keepNext/>
      <w:spacing w:before="240" w:after="60"/>
      <w:jc w:val="both"/>
      <w:outlineLvl w:val="2"/>
    </w:pPr>
    <w:rPr>
      <w:rFonts w:ascii="Calibri Light" w:eastAsia="Times New Roman" w:hAnsi="Calibri Light"/>
      <w:b/>
      <w:bCs/>
      <w:color w:val="auto"/>
      <w:spacing w:val="0"/>
      <w:sz w:val="26"/>
      <w:szCs w:val="26"/>
      <w:lang w:val="es-ES"/>
    </w:rPr>
  </w:style>
  <w:style w:type="paragraph" w:styleId="Ttulo4">
    <w:name w:val="heading 4"/>
    <w:basedOn w:val="Normal"/>
    <w:next w:val="Normal"/>
    <w:link w:val="Ttulo4Car"/>
    <w:uiPriority w:val="9"/>
    <w:semiHidden/>
    <w:unhideWhenUsed/>
    <w:qFormat/>
    <w:rsid w:val="00E52ED4"/>
    <w:pPr>
      <w:keepNext/>
      <w:spacing w:before="240" w:after="60"/>
      <w:jc w:val="both"/>
      <w:outlineLvl w:val="3"/>
    </w:pPr>
    <w:rPr>
      <w:rFonts w:ascii="Calibri" w:eastAsia="Times New Roman" w:hAnsi="Calibri"/>
      <w:b/>
      <w:bCs/>
      <w:color w:val="auto"/>
      <w:spacing w:val="0"/>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character" w:customStyle="1" w:styleId="Ttulo3Car">
    <w:name w:val="Título 3 Car"/>
    <w:basedOn w:val="Fuentedeprrafopredeter"/>
    <w:link w:val="Ttulo3"/>
    <w:uiPriority w:val="9"/>
    <w:rsid w:val="00E52ED4"/>
    <w:rPr>
      <w:rFonts w:ascii="Calibri Light" w:eastAsia="Times New Roman" w:hAnsi="Calibri Light"/>
      <w:b/>
      <w:bCs/>
      <w:color w:val="auto"/>
      <w:spacing w:val="0"/>
      <w:sz w:val="26"/>
      <w:szCs w:val="26"/>
      <w:lang w:val="es-ES"/>
    </w:rPr>
  </w:style>
  <w:style w:type="character" w:customStyle="1" w:styleId="Ttulo4Car">
    <w:name w:val="Título 4 Car"/>
    <w:basedOn w:val="Fuentedeprrafopredeter"/>
    <w:link w:val="Ttulo4"/>
    <w:uiPriority w:val="9"/>
    <w:semiHidden/>
    <w:rsid w:val="00E52ED4"/>
    <w:rPr>
      <w:rFonts w:ascii="Calibri" w:eastAsia="Times New Roman" w:hAnsi="Calibri"/>
      <w:b/>
      <w:bCs/>
      <w:color w:val="auto"/>
      <w:spacing w:val="0"/>
      <w:sz w:val="28"/>
      <w:szCs w:val="28"/>
      <w:lang w:val="es-ES"/>
    </w:rPr>
  </w:style>
  <w:style w:type="character" w:styleId="nfasisintenso">
    <w:name w:val="Intense Emphasis"/>
    <w:uiPriority w:val="21"/>
    <w:rsid w:val="00E52ED4"/>
    <w:rPr>
      <w:i/>
      <w:iCs/>
      <w:color w:val="5B9BD5"/>
    </w:rPr>
  </w:style>
  <w:style w:type="paragraph" w:styleId="Subttulo">
    <w:name w:val="Subtitle"/>
    <w:basedOn w:val="Normal"/>
    <w:next w:val="Normal"/>
    <w:link w:val="SubttuloCar"/>
    <w:uiPriority w:val="11"/>
    <w:qFormat/>
    <w:rsid w:val="00E52ED4"/>
    <w:pPr>
      <w:numPr>
        <w:ilvl w:val="1"/>
      </w:numPr>
      <w:jc w:val="center"/>
    </w:pPr>
    <w:rPr>
      <w:rFonts w:ascii="Gotham" w:eastAsia="Times New Roman" w:hAnsi="Gotham"/>
      <w:color w:val="2F5496"/>
      <w:spacing w:val="15"/>
      <w:sz w:val="16"/>
      <w:szCs w:val="22"/>
      <w:lang w:val="es-ES"/>
    </w:rPr>
  </w:style>
  <w:style w:type="character" w:customStyle="1" w:styleId="SubttuloCar">
    <w:name w:val="Subtítulo Car"/>
    <w:basedOn w:val="Fuentedeprrafopredeter"/>
    <w:link w:val="Subttulo"/>
    <w:uiPriority w:val="11"/>
    <w:rsid w:val="00E52ED4"/>
    <w:rPr>
      <w:rFonts w:ascii="Gotham" w:eastAsia="Times New Roman" w:hAnsi="Gotham"/>
      <w:color w:val="2F5496"/>
      <w:spacing w:val="15"/>
      <w:sz w:val="16"/>
      <w:szCs w:val="22"/>
      <w:lang w:val="es-ES"/>
    </w:rPr>
  </w:style>
  <w:style w:type="paragraph" w:customStyle="1" w:styleId="Textonotasalpie">
    <w:name w:val="Texto notas al pie"/>
    <w:basedOn w:val="Normal"/>
    <w:link w:val="TextonotasalpieCar"/>
    <w:qFormat/>
    <w:rsid w:val="00E52ED4"/>
    <w:pPr>
      <w:jc w:val="both"/>
    </w:pPr>
    <w:rPr>
      <w:rFonts w:ascii="Gotham Thin" w:eastAsia="Calibri" w:hAnsi="Gotham Thin"/>
      <w:color w:val="auto"/>
      <w:spacing w:val="0"/>
      <w:sz w:val="15"/>
      <w:szCs w:val="22"/>
      <w:lang w:val="es-ES"/>
    </w:rPr>
  </w:style>
  <w:style w:type="paragraph" w:styleId="Prrafodelista">
    <w:name w:val="List Paragraph"/>
    <w:aliases w:val="Lista sin Numerar"/>
    <w:basedOn w:val="Normal"/>
    <w:link w:val="PrrafodelistaCar"/>
    <w:uiPriority w:val="34"/>
    <w:qFormat/>
    <w:rsid w:val="00E52ED4"/>
    <w:pPr>
      <w:spacing w:after="200" w:line="276" w:lineRule="auto"/>
      <w:ind w:left="720"/>
      <w:contextualSpacing/>
    </w:pPr>
    <w:rPr>
      <w:rFonts w:ascii="Calibri" w:eastAsia="Calibri" w:hAnsi="Calibri"/>
      <w:color w:val="auto"/>
      <w:spacing w:val="0"/>
      <w:sz w:val="22"/>
      <w:szCs w:val="22"/>
      <w:lang w:val="es-DO"/>
    </w:rPr>
  </w:style>
  <w:style w:type="character" w:customStyle="1" w:styleId="TextonotasalpieCar">
    <w:name w:val="Texto notas al pie Car"/>
    <w:link w:val="Textonotasalpie"/>
    <w:rsid w:val="00E52ED4"/>
    <w:rPr>
      <w:rFonts w:ascii="Gotham Thin" w:eastAsia="Calibri" w:hAnsi="Gotham Thin"/>
      <w:color w:val="auto"/>
      <w:spacing w:val="0"/>
      <w:sz w:val="15"/>
      <w:szCs w:val="22"/>
      <w:lang w:val="es-ES"/>
    </w:rPr>
  </w:style>
  <w:style w:type="character" w:customStyle="1" w:styleId="PrrafodelistaCar">
    <w:name w:val="Párrafo de lista Car"/>
    <w:aliases w:val="Lista sin Numerar Car"/>
    <w:link w:val="Prrafodelista"/>
    <w:uiPriority w:val="34"/>
    <w:rsid w:val="00E52ED4"/>
    <w:rPr>
      <w:rFonts w:ascii="Calibri" w:eastAsia="Calibri" w:hAnsi="Calibri"/>
      <w:color w:val="auto"/>
      <w:spacing w:val="0"/>
      <w:sz w:val="22"/>
      <w:szCs w:val="22"/>
      <w:lang w:val="es-DO"/>
    </w:rPr>
  </w:style>
  <w:style w:type="table" w:styleId="Tablaconcuadrcula">
    <w:name w:val="Table Grid"/>
    <w:basedOn w:val="Tablanormal"/>
    <w:uiPriority w:val="39"/>
    <w:rsid w:val="00E52ED4"/>
    <w:pPr>
      <w:spacing w:after="0" w:line="240" w:lineRule="auto"/>
    </w:pPr>
    <w:rPr>
      <w:rFonts w:ascii="Calibri" w:eastAsia="Calibri"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4-nfasis5">
    <w:name w:val="List Table 4 Accent 5"/>
    <w:basedOn w:val="Tablanormal"/>
    <w:uiPriority w:val="49"/>
    <w:rsid w:val="00E52ED4"/>
    <w:pPr>
      <w:spacing w:after="0" w:line="240" w:lineRule="auto"/>
    </w:pPr>
    <w:rPr>
      <w:rFonts w:eastAsia="MS Mincho"/>
      <w:color w:val="auto"/>
      <w:spacing w:val="0"/>
      <w:sz w:val="20"/>
      <w:szCs w:val="20"/>
      <w:lang w:val="es-ES" w:eastAsia="es-E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NormalWeb">
    <w:name w:val="Normal (Web)"/>
    <w:basedOn w:val="Normal"/>
    <w:uiPriority w:val="99"/>
    <w:unhideWhenUsed/>
    <w:rsid w:val="00E52ED4"/>
    <w:pPr>
      <w:spacing w:before="100" w:beforeAutospacing="1" w:after="100" w:afterAutospacing="1" w:line="240" w:lineRule="auto"/>
    </w:pPr>
    <w:rPr>
      <w:rFonts w:eastAsia="Times New Roman"/>
      <w:color w:val="auto"/>
      <w:spacing w:val="0"/>
      <w:lang w:val="es-DO" w:eastAsia="es-DO"/>
    </w:rPr>
  </w:style>
  <w:style w:type="paragraph" w:customStyle="1" w:styleId="CuerpoSB">
    <w:name w:val="Cuerpo SB"/>
    <w:basedOn w:val="Normal"/>
    <w:link w:val="CuerpoSBCar"/>
    <w:qFormat/>
    <w:rsid w:val="00E52ED4"/>
    <w:pPr>
      <w:pBdr>
        <w:top w:val="nil"/>
        <w:left w:val="nil"/>
        <w:bottom w:val="nil"/>
        <w:right w:val="nil"/>
        <w:between w:val="nil"/>
        <w:bar w:val="nil"/>
      </w:pBdr>
      <w:suppressAutoHyphens/>
      <w:spacing w:line="456" w:lineRule="auto"/>
      <w:ind w:left="284"/>
      <w:contextualSpacing/>
      <w:jc w:val="both"/>
    </w:pPr>
    <w:rPr>
      <w:rFonts w:ascii="Artifex CF Light" w:eastAsia="Arial Unicode MS" w:hAnsi="Artifex CF Light" w:cs="Arial Unicode MS"/>
      <w:color w:val="1F4E79"/>
      <w:spacing w:val="0"/>
      <w:sz w:val="18"/>
      <w:szCs w:val="18"/>
      <w:u w:color="000000"/>
      <w:bdr w:val="nil"/>
      <w:lang w:val="es-DO" w:eastAsia="es-DO"/>
    </w:rPr>
  </w:style>
  <w:style w:type="character" w:customStyle="1" w:styleId="CuerpoSBCar">
    <w:name w:val="Cuerpo SB Car"/>
    <w:link w:val="CuerpoSB"/>
    <w:rsid w:val="00E52ED4"/>
    <w:rPr>
      <w:rFonts w:ascii="Artifex CF Light" w:eastAsia="Arial Unicode MS" w:hAnsi="Artifex CF Light" w:cs="Arial Unicode MS"/>
      <w:color w:val="1F4E79"/>
      <w:spacing w:val="0"/>
      <w:sz w:val="18"/>
      <w:szCs w:val="18"/>
      <w:u w:color="000000"/>
      <w:bdr w:val="nil"/>
      <w:lang w:val="es-DO" w:eastAsia="es-DO"/>
    </w:rPr>
  </w:style>
  <w:style w:type="paragraph" w:customStyle="1" w:styleId="Body">
    <w:name w:val="Body"/>
    <w:link w:val="BodyCar"/>
    <w:rsid w:val="00E52ED4"/>
    <w:pPr>
      <w:pBdr>
        <w:top w:val="nil"/>
        <w:left w:val="nil"/>
        <w:bottom w:val="nil"/>
        <w:right w:val="nil"/>
        <w:between w:val="nil"/>
        <w:bar w:val="nil"/>
      </w:pBdr>
      <w:suppressAutoHyphens/>
      <w:spacing w:after="220" w:line="380" w:lineRule="exact"/>
      <w:ind w:right="284"/>
      <w:jc w:val="both"/>
    </w:pPr>
    <w:rPr>
      <w:rFonts w:ascii="Artifex CF Extra Light" w:eastAsia="Arial Unicode MS" w:hAnsi="Artifex CF Extra Light" w:cs="Arial Unicode MS"/>
      <w:color w:val="000000"/>
      <w:spacing w:val="0"/>
      <w:sz w:val="18"/>
      <w:szCs w:val="18"/>
      <w:u w:color="000000"/>
      <w:bdr w:val="nil"/>
      <w:lang w:val="es-DO" w:eastAsia="es-DO"/>
    </w:rPr>
  </w:style>
  <w:style w:type="table" w:customStyle="1" w:styleId="TableNormal1">
    <w:name w:val="Table Normal1"/>
    <w:rsid w:val="00E52ED4"/>
    <w:pPr>
      <w:pBdr>
        <w:top w:val="nil"/>
        <w:left w:val="nil"/>
        <w:bottom w:val="nil"/>
        <w:right w:val="nil"/>
        <w:between w:val="nil"/>
        <w:bar w:val="nil"/>
      </w:pBdr>
      <w:spacing w:after="0" w:line="240" w:lineRule="auto"/>
    </w:pPr>
    <w:rPr>
      <w:rFonts w:eastAsia="Arial Unicode MS"/>
      <w:color w:val="auto"/>
      <w:spacing w:val="0"/>
      <w:sz w:val="20"/>
      <w:szCs w:val="20"/>
      <w:bdr w:val="nil"/>
      <w:lang w:val="es-DO" w:eastAsia="es-DO"/>
    </w:rPr>
    <w:tblPr>
      <w:tblInd w:w="0" w:type="dxa"/>
      <w:tblCellMar>
        <w:top w:w="0" w:type="dxa"/>
        <w:left w:w="0" w:type="dxa"/>
        <w:bottom w:w="0" w:type="dxa"/>
        <w:right w:w="0" w:type="dxa"/>
      </w:tblCellMar>
    </w:tblPr>
  </w:style>
  <w:style w:type="character" w:customStyle="1" w:styleId="BodyCar">
    <w:name w:val="Body Car"/>
    <w:link w:val="Body"/>
    <w:rsid w:val="00E52ED4"/>
    <w:rPr>
      <w:rFonts w:ascii="Artifex CF Extra Light" w:eastAsia="Arial Unicode MS" w:hAnsi="Artifex CF Extra Light" w:cs="Arial Unicode MS"/>
      <w:color w:val="000000"/>
      <w:spacing w:val="0"/>
      <w:sz w:val="18"/>
      <w:szCs w:val="18"/>
      <w:u w:color="000000"/>
      <w:bdr w:val="nil"/>
      <w:lang w:val="es-DO" w:eastAsia="es-DO"/>
    </w:rPr>
  </w:style>
  <w:style w:type="paragraph" w:styleId="Descripcin">
    <w:name w:val="caption"/>
    <w:basedOn w:val="Normal"/>
    <w:next w:val="Normal"/>
    <w:uiPriority w:val="35"/>
    <w:unhideWhenUsed/>
    <w:qFormat/>
    <w:rsid w:val="00E52ED4"/>
    <w:pPr>
      <w:jc w:val="both"/>
    </w:pPr>
    <w:rPr>
      <w:rFonts w:ascii="Artifex CF Extra Light" w:eastAsia="Calibri" w:hAnsi="Artifex CF Extra Light"/>
      <w:b/>
      <w:bCs/>
      <w:color w:val="auto"/>
      <w:spacing w:val="0"/>
      <w:sz w:val="20"/>
      <w:szCs w:val="20"/>
      <w:lang w:val="es-ES"/>
    </w:rPr>
  </w:style>
  <w:style w:type="paragraph" w:customStyle="1" w:styleId="Estilo1">
    <w:name w:val="Estilo1"/>
    <w:basedOn w:val="Ttulo2"/>
    <w:link w:val="Estilo1Car"/>
    <w:qFormat/>
    <w:rsid w:val="00E52ED4"/>
    <w:pPr>
      <w:keepLines w:val="0"/>
      <w:spacing w:before="240" w:after="60"/>
      <w:jc w:val="center"/>
    </w:pPr>
    <w:rPr>
      <w:rFonts w:eastAsia="Times New Roman" w:cs="Times New Roman"/>
      <w:b/>
      <w:bCs/>
      <w:i/>
      <w:iCs/>
      <w:color w:val="767171"/>
      <w:sz w:val="28"/>
      <w:szCs w:val="28"/>
      <w:lang w:val="es-DO"/>
    </w:rPr>
  </w:style>
  <w:style w:type="paragraph" w:customStyle="1" w:styleId="Estilo2">
    <w:name w:val="Estilo2"/>
    <w:basedOn w:val="Estilo1"/>
    <w:link w:val="Estilo2Car"/>
    <w:rsid w:val="00E52ED4"/>
  </w:style>
  <w:style w:type="character" w:customStyle="1" w:styleId="Estilo1Car">
    <w:name w:val="Estilo1 Car"/>
    <w:link w:val="Estilo1"/>
    <w:rsid w:val="00E52ED4"/>
    <w:rPr>
      <w:rFonts w:eastAsia="Times New Roman"/>
      <w:b/>
      <w:bCs/>
      <w:i/>
      <w:iCs/>
      <w:sz w:val="28"/>
      <w:szCs w:val="28"/>
      <w:lang w:val="es-DO"/>
    </w:rPr>
  </w:style>
  <w:style w:type="paragraph" w:customStyle="1" w:styleId="Estilo3">
    <w:name w:val="Estilo3"/>
    <w:basedOn w:val="Estilo1"/>
    <w:link w:val="Estilo3Car"/>
    <w:qFormat/>
    <w:rsid w:val="00E52ED4"/>
    <w:rPr>
      <w:b w:val="0"/>
      <w:i w:val="0"/>
      <w:sz w:val="24"/>
    </w:rPr>
  </w:style>
  <w:style w:type="character" w:customStyle="1" w:styleId="Estilo2Car">
    <w:name w:val="Estilo2 Car"/>
    <w:basedOn w:val="Estilo1Car"/>
    <w:link w:val="Estilo2"/>
    <w:rsid w:val="00E52ED4"/>
    <w:rPr>
      <w:rFonts w:eastAsia="Times New Roman"/>
      <w:b/>
      <w:bCs/>
      <w:i/>
      <w:iCs/>
      <w:sz w:val="28"/>
      <w:szCs w:val="28"/>
      <w:lang w:val="es-DO"/>
    </w:rPr>
  </w:style>
  <w:style w:type="paragraph" w:styleId="TDC2">
    <w:name w:val="toc 2"/>
    <w:basedOn w:val="Normal"/>
    <w:next w:val="Normal"/>
    <w:autoRedefine/>
    <w:uiPriority w:val="39"/>
    <w:unhideWhenUsed/>
    <w:rsid w:val="00BE1A25"/>
    <w:pPr>
      <w:tabs>
        <w:tab w:val="right" w:leader="dot" w:pos="9350"/>
      </w:tabs>
      <w:spacing w:after="100"/>
      <w:ind w:left="220"/>
    </w:pPr>
    <w:rPr>
      <w:rFonts w:eastAsia="Calibri"/>
      <w:noProof/>
      <w:spacing w:val="0"/>
      <w:lang w:val="es-DO" w:eastAsia="es-DO"/>
    </w:rPr>
  </w:style>
  <w:style w:type="character" w:customStyle="1" w:styleId="Estilo3Car">
    <w:name w:val="Estilo3 Car"/>
    <w:link w:val="Estilo3"/>
    <w:rsid w:val="00E52ED4"/>
    <w:rPr>
      <w:rFonts w:eastAsia="Times New Roman"/>
      <w:bCs/>
      <w:iCs/>
      <w:szCs w:val="28"/>
      <w:lang w:val="es-DO"/>
    </w:rPr>
  </w:style>
  <w:style w:type="paragraph" w:styleId="TDC3">
    <w:name w:val="toc 3"/>
    <w:basedOn w:val="Normal"/>
    <w:next w:val="Normal"/>
    <w:autoRedefine/>
    <w:uiPriority w:val="39"/>
    <w:unhideWhenUsed/>
    <w:rsid w:val="00E52ED4"/>
    <w:pPr>
      <w:spacing w:after="100"/>
      <w:ind w:left="440"/>
    </w:pPr>
    <w:rPr>
      <w:rFonts w:ascii="Calibri" w:eastAsia="Times New Roman" w:hAnsi="Calibri"/>
      <w:color w:val="auto"/>
      <w:spacing w:val="0"/>
      <w:sz w:val="22"/>
      <w:szCs w:val="22"/>
      <w:lang w:val="es-DO" w:eastAsia="es-DO"/>
    </w:rPr>
  </w:style>
  <w:style w:type="character" w:styleId="Refdecomentario">
    <w:name w:val="annotation reference"/>
    <w:uiPriority w:val="99"/>
    <w:unhideWhenUsed/>
    <w:rsid w:val="00E52ED4"/>
    <w:rPr>
      <w:sz w:val="16"/>
      <w:szCs w:val="16"/>
    </w:rPr>
  </w:style>
  <w:style w:type="paragraph" w:styleId="Textocomentario">
    <w:name w:val="annotation text"/>
    <w:basedOn w:val="Normal"/>
    <w:link w:val="TextocomentarioCar"/>
    <w:uiPriority w:val="99"/>
    <w:unhideWhenUsed/>
    <w:rsid w:val="00E52ED4"/>
    <w:pPr>
      <w:jc w:val="both"/>
    </w:pPr>
    <w:rPr>
      <w:rFonts w:ascii="Artifex CF Extra Light" w:eastAsia="Calibri" w:hAnsi="Artifex CF Extra Light"/>
      <w:color w:val="auto"/>
      <w:spacing w:val="0"/>
      <w:sz w:val="20"/>
      <w:szCs w:val="20"/>
      <w:lang w:val="es-ES"/>
    </w:rPr>
  </w:style>
  <w:style w:type="character" w:customStyle="1" w:styleId="TextocomentarioCar">
    <w:name w:val="Texto comentario Car"/>
    <w:basedOn w:val="Fuentedeprrafopredeter"/>
    <w:link w:val="Textocomentario"/>
    <w:uiPriority w:val="99"/>
    <w:rsid w:val="00E52ED4"/>
    <w:rPr>
      <w:rFonts w:ascii="Artifex CF Extra Light" w:eastAsia="Calibri" w:hAnsi="Artifex CF Extra Light"/>
      <w:color w:val="auto"/>
      <w:spacing w:val="0"/>
      <w:sz w:val="20"/>
      <w:szCs w:val="20"/>
      <w:lang w:val="es-ES"/>
    </w:rPr>
  </w:style>
  <w:style w:type="paragraph" w:styleId="Textodeglobo">
    <w:name w:val="Balloon Text"/>
    <w:basedOn w:val="Normal"/>
    <w:link w:val="TextodegloboCar"/>
    <w:uiPriority w:val="99"/>
    <w:semiHidden/>
    <w:unhideWhenUsed/>
    <w:rsid w:val="00E52ED4"/>
    <w:pPr>
      <w:spacing w:after="0" w:line="240" w:lineRule="auto"/>
      <w:jc w:val="both"/>
    </w:pPr>
    <w:rPr>
      <w:rFonts w:ascii="Segoe UI" w:eastAsia="Calibri" w:hAnsi="Segoe UI" w:cs="Segoe UI"/>
      <w:color w:val="auto"/>
      <w:spacing w:val="0"/>
      <w:sz w:val="18"/>
      <w:szCs w:val="18"/>
      <w:lang w:val="es-ES"/>
    </w:rPr>
  </w:style>
  <w:style w:type="character" w:customStyle="1" w:styleId="TextodegloboCar">
    <w:name w:val="Texto de globo Car"/>
    <w:basedOn w:val="Fuentedeprrafopredeter"/>
    <w:link w:val="Textodeglobo"/>
    <w:uiPriority w:val="99"/>
    <w:semiHidden/>
    <w:rsid w:val="00E52ED4"/>
    <w:rPr>
      <w:rFonts w:ascii="Segoe UI" w:eastAsia="Calibri" w:hAnsi="Segoe UI" w:cs="Segoe UI"/>
      <w:color w:val="auto"/>
      <w:spacing w:val="0"/>
      <w:sz w:val="18"/>
      <w:szCs w:val="18"/>
      <w:lang w:val="es-ES"/>
    </w:rPr>
  </w:style>
  <w:style w:type="character" w:styleId="Refdenotaalpie">
    <w:name w:val="footnote reference"/>
    <w:uiPriority w:val="99"/>
    <w:unhideWhenUsed/>
    <w:rsid w:val="00E52ED4"/>
    <w:rPr>
      <w:vertAlign w:val="superscript"/>
    </w:rPr>
  </w:style>
  <w:style w:type="paragraph" w:styleId="Textonotapie">
    <w:name w:val="footnote text"/>
    <w:basedOn w:val="Normal"/>
    <w:link w:val="TextonotapieCar"/>
    <w:uiPriority w:val="99"/>
    <w:semiHidden/>
    <w:unhideWhenUsed/>
    <w:rsid w:val="00E52ED4"/>
    <w:pPr>
      <w:spacing w:after="0" w:line="240" w:lineRule="auto"/>
    </w:pPr>
    <w:rPr>
      <w:rFonts w:ascii="Calibri" w:eastAsia="Calibri" w:hAnsi="Calibri"/>
      <w:color w:val="auto"/>
      <w:spacing w:val="0"/>
      <w:sz w:val="20"/>
      <w:szCs w:val="20"/>
      <w:lang w:val="es-DO"/>
    </w:rPr>
  </w:style>
  <w:style w:type="character" w:customStyle="1" w:styleId="TextonotapieCar">
    <w:name w:val="Texto nota pie Car"/>
    <w:basedOn w:val="Fuentedeprrafopredeter"/>
    <w:link w:val="Textonotapie"/>
    <w:uiPriority w:val="99"/>
    <w:semiHidden/>
    <w:rsid w:val="00E52ED4"/>
    <w:rPr>
      <w:rFonts w:ascii="Calibri" w:eastAsia="Calibri" w:hAnsi="Calibri"/>
      <w:color w:val="auto"/>
      <w:spacing w:val="0"/>
      <w:sz w:val="20"/>
      <w:szCs w:val="20"/>
      <w:lang w:val="es-DO"/>
    </w:rPr>
  </w:style>
  <w:style w:type="paragraph" w:styleId="Asuntodelcomentario">
    <w:name w:val="annotation subject"/>
    <w:basedOn w:val="Textocomentario"/>
    <w:next w:val="Textocomentario"/>
    <w:link w:val="AsuntodelcomentarioCar"/>
    <w:uiPriority w:val="99"/>
    <w:semiHidden/>
    <w:unhideWhenUsed/>
    <w:rsid w:val="00E52ED4"/>
    <w:rPr>
      <w:b/>
      <w:bCs/>
    </w:rPr>
  </w:style>
  <w:style w:type="character" w:customStyle="1" w:styleId="AsuntodelcomentarioCar">
    <w:name w:val="Asunto del comentario Car"/>
    <w:basedOn w:val="TextocomentarioCar"/>
    <w:link w:val="Asuntodelcomentario"/>
    <w:uiPriority w:val="99"/>
    <w:semiHidden/>
    <w:rsid w:val="00E52ED4"/>
    <w:rPr>
      <w:rFonts w:ascii="Artifex CF Extra Light" w:eastAsia="Calibri" w:hAnsi="Artifex CF Extra Light"/>
      <w:b/>
      <w:bCs/>
      <w:color w:val="auto"/>
      <w:spacing w:val="0"/>
      <w:sz w:val="20"/>
      <w:szCs w:val="20"/>
      <w:lang w:val="es-ES"/>
    </w:rPr>
  </w:style>
  <w:style w:type="table" w:styleId="Tablaconcuadrcula5oscura-nfasis1">
    <w:name w:val="Grid Table 5 Dark Accent 1"/>
    <w:basedOn w:val="Tablanormal"/>
    <w:uiPriority w:val="50"/>
    <w:rsid w:val="00E52ED4"/>
    <w:pPr>
      <w:spacing w:after="0" w:line="240" w:lineRule="auto"/>
    </w:pPr>
    <w:rPr>
      <w:rFonts w:ascii="Calibri" w:eastAsia="Calibri" w:hAnsi="Calibri"/>
      <w:color w:val="auto"/>
      <w:spacing w:val="0"/>
      <w:sz w:val="22"/>
      <w:szCs w:val="22"/>
      <w:lang w:val="es-D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customStyle="1" w:styleId="rtejustify">
    <w:name w:val="rtejustify"/>
    <w:basedOn w:val="Normal"/>
    <w:rsid w:val="00E52ED4"/>
    <w:pPr>
      <w:spacing w:before="100" w:beforeAutospacing="1" w:after="100" w:afterAutospacing="1" w:line="240" w:lineRule="auto"/>
    </w:pPr>
    <w:rPr>
      <w:rFonts w:eastAsia="Times New Roman"/>
      <w:color w:val="auto"/>
      <w:spacing w:val="0"/>
      <w:lang w:val="es-DO" w:eastAsia="es-DO"/>
    </w:rPr>
  </w:style>
  <w:style w:type="paragraph" w:styleId="Textoindependiente">
    <w:name w:val="Body Text"/>
    <w:basedOn w:val="Normal"/>
    <w:link w:val="TextoindependienteCar"/>
    <w:uiPriority w:val="1"/>
    <w:unhideWhenUsed/>
    <w:qFormat/>
    <w:rsid w:val="00E52ED4"/>
    <w:pPr>
      <w:widowControl w:val="0"/>
      <w:autoSpaceDE w:val="0"/>
      <w:autoSpaceDN w:val="0"/>
      <w:spacing w:after="0" w:line="240" w:lineRule="auto"/>
    </w:pPr>
    <w:rPr>
      <w:rFonts w:eastAsia="Times New Roman"/>
      <w:color w:val="auto"/>
      <w:spacing w:val="0"/>
      <w:lang w:val="es-ES"/>
    </w:rPr>
  </w:style>
  <w:style w:type="character" w:customStyle="1" w:styleId="TextoindependienteCar">
    <w:name w:val="Texto independiente Car"/>
    <w:basedOn w:val="Fuentedeprrafopredeter"/>
    <w:link w:val="Textoindependiente"/>
    <w:uiPriority w:val="1"/>
    <w:rsid w:val="00E52ED4"/>
    <w:rPr>
      <w:rFonts w:eastAsia="Times New Roman"/>
      <w:color w:val="auto"/>
      <w:spacing w:val="0"/>
      <w:lang w:val="es-ES"/>
    </w:rPr>
  </w:style>
  <w:style w:type="character" w:styleId="Mencinsinresolver">
    <w:name w:val="Unresolved Mention"/>
    <w:uiPriority w:val="99"/>
    <w:semiHidden/>
    <w:unhideWhenUsed/>
    <w:rsid w:val="00E52ED4"/>
    <w:rPr>
      <w:color w:val="605E5C"/>
      <w:shd w:val="clear" w:color="auto" w:fill="E1DFDD"/>
    </w:rPr>
  </w:style>
  <w:style w:type="table" w:styleId="Tablanormal5">
    <w:name w:val="Plain Table 5"/>
    <w:basedOn w:val="Tablanormal"/>
    <w:uiPriority w:val="45"/>
    <w:rsid w:val="00E52ED4"/>
    <w:pPr>
      <w:spacing w:after="0" w:line="240" w:lineRule="auto"/>
    </w:pPr>
    <w:rPr>
      <w:rFonts w:ascii="Calibri" w:eastAsia="Calibri" w:hAnsi="Calibri"/>
      <w:color w:val="auto"/>
      <w:spacing w:val="0"/>
      <w:sz w:val="20"/>
      <w:szCs w:val="20"/>
      <w:lang w:val="es-DO" w:eastAsia="es-DO"/>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n">
    <w:name w:val="Revision"/>
    <w:hidden/>
    <w:uiPriority w:val="99"/>
    <w:semiHidden/>
    <w:rsid w:val="00E52ED4"/>
    <w:pPr>
      <w:spacing w:after="0" w:line="240" w:lineRule="auto"/>
    </w:pPr>
    <w:rPr>
      <w:rFonts w:ascii="Artifex CF Extra Light" w:eastAsia="Calibri" w:hAnsi="Artifex CF Extra Light"/>
      <w:color w:val="003876"/>
      <w:spacing w:val="0"/>
      <w:sz w:val="18"/>
      <w:szCs w:val="22"/>
      <w:lang w:val="es-ES"/>
    </w:rPr>
  </w:style>
  <w:style w:type="character" w:styleId="Hipervnculovisitado">
    <w:name w:val="FollowedHyperlink"/>
    <w:basedOn w:val="Fuentedeprrafopredeter"/>
    <w:uiPriority w:val="99"/>
    <w:semiHidden/>
    <w:unhideWhenUsed/>
    <w:rsid w:val="00E52ED4"/>
    <w:rPr>
      <w:color w:val="954F72" w:themeColor="followedHyperlink"/>
      <w:u w:val="single"/>
    </w:rPr>
  </w:style>
  <w:style w:type="paragraph" w:customStyle="1" w:styleId="EstiloTItulosMemorias">
    <w:name w:val="Estilo TItulos Memorias"/>
    <w:basedOn w:val="Ttulo1"/>
    <w:link w:val="EstiloTItulosMemoriasCar"/>
    <w:qFormat/>
    <w:rsid w:val="00E52ED4"/>
    <w:pPr>
      <w:spacing w:line="259" w:lineRule="auto"/>
    </w:pPr>
    <w:rPr>
      <w:rFonts w:eastAsia="Times New Roman"/>
      <w:b w:val="0"/>
      <w:szCs w:val="22"/>
      <w:lang w:val="es-DO"/>
    </w:rPr>
  </w:style>
  <w:style w:type="paragraph" w:customStyle="1" w:styleId="Cuerpomemorias">
    <w:name w:val="Cuerpo memorias"/>
    <w:basedOn w:val="CuerpoSB"/>
    <w:link w:val="CuerpomemoriasCar"/>
    <w:qFormat/>
    <w:rsid w:val="00E52ED4"/>
    <w:pPr>
      <w:spacing w:before="120" w:after="280" w:line="360" w:lineRule="auto"/>
    </w:pPr>
    <w:rPr>
      <w:bCs/>
      <w:iCs/>
    </w:rPr>
  </w:style>
  <w:style w:type="character" w:customStyle="1" w:styleId="EstiloTItulosMemoriasCar">
    <w:name w:val="Estilo TItulos Memorias Car"/>
    <w:basedOn w:val="Ttulo1Car"/>
    <w:link w:val="EstiloTItulosMemorias"/>
    <w:rsid w:val="00E52ED4"/>
    <w:rPr>
      <w:rFonts w:ascii="Times New Roman" w:eastAsia="Times New Roman" w:hAnsi="Times New Roman" w:cstheme="majorBidi"/>
      <w:b w:val="0"/>
      <w:color w:val="767171" w:themeColor="background2" w:themeShade="80"/>
      <w:sz w:val="28"/>
      <w:szCs w:val="22"/>
      <w:lang w:val="es-DO"/>
    </w:rPr>
  </w:style>
  <w:style w:type="character" w:customStyle="1" w:styleId="CuerpomemoriasCar">
    <w:name w:val="Cuerpo memorias Car"/>
    <w:basedOn w:val="CuerpoSBCar"/>
    <w:link w:val="Cuerpomemorias"/>
    <w:rsid w:val="00E52ED4"/>
    <w:rPr>
      <w:rFonts w:ascii="Artifex CF Light" w:eastAsia="Arial Unicode MS" w:hAnsi="Artifex CF Light" w:cs="Arial Unicode MS"/>
      <w:bCs/>
      <w:iCs/>
      <w:color w:val="1F4E79"/>
      <w:spacing w:val="0"/>
      <w:sz w:val="18"/>
      <w:szCs w:val="18"/>
      <w:u w:color="000000"/>
      <w:bdr w:val="nil"/>
      <w:lang w:val="es-DO" w:eastAsia="es-DO"/>
    </w:rPr>
  </w:style>
  <w:style w:type="paragraph" w:customStyle="1" w:styleId="Estilo4">
    <w:name w:val="Estilo4"/>
    <w:basedOn w:val="Ttulo3"/>
    <w:link w:val="Estilo4Car"/>
    <w:qFormat/>
    <w:rsid w:val="00E52ED4"/>
    <w:pPr>
      <w:keepLines/>
      <w:spacing w:before="80" w:after="0" w:line="360" w:lineRule="auto"/>
      <w:ind w:left="708" w:hanging="708"/>
      <w:jc w:val="center"/>
    </w:pPr>
    <w:rPr>
      <w:rFonts w:ascii="Times New Roman" w:eastAsia="SimSun" w:hAnsi="Times New Roman"/>
      <w:bCs w:val="0"/>
      <w:color w:val="767171"/>
      <w:sz w:val="24"/>
      <w:szCs w:val="24"/>
      <w:lang w:val="es-DO" w:eastAsia="es-DO"/>
    </w:rPr>
  </w:style>
  <w:style w:type="character" w:customStyle="1" w:styleId="Estilo4Car">
    <w:name w:val="Estilo4 Car"/>
    <w:link w:val="Estilo4"/>
    <w:rsid w:val="00E52ED4"/>
    <w:rPr>
      <w:rFonts w:eastAsia="SimSun"/>
      <w:b/>
      <w:spacing w:val="0"/>
      <w:lang w:val="es-DO" w:eastAsia="es-DO"/>
    </w:rPr>
  </w:style>
  <w:style w:type="paragraph" w:customStyle="1" w:styleId="paragraph">
    <w:name w:val="paragraph"/>
    <w:basedOn w:val="Normal"/>
    <w:rsid w:val="00E52ED4"/>
    <w:pPr>
      <w:spacing w:before="100" w:beforeAutospacing="1" w:after="100" w:afterAutospacing="1" w:line="240" w:lineRule="auto"/>
    </w:pPr>
    <w:rPr>
      <w:rFonts w:eastAsia="Times New Roman"/>
      <w:color w:val="auto"/>
      <w:spacing w:val="0"/>
      <w:lang w:val="es-DO" w:eastAsia="es-DO"/>
    </w:rPr>
  </w:style>
  <w:style w:type="character" w:customStyle="1" w:styleId="normaltextrun">
    <w:name w:val="normaltextrun"/>
    <w:basedOn w:val="Fuentedeprrafopredeter"/>
    <w:rsid w:val="00E52ED4"/>
  </w:style>
  <w:style w:type="character" w:customStyle="1" w:styleId="eop">
    <w:name w:val="eop"/>
    <w:basedOn w:val="Fuentedeprrafopredeter"/>
    <w:rsid w:val="00E52ED4"/>
  </w:style>
  <w:style w:type="paragraph" w:customStyle="1" w:styleId="msonormal0">
    <w:name w:val="msonormal"/>
    <w:basedOn w:val="Normal"/>
    <w:rsid w:val="00E52ED4"/>
    <w:pPr>
      <w:spacing w:before="100" w:beforeAutospacing="1" w:after="100" w:afterAutospacing="1" w:line="240" w:lineRule="auto"/>
    </w:pPr>
    <w:rPr>
      <w:rFonts w:eastAsia="Times New Roman"/>
      <w:color w:val="auto"/>
      <w:spacing w:val="0"/>
      <w:lang w:val="es-DO" w:eastAsia="es-DO"/>
    </w:rPr>
  </w:style>
  <w:style w:type="paragraph" w:customStyle="1" w:styleId="xl49">
    <w:name w:val="xl49"/>
    <w:basedOn w:val="Normal"/>
    <w:rsid w:val="00E52ED4"/>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line="240" w:lineRule="auto"/>
      <w:jc w:val="center"/>
      <w:textAlignment w:val="center"/>
    </w:pPr>
    <w:rPr>
      <w:rFonts w:eastAsia="Times New Roman"/>
      <w:b/>
      <w:bCs/>
      <w:color w:val="FFFFFF"/>
      <w:spacing w:val="0"/>
      <w:lang w:val="es-DO" w:eastAsia="es-DO"/>
    </w:rPr>
  </w:style>
  <w:style w:type="paragraph" w:customStyle="1" w:styleId="xl53">
    <w:name w:val="xl53"/>
    <w:basedOn w:val="Normal"/>
    <w:rsid w:val="00E52E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auto"/>
      <w:spacing w:val="0"/>
      <w:sz w:val="18"/>
      <w:szCs w:val="18"/>
      <w:lang w:val="es-DO" w:eastAsia="es-DO"/>
    </w:rPr>
  </w:style>
  <w:style w:type="paragraph" w:customStyle="1" w:styleId="xl54">
    <w:name w:val="xl54"/>
    <w:basedOn w:val="Normal"/>
    <w:rsid w:val="00E52E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auto"/>
      <w:spacing w:val="0"/>
      <w:sz w:val="18"/>
      <w:szCs w:val="18"/>
      <w:lang w:val="es-DO" w:eastAsia="es-DO"/>
    </w:rPr>
  </w:style>
  <w:style w:type="paragraph" w:customStyle="1" w:styleId="xl55">
    <w:name w:val="xl55"/>
    <w:basedOn w:val="Normal"/>
    <w:rsid w:val="00E52ED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Light" w:eastAsia="Times New Roman" w:hAnsi="Calibri Light" w:cs="Calibri Light"/>
      <w:color w:val="auto"/>
      <w:spacing w:val="0"/>
      <w:sz w:val="18"/>
      <w:szCs w:val="18"/>
      <w:lang w:val="es-DO" w:eastAsia="es-DO"/>
    </w:rPr>
  </w:style>
  <w:style w:type="paragraph" w:customStyle="1" w:styleId="xl56">
    <w:name w:val="xl56"/>
    <w:basedOn w:val="Normal"/>
    <w:rsid w:val="00E52E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olor w:val="auto"/>
      <w:spacing w:val="0"/>
      <w:sz w:val="18"/>
      <w:szCs w:val="18"/>
      <w:lang w:val="es-DO" w:eastAsia="es-DO"/>
    </w:rPr>
  </w:style>
  <w:style w:type="paragraph" w:customStyle="1" w:styleId="xl57">
    <w:name w:val="xl57"/>
    <w:basedOn w:val="Normal"/>
    <w:rsid w:val="00E52E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color w:val="auto"/>
      <w:spacing w:val="0"/>
      <w:sz w:val="18"/>
      <w:szCs w:val="18"/>
      <w:lang w:val="es-DO" w:eastAsia="es-DO"/>
    </w:rPr>
  </w:style>
  <w:style w:type="table" w:customStyle="1" w:styleId="TableNormal10">
    <w:name w:val="Table Normal10"/>
    <w:rsid w:val="00E52ED4"/>
    <w:pPr>
      <w:pBdr>
        <w:top w:val="nil"/>
        <w:left w:val="nil"/>
        <w:bottom w:val="nil"/>
        <w:right w:val="nil"/>
        <w:between w:val="nil"/>
        <w:bar w:val="nil"/>
      </w:pBdr>
      <w:spacing w:after="0" w:line="240" w:lineRule="auto"/>
    </w:pPr>
    <w:rPr>
      <w:rFonts w:eastAsia="Arial Unicode MS"/>
      <w:color w:val="auto"/>
      <w:spacing w:val="0"/>
      <w:sz w:val="20"/>
      <w:szCs w:val="20"/>
      <w:bdr w:val="nil"/>
      <w:lang w:val="es-DO" w:eastAsia="es-DO"/>
    </w:rPr>
    <w:tblPr>
      <w:tblInd w:w="0" w:type="dxa"/>
      <w:tblCellMar>
        <w:top w:w="0" w:type="dxa"/>
        <w:left w:w="0" w:type="dxa"/>
        <w:bottom w:w="0" w:type="dxa"/>
        <w:right w:w="0" w:type="dxa"/>
      </w:tblCellMar>
    </w:tblPr>
  </w:style>
  <w:style w:type="table" w:customStyle="1" w:styleId="TableNormal100">
    <w:name w:val="Table Normal100"/>
    <w:rsid w:val="00E52ED4"/>
    <w:pPr>
      <w:pBdr>
        <w:top w:val="nil"/>
        <w:left w:val="nil"/>
        <w:bottom w:val="nil"/>
        <w:right w:val="nil"/>
        <w:between w:val="nil"/>
        <w:bar w:val="nil"/>
      </w:pBdr>
      <w:spacing w:after="0" w:line="240" w:lineRule="auto"/>
    </w:pPr>
    <w:rPr>
      <w:rFonts w:eastAsia="Arial Unicode MS"/>
      <w:color w:val="auto"/>
      <w:spacing w:val="0"/>
      <w:sz w:val="20"/>
      <w:szCs w:val="20"/>
      <w:bdr w:val="nil"/>
      <w:lang w:val="es-DO" w:eastAsia="es-DO"/>
    </w:rPr>
    <w:tblPr>
      <w:tblInd w:w="0" w:type="dxa"/>
      <w:tblCellMar>
        <w:top w:w="0" w:type="dxa"/>
        <w:left w:w="0" w:type="dxa"/>
        <w:bottom w:w="0" w:type="dxa"/>
        <w:right w:w="0" w:type="dxa"/>
      </w:tblCellMar>
    </w:tblPr>
  </w:style>
  <w:style w:type="character" w:styleId="Textoennegrita">
    <w:name w:val="Strong"/>
    <w:basedOn w:val="Fuentedeprrafopredeter"/>
    <w:uiPriority w:val="22"/>
    <w:qFormat/>
    <w:rsid w:val="00E52ED4"/>
    <w:rPr>
      <w:b/>
      <w:bCs/>
    </w:rPr>
  </w:style>
  <w:style w:type="table" w:customStyle="1" w:styleId="TableNormal1000">
    <w:name w:val="Table Normal1000"/>
    <w:rsid w:val="00E52ED4"/>
    <w:pPr>
      <w:pBdr>
        <w:top w:val="nil"/>
        <w:left w:val="nil"/>
        <w:bottom w:val="nil"/>
        <w:right w:val="nil"/>
        <w:between w:val="nil"/>
        <w:bar w:val="nil"/>
      </w:pBdr>
      <w:spacing w:after="0" w:line="240" w:lineRule="auto"/>
    </w:pPr>
    <w:rPr>
      <w:rFonts w:eastAsia="Arial Unicode MS"/>
      <w:color w:val="auto"/>
      <w:spacing w:val="0"/>
      <w:sz w:val="20"/>
      <w:szCs w:val="20"/>
      <w:bdr w:val="nil"/>
      <w:lang w:val="es-DO" w:eastAsia="es-DO"/>
    </w:rPr>
    <w:tblPr>
      <w:tblInd w:w="0" w:type="dxa"/>
      <w:tblCellMar>
        <w:top w:w="0" w:type="dxa"/>
        <w:left w:w="0" w:type="dxa"/>
        <w:bottom w:w="0" w:type="dxa"/>
        <w:right w:w="0" w:type="dxa"/>
      </w:tblCellMar>
    </w:tblPr>
  </w:style>
  <w:style w:type="table" w:customStyle="1" w:styleId="TableNormal10000">
    <w:name w:val="Table Normal10000"/>
    <w:rsid w:val="00E52ED4"/>
    <w:pPr>
      <w:pBdr>
        <w:top w:val="nil"/>
        <w:left w:val="nil"/>
        <w:bottom w:val="nil"/>
        <w:right w:val="nil"/>
        <w:between w:val="nil"/>
        <w:bar w:val="nil"/>
      </w:pBdr>
      <w:spacing w:after="0" w:line="240" w:lineRule="auto"/>
    </w:pPr>
    <w:rPr>
      <w:rFonts w:eastAsia="Arial Unicode MS"/>
      <w:color w:val="auto"/>
      <w:spacing w:val="0"/>
      <w:sz w:val="20"/>
      <w:szCs w:val="20"/>
      <w:bdr w:val="nil"/>
      <w:lang w:val="es-DO" w:eastAsia="es-DO"/>
    </w:rPr>
    <w:tblPr>
      <w:tblInd w:w="0" w:type="dxa"/>
      <w:tblCellMar>
        <w:top w:w="0" w:type="dxa"/>
        <w:left w:w="0" w:type="dxa"/>
        <w:bottom w:w="0" w:type="dxa"/>
        <w:right w:w="0" w:type="dxa"/>
      </w:tblCellMar>
    </w:tblPr>
  </w:style>
  <w:style w:type="table" w:customStyle="1" w:styleId="TableNormal100000">
    <w:name w:val="Table Normal100000"/>
    <w:rsid w:val="00E52ED4"/>
    <w:pPr>
      <w:pBdr>
        <w:top w:val="nil"/>
        <w:left w:val="nil"/>
        <w:bottom w:val="nil"/>
        <w:right w:val="nil"/>
        <w:between w:val="nil"/>
        <w:bar w:val="nil"/>
      </w:pBdr>
      <w:spacing w:after="0" w:line="240" w:lineRule="auto"/>
    </w:pPr>
    <w:rPr>
      <w:rFonts w:eastAsia="Arial Unicode MS"/>
      <w:color w:val="auto"/>
      <w:spacing w:val="0"/>
      <w:sz w:val="20"/>
      <w:szCs w:val="20"/>
      <w:bdr w:val="nil"/>
      <w:lang w:val="es-DO" w:eastAsia="es-DO"/>
    </w:rPr>
    <w:tblPr>
      <w:tblInd w:w="0" w:type="dxa"/>
      <w:tblCellMar>
        <w:top w:w="0" w:type="dxa"/>
        <w:left w:w="0" w:type="dxa"/>
        <w:bottom w:w="0" w:type="dxa"/>
        <w:right w:w="0" w:type="dxa"/>
      </w:tblCellMar>
    </w:tblPr>
  </w:style>
  <w:style w:type="table" w:customStyle="1" w:styleId="TableNormal1000000">
    <w:name w:val="Table Normal1000000"/>
    <w:rsid w:val="00E52ED4"/>
    <w:pPr>
      <w:pBdr>
        <w:top w:val="nil"/>
        <w:left w:val="nil"/>
        <w:bottom w:val="nil"/>
        <w:right w:val="nil"/>
        <w:between w:val="nil"/>
        <w:bar w:val="nil"/>
      </w:pBdr>
      <w:spacing w:after="0" w:line="240" w:lineRule="auto"/>
    </w:pPr>
    <w:rPr>
      <w:rFonts w:eastAsia="Arial Unicode MS"/>
      <w:color w:val="auto"/>
      <w:spacing w:val="0"/>
      <w:sz w:val="20"/>
      <w:szCs w:val="20"/>
      <w:bdr w:val="nil"/>
      <w:lang w:val="es-DO" w:eastAsia="es-DO"/>
    </w:rPr>
    <w:tblPr>
      <w:tblInd w:w="0" w:type="dxa"/>
      <w:tblCellMar>
        <w:top w:w="0" w:type="dxa"/>
        <w:left w:w="0" w:type="dxa"/>
        <w:bottom w:w="0" w:type="dxa"/>
        <w:right w:w="0" w:type="dxa"/>
      </w:tblCellMar>
    </w:tblPr>
  </w:style>
  <w:style w:type="table" w:customStyle="1" w:styleId="TableNormal10000000">
    <w:name w:val="Table Normal10000000"/>
    <w:rsid w:val="00E52ED4"/>
    <w:pPr>
      <w:pBdr>
        <w:top w:val="nil"/>
        <w:left w:val="nil"/>
        <w:bottom w:val="nil"/>
        <w:right w:val="nil"/>
        <w:between w:val="nil"/>
        <w:bar w:val="nil"/>
      </w:pBdr>
      <w:spacing w:after="0" w:line="240" w:lineRule="auto"/>
    </w:pPr>
    <w:rPr>
      <w:rFonts w:eastAsia="Arial Unicode MS"/>
      <w:color w:val="auto"/>
      <w:spacing w:val="0"/>
      <w:sz w:val="20"/>
      <w:szCs w:val="20"/>
      <w:bdr w:val="nil"/>
      <w:lang w:val="es-DO" w:eastAsia="es-DO"/>
    </w:rPr>
    <w:tblPr>
      <w:tblInd w:w="0" w:type="dxa"/>
      <w:tblCellMar>
        <w:top w:w="0" w:type="dxa"/>
        <w:left w:w="0" w:type="dxa"/>
        <w:bottom w:w="0" w:type="dxa"/>
        <w:right w:w="0" w:type="dxa"/>
      </w:tblCellMar>
    </w:tblPr>
  </w:style>
  <w:style w:type="table" w:customStyle="1" w:styleId="TableNormal100000000">
    <w:name w:val="Table Normal100000000"/>
    <w:rsid w:val="00E52ED4"/>
    <w:pPr>
      <w:pBdr>
        <w:top w:val="nil"/>
        <w:left w:val="nil"/>
        <w:bottom w:val="nil"/>
        <w:right w:val="nil"/>
        <w:between w:val="nil"/>
        <w:bar w:val="nil"/>
      </w:pBdr>
      <w:spacing w:after="0" w:line="240" w:lineRule="auto"/>
    </w:pPr>
    <w:rPr>
      <w:rFonts w:eastAsia="Arial Unicode MS"/>
      <w:color w:val="auto"/>
      <w:spacing w:val="0"/>
      <w:sz w:val="20"/>
      <w:szCs w:val="20"/>
      <w:bdr w:val="nil"/>
      <w:lang w:val="es-DO" w:eastAsia="es-DO"/>
    </w:rPr>
    <w:tblPr>
      <w:tblInd w:w="0" w:type="dxa"/>
      <w:tblCellMar>
        <w:top w:w="0" w:type="dxa"/>
        <w:left w:w="0" w:type="dxa"/>
        <w:bottom w:w="0" w:type="dxa"/>
        <w:right w:w="0" w:type="dxa"/>
      </w:tblCellMar>
    </w:tblPr>
  </w:style>
  <w:style w:type="table" w:customStyle="1" w:styleId="TableNormal1000000000">
    <w:name w:val="Table Normal1000000000"/>
    <w:rsid w:val="00E52ED4"/>
    <w:pPr>
      <w:pBdr>
        <w:top w:val="nil"/>
        <w:left w:val="nil"/>
        <w:bottom w:val="nil"/>
        <w:right w:val="nil"/>
        <w:between w:val="nil"/>
        <w:bar w:val="nil"/>
      </w:pBdr>
      <w:spacing w:after="0" w:line="240" w:lineRule="auto"/>
    </w:pPr>
    <w:rPr>
      <w:rFonts w:eastAsia="Arial Unicode MS"/>
      <w:color w:val="auto"/>
      <w:spacing w:val="0"/>
      <w:sz w:val="20"/>
      <w:szCs w:val="20"/>
      <w:bdr w:val="nil"/>
      <w:lang w:val="es-DO" w:eastAsia="es-DO"/>
    </w:rPr>
    <w:tblPr>
      <w:tblInd w:w="0" w:type="dxa"/>
      <w:tblCellMar>
        <w:top w:w="0" w:type="dxa"/>
        <w:left w:w="0" w:type="dxa"/>
        <w:bottom w:w="0" w:type="dxa"/>
        <w:right w:w="0" w:type="dxa"/>
      </w:tblCellMar>
    </w:tblPr>
  </w:style>
  <w:style w:type="table" w:customStyle="1" w:styleId="TableNormal10000000000">
    <w:name w:val="Table Normal10000000000"/>
    <w:rsid w:val="00E52ED4"/>
    <w:pPr>
      <w:pBdr>
        <w:top w:val="nil"/>
        <w:left w:val="nil"/>
        <w:bottom w:val="nil"/>
        <w:right w:val="nil"/>
        <w:between w:val="nil"/>
        <w:bar w:val="nil"/>
      </w:pBdr>
      <w:spacing w:after="0" w:line="240" w:lineRule="auto"/>
    </w:pPr>
    <w:rPr>
      <w:rFonts w:eastAsia="Arial Unicode MS"/>
      <w:color w:val="auto"/>
      <w:spacing w:val="0"/>
      <w:sz w:val="20"/>
      <w:szCs w:val="20"/>
      <w:bdr w:val="nil"/>
      <w:lang w:val="es-DO" w:eastAsia="es-DO"/>
    </w:rPr>
    <w:tblPr>
      <w:tblInd w:w="0" w:type="dxa"/>
      <w:tblCellMar>
        <w:top w:w="0" w:type="dxa"/>
        <w:left w:w="0" w:type="dxa"/>
        <w:bottom w:w="0" w:type="dxa"/>
        <w:right w:w="0" w:type="dxa"/>
      </w:tblCellMar>
    </w:tblPr>
  </w:style>
  <w:style w:type="table" w:customStyle="1" w:styleId="TableNormal100000000000">
    <w:name w:val="Table Normal100000000000"/>
    <w:rsid w:val="00E52ED4"/>
    <w:pPr>
      <w:pBdr>
        <w:top w:val="nil"/>
        <w:left w:val="nil"/>
        <w:bottom w:val="nil"/>
        <w:right w:val="nil"/>
        <w:between w:val="nil"/>
        <w:bar w:val="nil"/>
      </w:pBdr>
      <w:spacing w:after="0" w:line="240" w:lineRule="auto"/>
    </w:pPr>
    <w:rPr>
      <w:rFonts w:eastAsia="Arial Unicode MS"/>
      <w:color w:val="auto"/>
      <w:spacing w:val="0"/>
      <w:sz w:val="20"/>
      <w:szCs w:val="20"/>
      <w:bdr w:val="nil"/>
      <w:lang w:val="es-DO" w:eastAsia="es-DO"/>
    </w:rPr>
    <w:tblPr>
      <w:tblInd w:w="0" w:type="dxa"/>
      <w:tblCellMar>
        <w:top w:w="0" w:type="dxa"/>
        <w:left w:w="0" w:type="dxa"/>
        <w:bottom w:w="0" w:type="dxa"/>
        <w:right w:w="0" w:type="dxa"/>
      </w:tblCellMar>
    </w:tblPr>
  </w:style>
  <w:style w:type="table" w:customStyle="1" w:styleId="TableNormal1000000000000">
    <w:name w:val="Table Normal1000000000000"/>
    <w:rsid w:val="00E52ED4"/>
    <w:pPr>
      <w:pBdr>
        <w:top w:val="nil"/>
        <w:left w:val="nil"/>
        <w:bottom w:val="nil"/>
        <w:right w:val="nil"/>
        <w:between w:val="nil"/>
        <w:bar w:val="nil"/>
      </w:pBdr>
      <w:spacing w:after="0" w:line="240" w:lineRule="auto"/>
    </w:pPr>
    <w:rPr>
      <w:rFonts w:eastAsia="Arial Unicode MS"/>
      <w:color w:val="auto"/>
      <w:spacing w:val="0"/>
      <w:sz w:val="20"/>
      <w:szCs w:val="20"/>
      <w:bdr w:val="nil"/>
      <w:lang w:val="es-DO" w:eastAsia="es-DO"/>
    </w:rPr>
    <w:tblPr>
      <w:tblInd w:w="0" w:type="dxa"/>
      <w:tblCellMar>
        <w:top w:w="0" w:type="dxa"/>
        <w:left w:w="0" w:type="dxa"/>
        <w:bottom w:w="0" w:type="dxa"/>
        <w:right w:w="0" w:type="dxa"/>
      </w:tblCellMar>
    </w:tblPr>
  </w:style>
  <w:style w:type="character" w:styleId="Nmerodelnea">
    <w:name w:val="line number"/>
    <w:basedOn w:val="Fuentedeprrafopredeter"/>
    <w:uiPriority w:val="99"/>
    <w:semiHidden/>
    <w:unhideWhenUsed/>
    <w:rsid w:val="00E52ED4"/>
  </w:style>
  <w:style w:type="table" w:styleId="Tablaconcuadrcula1clara">
    <w:name w:val="Grid Table 1 Light"/>
    <w:basedOn w:val="Tablanormal"/>
    <w:uiPriority w:val="46"/>
    <w:rsid w:val="00C723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abchar">
    <w:name w:val="tabchar"/>
    <w:basedOn w:val="Fuentedeprrafopredeter"/>
    <w:rsid w:val="003E38F8"/>
  </w:style>
  <w:style w:type="character" w:customStyle="1" w:styleId="wacimagecontainer">
    <w:name w:val="wacimagecontainer"/>
    <w:basedOn w:val="Fuentedeprrafopredeter"/>
    <w:rsid w:val="00BA69ED"/>
  </w:style>
  <w:style w:type="paragraph" w:styleId="Textonotaalfinal">
    <w:name w:val="endnote text"/>
    <w:basedOn w:val="Normal"/>
    <w:link w:val="TextonotaalfinalCar"/>
    <w:uiPriority w:val="99"/>
    <w:semiHidden/>
    <w:unhideWhenUsed/>
    <w:rsid w:val="00742B8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42B84"/>
    <w:rPr>
      <w:sz w:val="20"/>
      <w:szCs w:val="20"/>
    </w:rPr>
  </w:style>
  <w:style w:type="character" w:styleId="Refdenotaalfinal">
    <w:name w:val="endnote reference"/>
    <w:basedOn w:val="Fuentedeprrafopredeter"/>
    <w:uiPriority w:val="99"/>
    <w:semiHidden/>
    <w:unhideWhenUsed/>
    <w:rsid w:val="00742B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38686">
      <w:bodyDiv w:val="1"/>
      <w:marLeft w:val="0"/>
      <w:marRight w:val="0"/>
      <w:marTop w:val="0"/>
      <w:marBottom w:val="0"/>
      <w:divBdr>
        <w:top w:val="none" w:sz="0" w:space="0" w:color="auto"/>
        <w:left w:val="none" w:sz="0" w:space="0" w:color="auto"/>
        <w:bottom w:val="none" w:sz="0" w:space="0" w:color="auto"/>
        <w:right w:val="none" w:sz="0" w:space="0" w:color="auto"/>
      </w:divBdr>
      <w:divsChild>
        <w:div w:id="37164904">
          <w:marLeft w:val="0"/>
          <w:marRight w:val="0"/>
          <w:marTop w:val="0"/>
          <w:marBottom w:val="0"/>
          <w:divBdr>
            <w:top w:val="none" w:sz="0" w:space="0" w:color="auto"/>
            <w:left w:val="none" w:sz="0" w:space="0" w:color="auto"/>
            <w:bottom w:val="none" w:sz="0" w:space="0" w:color="auto"/>
            <w:right w:val="none" w:sz="0" w:space="0" w:color="auto"/>
          </w:divBdr>
        </w:div>
        <w:div w:id="254747578">
          <w:marLeft w:val="0"/>
          <w:marRight w:val="0"/>
          <w:marTop w:val="0"/>
          <w:marBottom w:val="0"/>
          <w:divBdr>
            <w:top w:val="none" w:sz="0" w:space="0" w:color="auto"/>
            <w:left w:val="none" w:sz="0" w:space="0" w:color="auto"/>
            <w:bottom w:val="none" w:sz="0" w:space="0" w:color="auto"/>
            <w:right w:val="none" w:sz="0" w:space="0" w:color="auto"/>
          </w:divBdr>
        </w:div>
        <w:div w:id="254824756">
          <w:marLeft w:val="0"/>
          <w:marRight w:val="0"/>
          <w:marTop w:val="0"/>
          <w:marBottom w:val="0"/>
          <w:divBdr>
            <w:top w:val="none" w:sz="0" w:space="0" w:color="auto"/>
            <w:left w:val="none" w:sz="0" w:space="0" w:color="auto"/>
            <w:bottom w:val="none" w:sz="0" w:space="0" w:color="auto"/>
            <w:right w:val="none" w:sz="0" w:space="0" w:color="auto"/>
          </w:divBdr>
        </w:div>
        <w:div w:id="380205189">
          <w:marLeft w:val="0"/>
          <w:marRight w:val="0"/>
          <w:marTop w:val="0"/>
          <w:marBottom w:val="0"/>
          <w:divBdr>
            <w:top w:val="none" w:sz="0" w:space="0" w:color="auto"/>
            <w:left w:val="none" w:sz="0" w:space="0" w:color="auto"/>
            <w:bottom w:val="none" w:sz="0" w:space="0" w:color="auto"/>
            <w:right w:val="none" w:sz="0" w:space="0" w:color="auto"/>
          </w:divBdr>
        </w:div>
        <w:div w:id="438139334">
          <w:marLeft w:val="0"/>
          <w:marRight w:val="0"/>
          <w:marTop w:val="0"/>
          <w:marBottom w:val="0"/>
          <w:divBdr>
            <w:top w:val="none" w:sz="0" w:space="0" w:color="auto"/>
            <w:left w:val="none" w:sz="0" w:space="0" w:color="auto"/>
            <w:bottom w:val="none" w:sz="0" w:space="0" w:color="auto"/>
            <w:right w:val="none" w:sz="0" w:space="0" w:color="auto"/>
          </w:divBdr>
        </w:div>
        <w:div w:id="454713960">
          <w:marLeft w:val="0"/>
          <w:marRight w:val="0"/>
          <w:marTop w:val="0"/>
          <w:marBottom w:val="0"/>
          <w:divBdr>
            <w:top w:val="none" w:sz="0" w:space="0" w:color="auto"/>
            <w:left w:val="none" w:sz="0" w:space="0" w:color="auto"/>
            <w:bottom w:val="none" w:sz="0" w:space="0" w:color="auto"/>
            <w:right w:val="none" w:sz="0" w:space="0" w:color="auto"/>
          </w:divBdr>
        </w:div>
        <w:div w:id="459812164">
          <w:marLeft w:val="0"/>
          <w:marRight w:val="0"/>
          <w:marTop w:val="0"/>
          <w:marBottom w:val="0"/>
          <w:divBdr>
            <w:top w:val="none" w:sz="0" w:space="0" w:color="auto"/>
            <w:left w:val="none" w:sz="0" w:space="0" w:color="auto"/>
            <w:bottom w:val="none" w:sz="0" w:space="0" w:color="auto"/>
            <w:right w:val="none" w:sz="0" w:space="0" w:color="auto"/>
          </w:divBdr>
        </w:div>
        <w:div w:id="477386338">
          <w:marLeft w:val="0"/>
          <w:marRight w:val="0"/>
          <w:marTop w:val="0"/>
          <w:marBottom w:val="0"/>
          <w:divBdr>
            <w:top w:val="none" w:sz="0" w:space="0" w:color="auto"/>
            <w:left w:val="none" w:sz="0" w:space="0" w:color="auto"/>
            <w:bottom w:val="none" w:sz="0" w:space="0" w:color="auto"/>
            <w:right w:val="none" w:sz="0" w:space="0" w:color="auto"/>
          </w:divBdr>
        </w:div>
        <w:div w:id="544104118">
          <w:marLeft w:val="0"/>
          <w:marRight w:val="0"/>
          <w:marTop w:val="0"/>
          <w:marBottom w:val="0"/>
          <w:divBdr>
            <w:top w:val="none" w:sz="0" w:space="0" w:color="auto"/>
            <w:left w:val="none" w:sz="0" w:space="0" w:color="auto"/>
            <w:bottom w:val="none" w:sz="0" w:space="0" w:color="auto"/>
            <w:right w:val="none" w:sz="0" w:space="0" w:color="auto"/>
          </w:divBdr>
        </w:div>
        <w:div w:id="616303276">
          <w:marLeft w:val="0"/>
          <w:marRight w:val="0"/>
          <w:marTop w:val="0"/>
          <w:marBottom w:val="0"/>
          <w:divBdr>
            <w:top w:val="none" w:sz="0" w:space="0" w:color="auto"/>
            <w:left w:val="none" w:sz="0" w:space="0" w:color="auto"/>
            <w:bottom w:val="none" w:sz="0" w:space="0" w:color="auto"/>
            <w:right w:val="none" w:sz="0" w:space="0" w:color="auto"/>
          </w:divBdr>
        </w:div>
        <w:div w:id="769399781">
          <w:marLeft w:val="0"/>
          <w:marRight w:val="0"/>
          <w:marTop w:val="0"/>
          <w:marBottom w:val="0"/>
          <w:divBdr>
            <w:top w:val="none" w:sz="0" w:space="0" w:color="auto"/>
            <w:left w:val="none" w:sz="0" w:space="0" w:color="auto"/>
            <w:bottom w:val="none" w:sz="0" w:space="0" w:color="auto"/>
            <w:right w:val="none" w:sz="0" w:space="0" w:color="auto"/>
          </w:divBdr>
        </w:div>
        <w:div w:id="1225484221">
          <w:marLeft w:val="0"/>
          <w:marRight w:val="0"/>
          <w:marTop w:val="0"/>
          <w:marBottom w:val="0"/>
          <w:divBdr>
            <w:top w:val="none" w:sz="0" w:space="0" w:color="auto"/>
            <w:left w:val="none" w:sz="0" w:space="0" w:color="auto"/>
            <w:bottom w:val="none" w:sz="0" w:space="0" w:color="auto"/>
            <w:right w:val="none" w:sz="0" w:space="0" w:color="auto"/>
          </w:divBdr>
        </w:div>
        <w:div w:id="1249390055">
          <w:marLeft w:val="0"/>
          <w:marRight w:val="0"/>
          <w:marTop w:val="0"/>
          <w:marBottom w:val="0"/>
          <w:divBdr>
            <w:top w:val="none" w:sz="0" w:space="0" w:color="auto"/>
            <w:left w:val="none" w:sz="0" w:space="0" w:color="auto"/>
            <w:bottom w:val="none" w:sz="0" w:space="0" w:color="auto"/>
            <w:right w:val="none" w:sz="0" w:space="0" w:color="auto"/>
          </w:divBdr>
        </w:div>
        <w:div w:id="1569880492">
          <w:marLeft w:val="0"/>
          <w:marRight w:val="0"/>
          <w:marTop w:val="0"/>
          <w:marBottom w:val="0"/>
          <w:divBdr>
            <w:top w:val="none" w:sz="0" w:space="0" w:color="auto"/>
            <w:left w:val="none" w:sz="0" w:space="0" w:color="auto"/>
            <w:bottom w:val="none" w:sz="0" w:space="0" w:color="auto"/>
            <w:right w:val="none" w:sz="0" w:space="0" w:color="auto"/>
          </w:divBdr>
        </w:div>
        <w:div w:id="1659773049">
          <w:marLeft w:val="0"/>
          <w:marRight w:val="0"/>
          <w:marTop w:val="0"/>
          <w:marBottom w:val="0"/>
          <w:divBdr>
            <w:top w:val="none" w:sz="0" w:space="0" w:color="auto"/>
            <w:left w:val="none" w:sz="0" w:space="0" w:color="auto"/>
            <w:bottom w:val="none" w:sz="0" w:space="0" w:color="auto"/>
            <w:right w:val="none" w:sz="0" w:space="0" w:color="auto"/>
          </w:divBdr>
        </w:div>
        <w:div w:id="1814638935">
          <w:marLeft w:val="0"/>
          <w:marRight w:val="0"/>
          <w:marTop w:val="0"/>
          <w:marBottom w:val="0"/>
          <w:divBdr>
            <w:top w:val="none" w:sz="0" w:space="0" w:color="auto"/>
            <w:left w:val="none" w:sz="0" w:space="0" w:color="auto"/>
            <w:bottom w:val="none" w:sz="0" w:space="0" w:color="auto"/>
            <w:right w:val="none" w:sz="0" w:space="0" w:color="auto"/>
          </w:divBdr>
        </w:div>
        <w:div w:id="2036492102">
          <w:marLeft w:val="0"/>
          <w:marRight w:val="0"/>
          <w:marTop w:val="0"/>
          <w:marBottom w:val="0"/>
          <w:divBdr>
            <w:top w:val="none" w:sz="0" w:space="0" w:color="auto"/>
            <w:left w:val="none" w:sz="0" w:space="0" w:color="auto"/>
            <w:bottom w:val="none" w:sz="0" w:space="0" w:color="auto"/>
            <w:right w:val="none" w:sz="0" w:space="0" w:color="auto"/>
          </w:divBdr>
        </w:div>
      </w:divsChild>
    </w:div>
    <w:div w:id="144976416">
      <w:bodyDiv w:val="1"/>
      <w:marLeft w:val="0"/>
      <w:marRight w:val="0"/>
      <w:marTop w:val="0"/>
      <w:marBottom w:val="0"/>
      <w:divBdr>
        <w:top w:val="none" w:sz="0" w:space="0" w:color="auto"/>
        <w:left w:val="none" w:sz="0" w:space="0" w:color="auto"/>
        <w:bottom w:val="none" w:sz="0" w:space="0" w:color="auto"/>
        <w:right w:val="none" w:sz="0" w:space="0" w:color="auto"/>
      </w:divBdr>
      <w:divsChild>
        <w:div w:id="264575779">
          <w:marLeft w:val="0"/>
          <w:marRight w:val="0"/>
          <w:marTop w:val="0"/>
          <w:marBottom w:val="0"/>
          <w:divBdr>
            <w:top w:val="none" w:sz="0" w:space="0" w:color="auto"/>
            <w:left w:val="none" w:sz="0" w:space="0" w:color="auto"/>
            <w:bottom w:val="none" w:sz="0" w:space="0" w:color="auto"/>
            <w:right w:val="none" w:sz="0" w:space="0" w:color="auto"/>
          </w:divBdr>
        </w:div>
        <w:div w:id="460271547">
          <w:marLeft w:val="0"/>
          <w:marRight w:val="0"/>
          <w:marTop w:val="0"/>
          <w:marBottom w:val="0"/>
          <w:divBdr>
            <w:top w:val="none" w:sz="0" w:space="0" w:color="auto"/>
            <w:left w:val="none" w:sz="0" w:space="0" w:color="auto"/>
            <w:bottom w:val="none" w:sz="0" w:space="0" w:color="auto"/>
            <w:right w:val="none" w:sz="0" w:space="0" w:color="auto"/>
          </w:divBdr>
        </w:div>
        <w:div w:id="661855698">
          <w:marLeft w:val="0"/>
          <w:marRight w:val="0"/>
          <w:marTop w:val="0"/>
          <w:marBottom w:val="0"/>
          <w:divBdr>
            <w:top w:val="none" w:sz="0" w:space="0" w:color="auto"/>
            <w:left w:val="none" w:sz="0" w:space="0" w:color="auto"/>
            <w:bottom w:val="none" w:sz="0" w:space="0" w:color="auto"/>
            <w:right w:val="none" w:sz="0" w:space="0" w:color="auto"/>
          </w:divBdr>
        </w:div>
        <w:div w:id="691421798">
          <w:marLeft w:val="0"/>
          <w:marRight w:val="0"/>
          <w:marTop w:val="0"/>
          <w:marBottom w:val="0"/>
          <w:divBdr>
            <w:top w:val="none" w:sz="0" w:space="0" w:color="auto"/>
            <w:left w:val="none" w:sz="0" w:space="0" w:color="auto"/>
            <w:bottom w:val="none" w:sz="0" w:space="0" w:color="auto"/>
            <w:right w:val="none" w:sz="0" w:space="0" w:color="auto"/>
          </w:divBdr>
        </w:div>
        <w:div w:id="1328097175">
          <w:marLeft w:val="0"/>
          <w:marRight w:val="0"/>
          <w:marTop w:val="0"/>
          <w:marBottom w:val="0"/>
          <w:divBdr>
            <w:top w:val="none" w:sz="0" w:space="0" w:color="auto"/>
            <w:left w:val="none" w:sz="0" w:space="0" w:color="auto"/>
            <w:bottom w:val="none" w:sz="0" w:space="0" w:color="auto"/>
            <w:right w:val="none" w:sz="0" w:space="0" w:color="auto"/>
          </w:divBdr>
        </w:div>
        <w:div w:id="1904947731">
          <w:marLeft w:val="0"/>
          <w:marRight w:val="0"/>
          <w:marTop w:val="0"/>
          <w:marBottom w:val="0"/>
          <w:divBdr>
            <w:top w:val="none" w:sz="0" w:space="0" w:color="auto"/>
            <w:left w:val="none" w:sz="0" w:space="0" w:color="auto"/>
            <w:bottom w:val="none" w:sz="0" w:space="0" w:color="auto"/>
            <w:right w:val="none" w:sz="0" w:space="0" w:color="auto"/>
          </w:divBdr>
        </w:div>
      </w:divsChild>
    </w:div>
    <w:div w:id="309331771">
      <w:bodyDiv w:val="1"/>
      <w:marLeft w:val="0"/>
      <w:marRight w:val="0"/>
      <w:marTop w:val="0"/>
      <w:marBottom w:val="0"/>
      <w:divBdr>
        <w:top w:val="none" w:sz="0" w:space="0" w:color="auto"/>
        <w:left w:val="none" w:sz="0" w:space="0" w:color="auto"/>
        <w:bottom w:val="none" w:sz="0" w:space="0" w:color="auto"/>
        <w:right w:val="none" w:sz="0" w:space="0" w:color="auto"/>
      </w:divBdr>
    </w:div>
    <w:div w:id="376665501">
      <w:bodyDiv w:val="1"/>
      <w:marLeft w:val="0"/>
      <w:marRight w:val="0"/>
      <w:marTop w:val="0"/>
      <w:marBottom w:val="0"/>
      <w:divBdr>
        <w:top w:val="none" w:sz="0" w:space="0" w:color="auto"/>
        <w:left w:val="none" w:sz="0" w:space="0" w:color="auto"/>
        <w:bottom w:val="none" w:sz="0" w:space="0" w:color="auto"/>
        <w:right w:val="none" w:sz="0" w:space="0" w:color="auto"/>
      </w:divBdr>
    </w:div>
    <w:div w:id="531922085">
      <w:bodyDiv w:val="1"/>
      <w:marLeft w:val="0"/>
      <w:marRight w:val="0"/>
      <w:marTop w:val="0"/>
      <w:marBottom w:val="0"/>
      <w:divBdr>
        <w:top w:val="none" w:sz="0" w:space="0" w:color="auto"/>
        <w:left w:val="none" w:sz="0" w:space="0" w:color="auto"/>
        <w:bottom w:val="none" w:sz="0" w:space="0" w:color="auto"/>
        <w:right w:val="none" w:sz="0" w:space="0" w:color="auto"/>
      </w:divBdr>
      <w:divsChild>
        <w:div w:id="59406501">
          <w:marLeft w:val="0"/>
          <w:marRight w:val="0"/>
          <w:marTop w:val="0"/>
          <w:marBottom w:val="0"/>
          <w:divBdr>
            <w:top w:val="none" w:sz="0" w:space="0" w:color="auto"/>
            <w:left w:val="none" w:sz="0" w:space="0" w:color="auto"/>
            <w:bottom w:val="none" w:sz="0" w:space="0" w:color="auto"/>
            <w:right w:val="none" w:sz="0" w:space="0" w:color="auto"/>
          </w:divBdr>
        </w:div>
        <w:div w:id="77410854">
          <w:marLeft w:val="0"/>
          <w:marRight w:val="0"/>
          <w:marTop w:val="0"/>
          <w:marBottom w:val="0"/>
          <w:divBdr>
            <w:top w:val="none" w:sz="0" w:space="0" w:color="auto"/>
            <w:left w:val="none" w:sz="0" w:space="0" w:color="auto"/>
            <w:bottom w:val="none" w:sz="0" w:space="0" w:color="auto"/>
            <w:right w:val="none" w:sz="0" w:space="0" w:color="auto"/>
          </w:divBdr>
        </w:div>
        <w:div w:id="298147700">
          <w:marLeft w:val="0"/>
          <w:marRight w:val="0"/>
          <w:marTop w:val="0"/>
          <w:marBottom w:val="0"/>
          <w:divBdr>
            <w:top w:val="none" w:sz="0" w:space="0" w:color="auto"/>
            <w:left w:val="none" w:sz="0" w:space="0" w:color="auto"/>
            <w:bottom w:val="none" w:sz="0" w:space="0" w:color="auto"/>
            <w:right w:val="none" w:sz="0" w:space="0" w:color="auto"/>
          </w:divBdr>
        </w:div>
        <w:div w:id="338779873">
          <w:marLeft w:val="0"/>
          <w:marRight w:val="0"/>
          <w:marTop w:val="0"/>
          <w:marBottom w:val="0"/>
          <w:divBdr>
            <w:top w:val="none" w:sz="0" w:space="0" w:color="auto"/>
            <w:left w:val="none" w:sz="0" w:space="0" w:color="auto"/>
            <w:bottom w:val="none" w:sz="0" w:space="0" w:color="auto"/>
            <w:right w:val="none" w:sz="0" w:space="0" w:color="auto"/>
          </w:divBdr>
        </w:div>
        <w:div w:id="368144224">
          <w:marLeft w:val="0"/>
          <w:marRight w:val="0"/>
          <w:marTop w:val="0"/>
          <w:marBottom w:val="0"/>
          <w:divBdr>
            <w:top w:val="none" w:sz="0" w:space="0" w:color="auto"/>
            <w:left w:val="none" w:sz="0" w:space="0" w:color="auto"/>
            <w:bottom w:val="none" w:sz="0" w:space="0" w:color="auto"/>
            <w:right w:val="none" w:sz="0" w:space="0" w:color="auto"/>
          </w:divBdr>
        </w:div>
        <w:div w:id="407072394">
          <w:marLeft w:val="0"/>
          <w:marRight w:val="0"/>
          <w:marTop w:val="0"/>
          <w:marBottom w:val="0"/>
          <w:divBdr>
            <w:top w:val="none" w:sz="0" w:space="0" w:color="auto"/>
            <w:left w:val="none" w:sz="0" w:space="0" w:color="auto"/>
            <w:bottom w:val="none" w:sz="0" w:space="0" w:color="auto"/>
            <w:right w:val="none" w:sz="0" w:space="0" w:color="auto"/>
          </w:divBdr>
        </w:div>
        <w:div w:id="637032286">
          <w:marLeft w:val="0"/>
          <w:marRight w:val="0"/>
          <w:marTop w:val="0"/>
          <w:marBottom w:val="0"/>
          <w:divBdr>
            <w:top w:val="none" w:sz="0" w:space="0" w:color="auto"/>
            <w:left w:val="none" w:sz="0" w:space="0" w:color="auto"/>
            <w:bottom w:val="none" w:sz="0" w:space="0" w:color="auto"/>
            <w:right w:val="none" w:sz="0" w:space="0" w:color="auto"/>
          </w:divBdr>
        </w:div>
        <w:div w:id="1041789134">
          <w:marLeft w:val="0"/>
          <w:marRight w:val="0"/>
          <w:marTop w:val="0"/>
          <w:marBottom w:val="0"/>
          <w:divBdr>
            <w:top w:val="none" w:sz="0" w:space="0" w:color="auto"/>
            <w:left w:val="none" w:sz="0" w:space="0" w:color="auto"/>
            <w:bottom w:val="none" w:sz="0" w:space="0" w:color="auto"/>
            <w:right w:val="none" w:sz="0" w:space="0" w:color="auto"/>
          </w:divBdr>
        </w:div>
        <w:div w:id="1221554501">
          <w:marLeft w:val="0"/>
          <w:marRight w:val="0"/>
          <w:marTop w:val="0"/>
          <w:marBottom w:val="0"/>
          <w:divBdr>
            <w:top w:val="none" w:sz="0" w:space="0" w:color="auto"/>
            <w:left w:val="none" w:sz="0" w:space="0" w:color="auto"/>
            <w:bottom w:val="none" w:sz="0" w:space="0" w:color="auto"/>
            <w:right w:val="none" w:sz="0" w:space="0" w:color="auto"/>
          </w:divBdr>
        </w:div>
        <w:div w:id="1305236536">
          <w:marLeft w:val="0"/>
          <w:marRight w:val="0"/>
          <w:marTop w:val="0"/>
          <w:marBottom w:val="0"/>
          <w:divBdr>
            <w:top w:val="none" w:sz="0" w:space="0" w:color="auto"/>
            <w:left w:val="none" w:sz="0" w:space="0" w:color="auto"/>
            <w:bottom w:val="none" w:sz="0" w:space="0" w:color="auto"/>
            <w:right w:val="none" w:sz="0" w:space="0" w:color="auto"/>
          </w:divBdr>
        </w:div>
        <w:div w:id="1507285155">
          <w:marLeft w:val="0"/>
          <w:marRight w:val="0"/>
          <w:marTop w:val="0"/>
          <w:marBottom w:val="0"/>
          <w:divBdr>
            <w:top w:val="none" w:sz="0" w:space="0" w:color="auto"/>
            <w:left w:val="none" w:sz="0" w:space="0" w:color="auto"/>
            <w:bottom w:val="none" w:sz="0" w:space="0" w:color="auto"/>
            <w:right w:val="none" w:sz="0" w:space="0" w:color="auto"/>
          </w:divBdr>
        </w:div>
        <w:div w:id="1560551443">
          <w:marLeft w:val="0"/>
          <w:marRight w:val="0"/>
          <w:marTop w:val="0"/>
          <w:marBottom w:val="0"/>
          <w:divBdr>
            <w:top w:val="none" w:sz="0" w:space="0" w:color="auto"/>
            <w:left w:val="none" w:sz="0" w:space="0" w:color="auto"/>
            <w:bottom w:val="none" w:sz="0" w:space="0" w:color="auto"/>
            <w:right w:val="none" w:sz="0" w:space="0" w:color="auto"/>
          </w:divBdr>
        </w:div>
        <w:div w:id="1597976386">
          <w:marLeft w:val="0"/>
          <w:marRight w:val="0"/>
          <w:marTop w:val="0"/>
          <w:marBottom w:val="0"/>
          <w:divBdr>
            <w:top w:val="none" w:sz="0" w:space="0" w:color="auto"/>
            <w:left w:val="none" w:sz="0" w:space="0" w:color="auto"/>
            <w:bottom w:val="none" w:sz="0" w:space="0" w:color="auto"/>
            <w:right w:val="none" w:sz="0" w:space="0" w:color="auto"/>
          </w:divBdr>
        </w:div>
        <w:div w:id="1692760001">
          <w:marLeft w:val="0"/>
          <w:marRight w:val="0"/>
          <w:marTop w:val="0"/>
          <w:marBottom w:val="0"/>
          <w:divBdr>
            <w:top w:val="none" w:sz="0" w:space="0" w:color="auto"/>
            <w:left w:val="none" w:sz="0" w:space="0" w:color="auto"/>
            <w:bottom w:val="none" w:sz="0" w:space="0" w:color="auto"/>
            <w:right w:val="none" w:sz="0" w:space="0" w:color="auto"/>
          </w:divBdr>
        </w:div>
        <w:div w:id="1907521533">
          <w:marLeft w:val="0"/>
          <w:marRight w:val="0"/>
          <w:marTop w:val="0"/>
          <w:marBottom w:val="0"/>
          <w:divBdr>
            <w:top w:val="none" w:sz="0" w:space="0" w:color="auto"/>
            <w:left w:val="none" w:sz="0" w:space="0" w:color="auto"/>
            <w:bottom w:val="none" w:sz="0" w:space="0" w:color="auto"/>
            <w:right w:val="none" w:sz="0" w:space="0" w:color="auto"/>
          </w:divBdr>
        </w:div>
        <w:div w:id="1991516706">
          <w:marLeft w:val="0"/>
          <w:marRight w:val="0"/>
          <w:marTop w:val="0"/>
          <w:marBottom w:val="0"/>
          <w:divBdr>
            <w:top w:val="none" w:sz="0" w:space="0" w:color="auto"/>
            <w:left w:val="none" w:sz="0" w:space="0" w:color="auto"/>
            <w:bottom w:val="none" w:sz="0" w:space="0" w:color="auto"/>
            <w:right w:val="none" w:sz="0" w:space="0" w:color="auto"/>
          </w:divBdr>
        </w:div>
        <w:div w:id="2040426157">
          <w:marLeft w:val="0"/>
          <w:marRight w:val="0"/>
          <w:marTop w:val="0"/>
          <w:marBottom w:val="0"/>
          <w:divBdr>
            <w:top w:val="none" w:sz="0" w:space="0" w:color="auto"/>
            <w:left w:val="none" w:sz="0" w:space="0" w:color="auto"/>
            <w:bottom w:val="none" w:sz="0" w:space="0" w:color="auto"/>
            <w:right w:val="none" w:sz="0" w:space="0" w:color="auto"/>
          </w:divBdr>
        </w:div>
        <w:div w:id="2061979343">
          <w:marLeft w:val="0"/>
          <w:marRight w:val="0"/>
          <w:marTop w:val="0"/>
          <w:marBottom w:val="0"/>
          <w:divBdr>
            <w:top w:val="none" w:sz="0" w:space="0" w:color="auto"/>
            <w:left w:val="none" w:sz="0" w:space="0" w:color="auto"/>
            <w:bottom w:val="none" w:sz="0" w:space="0" w:color="auto"/>
            <w:right w:val="none" w:sz="0" w:space="0" w:color="auto"/>
          </w:divBdr>
        </w:div>
        <w:div w:id="2115442929">
          <w:marLeft w:val="0"/>
          <w:marRight w:val="0"/>
          <w:marTop w:val="0"/>
          <w:marBottom w:val="0"/>
          <w:divBdr>
            <w:top w:val="none" w:sz="0" w:space="0" w:color="auto"/>
            <w:left w:val="none" w:sz="0" w:space="0" w:color="auto"/>
            <w:bottom w:val="none" w:sz="0" w:space="0" w:color="auto"/>
            <w:right w:val="none" w:sz="0" w:space="0" w:color="auto"/>
          </w:divBdr>
        </w:div>
        <w:div w:id="2138910735">
          <w:marLeft w:val="0"/>
          <w:marRight w:val="0"/>
          <w:marTop w:val="0"/>
          <w:marBottom w:val="0"/>
          <w:divBdr>
            <w:top w:val="none" w:sz="0" w:space="0" w:color="auto"/>
            <w:left w:val="none" w:sz="0" w:space="0" w:color="auto"/>
            <w:bottom w:val="none" w:sz="0" w:space="0" w:color="auto"/>
            <w:right w:val="none" w:sz="0" w:space="0" w:color="auto"/>
          </w:divBdr>
        </w:div>
      </w:divsChild>
    </w:div>
    <w:div w:id="594442641">
      <w:bodyDiv w:val="1"/>
      <w:marLeft w:val="0"/>
      <w:marRight w:val="0"/>
      <w:marTop w:val="0"/>
      <w:marBottom w:val="0"/>
      <w:divBdr>
        <w:top w:val="none" w:sz="0" w:space="0" w:color="auto"/>
        <w:left w:val="none" w:sz="0" w:space="0" w:color="auto"/>
        <w:bottom w:val="none" w:sz="0" w:space="0" w:color="auto"/>
        <w:right w:val="none" w:sz="0" w:space="0" w:color="auto"/>
      </w:divBdr>
      <w:divsChild>
        <w:div w:id="797917117">
          <w:marLeft w:val="0"/>
          <w:marRight w:val="0"/>
          <w:marTop w:val="0"/>
          <w:marBottom w:val="0"/>
          <w:divBdr>
            <w:top w:val="none" w:sz="0" w:space="0" w:color="auto"/>
            <w:left w:val="none" w:sz="0" w:space="0" w:color="auto"/>
            <w:bottom w:val="none" w:sz="0" w:space="0" w:color="auto"/>
            <w:right w:val="none" w:sz="0" w:space="0" w:color="auto"/>
          </w:divBdr>
        </w:div>
        <w:div w:id="1080523721">
          <w:marLeft w:val="0"/>
          <w:marRight w:val="0"/>
          <w:marTop w:val="0"/>
          <w:marBottom w:val="0"/>
          <w:divBdr>
            <w:top w:val="none" w:sz="0" w:space="0" w:color="auto"/>
            <w:left w:val="none" w:sz="0" w:space="0" w:color="auto"/>
            <w:bottom w:val="none" w:sz="0" w:space="0" w:color="auto"/>
            <w:right w:val="none" w:sz="0" w:space="0" w:color="auto"/>
          </w:divBdr>
        </w:div>
        <w:div w:id="1794596261">
          <w:marLeft w:val="0"/>
          <w:marRight w:val="0"/>
          <w:marTop w:val="0"/>
          <w:marBottom w:val="0"/>
          <w:divBdr>
            <w:top w:val="none" w:sz="0" w:space="0" w:color="auto"/>
            <w:left w:val="none" w:sz="0" w:space="0" w:color="auto"/>
            <w:bottom w:val="none" w:sz="0" w:space="0" w:color="auto"/>
            <w:right w:val="none" w:sz="0" w:space="0" w:color="auto"/>
          </w:divBdr>
        </w:div>
      </w:divsChild>
    </w:div>
    <w:div w:id="667056878">
      <w:bodyDiv w:val="1"/>
      <w:marLeft w:val="0"/>
      <w:marRight w:val="0"/>
      <w:marTop w:val="0"/>
      <w:marBottom w:val="0"/>
      <w:divBdr>
        <w:top w:val="none" w:sz="0" w:space="0" w:color="auto"/>
        <w:left w:val="none" w:sz="0" w:space="0" w:color="auto"/>
        <w:bottom w:val="none" w:sz="0" w:space="0" w:color="auto"/>
        <w:right w:val="none" w:sz="0" w:space="0" w:color="auto"/>
      </w:divBdr>
      <w:divsChild>
        <w:div w:id="1835871256">
          <w:marLeft w:val="0"/>
          <w:marRight w:val="0"/>
          <w:marTop w:val="0"/>
          <w:marBottom w:val="0"/>
          <w:divBdr>
            <w:top w:val="none" w:sz="0" w:space="0" w:color="auto"/>
            <w:left w:val="none" w:sz="0" w:space="0" w:color="auto"/>
            <w:bottom w:val="none" w:sz="0" w:space="0" w:color="auto"/>
            <w:right w:val="none" w:sz="0" w:space="0" w:color="auto"/>
          </w:divBdr>
          <w:divsChild>
            <w:div w:id="1136214434">
              <w:marLeft w:val="0"/>
              <w:marRight w:val="0"/>
              <w:marTop w:val="30"/>
              <w:marBottom w:val="30"/>
              <w:divBdr>
                <w:top w:val="none" w:sz="0" w:space="0" w:color="auto"/>
                <w:left w:val="none" w:sz="0" w:space="0" w:color="auto"/>
                <w:bottom w:val="none" w:sz="0" w:space="0" w:color="auto"/>
                <w:right w:val="none" w:sz="0" w:space="0" w:color="auto"/>
              </w:divBdr>
              <w:divsChild>
                <w:div w:id="50930293">
                  <w:marLeft w:val="0"/>
                  <w:marRight w:val="0"/>
                  <w:marTop w:val="0"/>
                  <w:marBottom w:val="0"/>
                  <w:divBdr>
                    <w:top w:val="none" w:sz="0" w:space="0" w:color="auto"/>
                    <w:left w:val="none" w:sz="0" w:space="0" w:color="auto"/>
                    <w:bottom w:val="none" w:sz="0" w:space="0" w:color="auto"/>
                    <w:right w:val="none" w:sz="0" w:space="0" w:color="auto"/>
                  </w:divBdr>
                  <w:divsChild>
                    <w:div w:id="258297768">
                      <w:marLeft w:val="0"/>
                      <w:marRight w:val="0"/>
                      <w:marTop w:val="0"/>
                      <w:marBottom w:val="0"/>
                      <w:divBdr>
                        <w:top w:val="none" w:sz="0" w:space="0" w:color="auto"/>
                        <w:left w:val="none" w:sz="0" w:space="0" w:color="auto"/>
                        <w:bottom w:val="none" w:sz="0" w:space="0" w:color="auto"/>
                        <w:right w:val="none" w:sz="0" w:space="0" w:color="auto"/>
                      </w:divBdr>
                    </w:div>
                  </w:divsChild>
                </w:div>
                <w:div w:id="190263951">
                  <w:marLeft w:val="0"/>
                  <w:marRight w:val="0"/>
                  <w:marTop w:val="0"/>
                  <w:marBottom w:val="0"/>
                  <w:divBdr>
                    <w:top w:val="none" w:sz="0" w:space="0" w:color="auto"/>
                    <w:left w:val="none" w:sz="0" w:space="0" w:color="auto"/>
                    <w:bottom w:val="none" w:sz="0" w:space="0" w:color="auto"/>
                    <w:right w:val="none" w:sz="0" w:space="0" w:color="auto"/>
                  </w:divBdr>
                  <w:divsChild>
                    <w:div w:id="3945719">
                      <w:marLeft w:val="0"/>
                      <w:marRight w:val="0"/>
                      <w:marTop w:val="0"/>
                      <w:marBottom w:val="0"/>
                      <w:divBdr>
                        <w:top w:val="none" w:sz="0" w:space="0" w:color="auto"/>
                        <w:left w:val="none" w:sz="0" w:space="0" w:color="auto"/>
                        <w:bottom w:val="none" w:sz="0" w:space="0" w:color="auto"/>
                        <w:right w:val="none" w:sz="0" w:space="0" w:color="auto"/>
                      </w:divBdr>
                    </w:div>
                  </w:divsChild>
                </w:div>
                <w:div w:id="222376510">
                  <w:marLeft w:val="0"/>
                  <w:marRight w:val="0"/>
                  <w:marTop w:val="0"/>
                  <w:marBottom w:val="0"/>
                  <w:divBdr>
                    <w:top w:val="none" w:sz="0" w:space="0" w:color="auto"/>
                    <w:left w:val="none" w:sz="0" w:space="0" w:color="auto"/>
                    <w:bottom w:val="none" w:sz="0" w:space="0" w:color="auto"/>
                    <w:right w:val="none" w:sz="0" w:space="0" w:color="auto"/>
                  </w:divBdr>
                  <w:divsChild>
                    <w:div w:id="2062051399">
                      <w:marLeft w:val="0"/>
                      <w:marRight w:val="0"/>
                      <w:marTop w:val="0"/>
                      <w:marBottom w:val="0"/>
                      <w:divBdr>
                        <w:top w:val="none" w:sz="0" w:space="0" w:color="auto"/>
                        <w:left w:val="none" w:sz="0" w:space="0" w:color="auto"/>
                        <w:bottom w:val="none" w:sz="0" w:space="0" w:color="auto"/>
                        <w:right w:val="none" w:sz="0" w:space="0" w:color="auto"/>
                      </w:divBdr>
                    </w:div>
                  </w:divsChild>
                </w:div>
                <w:div w:id="645545341">
                  <w:marLeft w:val="0"/>
                  <w:marRight w:val="0"/>
                  <w:marTop w:val="0"/>
                  <w:marBottom w:val="0"/>
                  <w:divBdr>
                    <w:top w:val="none" w:sz="0" w:space="0" w:color="auto"/>
                    <w:left w:val="none" w:sz="0" w:space="0" w:color="auto"/>
                    <w:bottom w:val="none" w:sz="0" w:space="0" w:color="auto"/>
                    <w:right w:val="none" w:sz="0" w:space="0" w:color="auto"/>
                  </w:divBdr>
                  <w:divsChild>
                    <w:div w:id="1847093129">
                      <w:marLeft w:val="0"/>
                      <w:marRight w:val="0"/>
                      <w:marTop w:val="0"/>
                      <w:marBottom w:val="0"/>
                      <w:divBdr>
                        <w:top w:val="none" w:sz="0" w:space="0" w:color="auto"/>
                        <w:left w:val="none" w:sz="0" w:space="0" w:color="auto"/>
                        <w:bottom w:val="none" w:sz="0" w:space="0" w:color="auto"/>
                        <w:right w:val="none" w:sz="0" w:space="0" w:color="auto"/>
                      </w:divBdr>
                    </w:div>
                  </w:divsChild>
                </w:div>
                <w:div w:id="1104155499">
                  <w:marLeft w:val="0"/>
                  <w:marRight w:val="0"/>
                  <w:marTop w:val="0"/>
                  <w:marBottom w:val="0"/>
                  <w:divBdr>
                    <w:top w:val="none" w:sz="0" w:space="0" w:color="auto"/>
                    <w:left w:val="none" w:sz="0" w:space="0" w:color="auto"/>
                    <w:bottom w:val="none" w:sz="0" w:space="0" w:color="auto"/>
                    <w:right w:val="none" w:sz="0" w:space="0" w:color="auto"/>
                  </w:divBdr>
                  <w:divsChild>
                    <w:div w:id="1989817176">
                      <w:marLeft w:val="0"/>
                      <w:marRight w:val="0"/>
                      <w:marTop w:val="0"/>
                      <w:marBottom w:val="0"/>
                      <w:divBdr>
                        <w:top w:val="none" w:sz="0" w:space="0" w:color="auto"/>
                        <w:left w:val="none" w:sz="0" w:space="0" w:color="auto"/>
                        <w:bottom w:val="none" w:sz="0" w:space="0" w:color="auto"/>
                        <w:right w:val="none" w:sz="0" w:space="0" w:color="auto"/>
                      </w:divBdr>
                    </w:div>
                  </w:divsChild>
                </w:div>
                <w:div w:id="1209102116">
                  <w:marLeft w:val="0"/>
                  <w:marRight w:val="0"/>
                  <w:marTop w:val="0"/>
                  <w:marBottom w:val="0"/>
                  <w:divBdr>
                    <w:top w:val="none" w:sz="0" w:space="0" w:color="auto"/>
                    <w:left w:val="none" w:sz="0" w:space="0" w:color="auto"/>
                    <w:bottom w:val="none" w:sz="0" w:space="0" w:color="auto"/>
                    <w:right w:val="none" w:sz="0" w:space="0" w:color="auto"/>
                  </w:divBdr>
                  <w:divsChild>
                    <w:div w:id="852764933">
                      <w:marLeft w:val="0"/>
                      <w:marRight w:val="0"/>
                      <w:marTop w:val="0"/>
                      <w:marBottom w:val="0"/>
                      <w:divBdr>
                        <w:top w:val="none" w:sz="0" w:space="0" w:color="auto"/>
                        <w:left w:val="none" w:sz="0" w:space="0" w:color="auto"/>
                        <w:bottom w:val="none" w:sz="0" w:space="0" w:color="auto"/>
                        <w:right w:val="none" w:sz="0" w:space="0" w:color="auto"/>
                      </w:divBdr>
                    </w:div>
                  </w:divsChild>
                </w:div>
                <w:div w:id="1282105913">
                  <w:marLeft w:val="0"/>
                  <w:marRight w:val="0"/>
                  <w:marTop w:val="0"/>
                  <w:marBottom w:val="0"/>
                  <w:divBdr>
                    <w:top w:val="none" w:sz="0" w:space="0" w:color="auto"/>
                    <w:left w:val="none" w:sz="0" w:space="0" w:color="auto"/>
                    <w:bottom w:val="none" w:sz="0" w:space="0" w:color="auto"/>
                    <w:right w:val="none" w:sz="0" w:space="0" w:color="auto"/>
                  </w:divBdr>
                  <w:divsChild>
                    <w:div w:id="528684899">
                      <w:marLeft w:val="0"/>
                      <w:marRight w:val="0"/>
                      <w:marTop w:val="0"/>
                      <w:marBottom w:val="0"/>
                      <w:divBdr>
                        <w:top w:val="none" w:sz="0" w:space="0" w:color="auto"/>
                        <w:left w:val="none" w:sz="0" w:space="0" w:color="auto"/>
                        <w:bottom w:val="none" w:sz="0" w:space="0" w:color="auto"/>
                        <w:right w:val="none" w:sz="0" w:space="0" w:color="auto"/>
                      </w:divBdr>
                    </w:div>
                  </w:divsChild>
                </w:div>
                <w:div w:id="1326129181">
                  <w:marLeft w:val="0"/>
                  <w:marRight w:val="0"/>
                  <w:marTop w:val="0"/>
                  <w:marBottom w:val="0"/>
                  <w:divBdr>
                    <w:top w:val="none" w:sz="0" w:space="0" w:color="auto"/>
                    <w:left w:val="none" w:sz="0" w:space="0" w:color="auto"/>
                    <w:bottom w:val="none" w:sz="0" w:space="0" w:color="auto"/>
                    <w:right w:val="none" w:sz="0" w:space="0" w:color="auto"/>
                  </w:divBdr>
                  <w:divsChild>
                    <w:div w:id="1076245049">
                      <w:marLeft w:val="0"/>
                      <w:marRight w:val="0"/>
                      <w:marTop w:val="0"/>
                      <w:marBottom w:val="0"/>
                      <w:divBdr>
                        <w:top w:val="none" w:sz="0" w:space="0" w:color="auto"/>
                        <w:left w:val="none" w:sz="0" w:space="0" w:color="auto"/>
                        <w:bottom w:val="none" w:sz="0" w:space="0" w:color="auto"/>
                        <w:right w:val="none" w:sz="0" w:space="0" w:color="auto"/>
                      </w:divBdr>
                    </w:div>
                  </w:divsChild>
                </w:div>
                <w:div w:id="1330401216">
                  <w:marLeft w:val="0"/>
                  <w:marRight w:val="0"/>
                  <w:marTop w:val="0"/>
                  <w:marBottom w:val="0"/>
                  <w:divBdr>
                    <w:top w:val="none" w:sz="0" w:space="0" w:color="auto"/>
                    <w:left w:val="none" w:sz="0" w:space="0" w:color="auto"/>
                    <w:bottom w:val="none" w:sz="0" w:space="0" w:color="auto"/>
                    <w:right w:val="none" w:sz="0" w:space="0" w:color="auto"/>
                  </w:divBdr>
                  <w:divsChild>
                    <w:div w:id="1917737462">
                      <w:marLeft w:val="0"/>
                      <w:marRight w:val="0"/>
                      <w:marTop w:val="0"/>
                      <w:marBottom w:val="0"/>
                      <w:divBdr>
                        <w:top w:val="none" w:sz="0" w:space="0" w:color="auto"/>
                        <w:left w:val="none" w:sz="0" w:space="0" w:color="auto"/>
                        <w:bottom w:val="none" w:sz="0" w:space="0" w:color="auto"/>
                        <w:right w:val="none" w:sz="0" w:space="0" w:color="auto"/>
                      </w:divBdr>
                    </w:div>
                  </w:divsChild>
                </w:div>
                <w:div w:id="1408191516">
                  <w:marLeft w:val="0"/>
                  <w:marRight w:val="0"/>
                  <w:marTop w:val="0"/>
                  <w:marBottom w:val="0"/>
                  <w:divBdr>
                    <w:top w:val="none" w:sz="0" w:space="0" w:color="auto"/>
                    <w:left w:val="none" w:sz="0" w:space="0" w:color="auto"/>
                    <w:bottom w:val="none" w:sz="0" w:space="0" w:color="auto"/>
                    <w:right w:val="none" w:sz="0" w:space="0" w:color="auto"/>
                  </w:divBdr>
                  <w:divsChild>
                    <w:div w:id="1838181756">
                      <w:marLeft w:val="0"/>
                      <w:marRight w:val="0"/>
                      <w:marTop w:val="0"/>
                      <w:marBottom w:val="0"/>
                      <w:divBdr>
                        <w:top w:val="none" w:sz="0" w:space="0" w:color="auto"/>
                        <w:left w:val="none" w:sz="0" w:space="0" w:color="auto"/>
                        <w:bottom w:val="none" w:sz="0" w:space="0" w:color="auto"/>
                        <w:right w:val="none" w:sz="0" w:space="0" w:color="auto"/>
                      </w:divBdr>
                    </w:div>
                  </w:divsChild>
                </w:div>
                <w:div w:id="1473786860">
                  <w:marLeft w:val="0"/>
                  <w:marRight w:val="0"/>
                  <w:marTop w:val="0"/>
                  <w:marBottom w:val="0"/>
                  <w:divBdr>
                    <w:top w:val="none" w:sz="0" w:space="0" w:color="auto"/>
                    <w:left w:val="none" w:sz="0" w:space="0" w:color="auto"/>
                    <w:bottom w:val="none" w:sz="0" w:space="0" w:color="auto"/>
                    <w:right w:val="none" w:sz="0" w:space="0" w:color="auto"/>
                  </w:divBdr>
                  <w:divsChild>
                    <w:div w:id="304048925">
                      <w:marLeft w:val="0"/>
                      <w:marRight w:val="0"/>
                      <w:marTop w:val="0"/>
                      <w:marBottom w:val="0"/>
                      <w:divBdr>
                        <w:top w:val="none" w:sz="0" w:space="0" w:color="auto"/>
                        <w:left w:val="none" w:sz="0" w:space="0" w:color="auto"/>
                        <w:bottom w:val="none" w:sz="0" w:space="0" w:color="auto"/>
                        <w:right w:val="none" w:sz="0" w:space="0" w:color="auto"/>
                      </w:divBdr>
                    </w:div>
                  </w:divsChild>
                </w:div>
                <w:div w:id="1476027789">
                  <w:marLeft w:val="0"/>
                  <w:marRight w:val="0"/>
                  <w:marTop w:val="0"/>
                  <w:marBottom w:val="0"/>
                  <w:divBdr>
                    <w:top w:val="none" w:sz="0" w:space="0" w:color="auto"/>
                    <w:left w:val="none" w:sz="0" w:space="0" w:color="auto"/>
                    <w:bottom w:val="none" w:sz="0" w:space="0" w:color="auto"/>
                    <w:right w:val="none" w:sz="0" w:space="0" w:color="auto"/>
                  </w:divBdr>
                  <w:divsChild>
                    <w:div w:id="320472687">
                      <w:marLeft w:val="0"/>
                      <w:marRight w:val="0"/>
                      <w:marTop w:val="0"/>
                      <w:marBottom w:val="0"/>
                      <w:divBdr>
                        <w:top w:val="none" w:sz="0" w:space="0" w:color="auto"/>
                        <w:left w:val="none" w:sz="0" w:space="0" w:color="auto"/>
                        <w:bottom w:val="none" w:sz="0" w:space="0" w:color="auto"/>
                        <w:right w:val="none" w:sz="0" w:space="0" w:color="auto"/>
                      </w:divBdr>
                    </w:div>
                  </w:divsChild>
                </w:div>
                <w:div w:id="1521622942">
                  <w:marLeft w:val="0"/>
                  <w:marRight w:val="0"/>
                  <w:marTop w:val="0"/>
                  <w:marBottom w:val="0"/>
                  <w:divBdr>
                    <w:top w:val="none" w:sz="0" w:space="0" w:color="auto"/>
                    <w:left w:val="none" w:sz="0" w:space="0" w:color="auto"/>
                    <w:bottom w:val="none" w:sz="0" w:space="0" w:color="auto"/>
                    <w:right w:val="none" w:sz="0" w:space="0" w:color="auto"/>
                  </w:divBdr>
                  <w:divsChild>
                    <w:div w:id="1321034785">
                      <w:marLeft w:val="0"/>
                      <w:marRight w:val="0"/>
                      <w:marTop w:val="0"/>
                      <w:marBottom w:val="0"/>
                      <w:divBdr>
                        <w:top w:val="none" w:sz="0" w:space="0" w:color="auto"/>
                        <w:left w:val="none" w:sz="0" w:space="0" w:color="auto"/>
                        <w:bottom w:val="none" w:sz="0" w:space="0" w:color="auto"/>
                        <w:right w:val="none" w:sz="0" w:space="0" w:color="auto"/>
                      </w:divBdr>
                    </w:div>
                  </w:divsChild>
                </w:div>
                <w:div w:id="1642886428">
                  <w:marLeft w:val="0"/>
                  <w:marRight w:val="0"/>
                  <w:marTop w:val="0"/>
                  <w:marBottom w:val="0"/>
                  <w:divBdr>
                    <w:top w:val="none" w:sz="0" w:space="0" w:color="auto"/>
                    <w:left w:val="none" w:sz="0" w:space="0" w:color="auto"/>
                    <w:bottom w:val="none" w:sz="0" w:space="0" w:color="auto"/>
                    <w:right w:val="none" w:sz="0" w:space="0" w:color="auto"/>
                  </w:divBdr>
                  <w:divsChild>
                    <w:div w:id="1096751365">
                      <w:marLeft w:val="0"/>
                      <w:marRight w:val="0"/>
                      <w:marTop w:val="0"/>
                      <w:marBottom w:val="0"/>
                      <w:divBdr>
                        <w:top w:val="none" w:sz="0" w:space="0" w:color="auto"/>
                        <w:left w:val="none" w:sz="0" w:space="0" w:color="auto"/>
                        <w:bottom w:val="none" w:sz="0" w:space="0" w:color="auto"/>
                        <w:right w:val="none" w:sz="0" w:space="0" w:color="auto"/>
                      </w:divBdr>
                    </w:div>
                  </w:divsChild>
                </w:div>
                <w:div w:id="1681347778">
                  <w:marLeft w:val="0"/>
                  <w:marRight w:val="0"/>
                  <w:marTop w:val="0"/>
                  <w:marBottom w:val="0"/>
                  <w:divBdr>
                    <w:top w:val="none" w:sz="0" w:space="0" w:color="auto"/>
                    <w:left w:val="none" w:sz="0" w:space="0" w:color="auto"/>
                    <w:bottom w:val="none" w:sz="0" w:space="0" w:color="auto"/>
                    <w:right w:val="none" w:sz="0" w:space="0" w:color="auto"/>
                  </w:divBdr>
                  <w:divsChild>
                    <w:div w:id="447161482">
                      <w:marLeft w:val="0"/>
                      <w:marRight w:val="0"/>
                      <w:marTop w:val="0"/>
                      <w:marBottom w:val="0"/>
                      <w:divBdr>
                        <w:top w:val="none" w:sz="0" w:space="0" w:color="auto"/>
                        <w:left w:val="none" w:sz="0" w:space="0" w:color="auto"/>
                        <w:bottom w:val="none" w:sz="0" w:space="0" w:color="auto"/>
                        <w:right w:val="none" w:sz="0" w:space="0" w:color="auto"/>
                      </w:divBdr>
                    </w:div>
                  </w:divsChild>
                </w:div>
                <w:div w:id="1949654943">
                  <w:marLeft w:val="0"/>
                  <w:marRight w:val="0"/>
                  <w:marTop w:val="0"/>
                  <w:marBottom w:val="0"/>
                  <w:divBdr>
                    <w:top w:val="none" w:sz="0" w:space="0" w:color="auto"/>
                    <w:left w:val="none" w:sz="0" w:space="0" w:color="auto"/>
                    <w:bottom w:val="none" w:sz="0" w:space="0" w:color="auto"/>
                    <w:right w:val="none" w:sz="0" w:space="0" w:color="auto"/>
                  </w:divBdr>
                  <w:divsChild>
                    <w:div w:id="174957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760771">
          <w:marLeft w:val="0"/>
          <w:marRight w:val="0"/>
          <w:marTop w:val="0"/>
          <w:marBottom w:val="0"/>
          <w:divBdr>
            <w:top w:val="none" w:sz="0" w:space="0" w:color="auto"/>
            <w:left w:val="none" w:sz="0" w:space="0" w:color="auto"/>
            <w:bottom w:val="none" w:sz="0" w:space="0" w:color="auto"/>
            <w:right w:val="none" w:sz="0" w:space="0" w:color="auto"/>
          </w:divBdr>
        </w:div>
      </w:divsChild>
    </w:div>
    <w:div w:id="724135878">
      <w:bodyDiv w:val="1"/>
      <w:marLeft w:val="0"/>
      <w:marRight w:val="0"/>
      <w:marTop w:val="0"/>
      <w:marBottom w:val="0"/>
      <w:divBdr>
        <w:top w:val="none" w:sz="0" w:space="0" w:color="auto"/>
        <w:left w:val="none" w:sz="0" w:space="0" w:color="auto"/>
        <w:bottom w:val="none" w:sz="0" w:space="0" w:color="auto"/>
        <w:right w:val="none" w:sz="0" w:space="0" w:color="auto"/>
      </w:divBdr>
      <w:divsChild>
        <w:div w:id="265963305">
          <w:marLeft w:val="0"/>
          <w:marRight w:val="0"/>
          <w:marTop w:val="0"/>
          <w:marBottom w:val="0"/>
          <w:divBdr>
            <w:top w:val="none" w:sz="0" w:space="0" w:color="auto"/>
            <w:left w:val="none" w:sz="0" w:space="0" w:color="auto"/>
            <w:bottom w:val="none" w:sz="0" w:space="0" w:color="auto"/>
            <w:right w:val="none" w:sz="0" w:space="0" w:color="auto"/>
          </w:divBdr>
        </w:div>
        <w:div w:id="274291095">
          <w:marLeft w:val="0"/>
          <w:marRight w:val="0"/>
          <w:marTop w:val="0"/>
          <w:marBottom w:val="0"/>
          <w:divBdr>
            <w:top w:val="none" w:sz="0" w:space="0" w:color="auto"/>
            <w:left w:val="none" w:sz="0" w:space="0" w:color="auto"/>
            <w:bottom w:val="none" w:sz="0" w:space="0" w:color="auto"/>
            <w:right w:val="none" w:sz="0" w:space="0" w:color="auto"/>
          </w:divBdr>
        </w:div>
        <w:div w:id="343433702">
          <w:marLeft w:val="0"/>
          <w:marRight w:val="0"/>
          <w:marTop w:val="0"/>
          <w:marBottom w:val="0"/>
          <w:divBdr>
            <w:top w:val="none" w:sz="0" w:space="0" w:color="auto"/>
            <w:left w:val="none" w:sz="0" w:space="0" w:color="auto"/>
            <w:bottom w:val="none" w:sz="0" w:space="0" w:color="auto"/>
            <w:right w:val="none" w:sz="0" w:space="0" w:color="auto"/>
          </w:divBdr>
        </w:div>
        <w:div w:id="1293636045">
          <w:marLeft w:val="0"/>
          <w:marRight w:val="0"/>
          <w:marTop w:val="0"/>
          <w:marBottom w:val="0"/>
          <w:divBdr>
            <w:top w:val="none" w:sz="0" w:space="0" w:color="auto"/>
            <w:left w:val="none" w:sz="0" w:space="0" w:color="auto"/>
            <w:bottom w:val="none" w:sz="0" w:space="0" w:color="auto"/>
            <w:right w:val="none" w:sz="0" w:space="0" w:color="auto"/>
          </w:divBdr>
        </w:div>
        <w:div w:id="1325671754">
          <w:marLeft w:val="0"/>
          <w:marRight w:val="0"/>
          <w:marTop w:val="0"/>
          <w:marBottom w:val="0"/>
          <w:divBdr>
            <w:top w:val="none" w:sz="0" w:space="0" w:color="auto"/>
            <w:left w:val="none" w:sz="0" w:space="0" w:color="auto"/>
            <w:bottom w:val="none" w:sz="0" w:space="0" w:color="auto"/>
            <w:right w:val="none" w:sz="0" w:space="0" w:color="auto"/>
          </w:divBdr>
        </w:div>
      </w:divsChild>
    </w:div>
    <w:div w:id="791173753">
      <w:bodyDiv w:val="1"/>
      <w:marLeft w:val="0"/>
      <w:marRight w:val="0"/>
      <w:marTop w:val="0"/>
      <w:marBottom w:val="0"/>
      <w:divBdr>
        <w:top w:val="none" w:sz="0" w:space="0" w:color="auto"/>
        <w:left w:val="none" w:sz="0" w:space="0" w:color="auto"/>
        <w:bottom w:val="none" w:sz="0" w:space="0" w:color="auto"/>
        <w:right w:val="none" w:sz="0" w:space="0" w:color="auto"/>
      </w:divBdr>
      <w:divsChild>
        <w:div w:id="108165076">
          <w:marLeft w:val="0"/>
          <w:marRight w:val="0"/>
          <w:marTop w:val="0"/>
          <w:marBottom w:val="0"/>
          <w:divBdr>
            <w:top w:val="none" w:sz="0" w:space="0" w:color="auto"/>
            <w:left w:val="none" w:sz="0" w:space="0" w:color="auto"/>
            <w:bottom w:val="none" w:sz="0" w:space="0" w:color="auto"/>
            <w:right w:val="none" w:sz="0" w:space="0" w:color="auto"/>
          </w:divBdr>
        </w:div>
        <w:div w:id="1126124438">
          <w:marLeft w:val="0"/>
          <w:marRight w:val="0"/>
          <w:marTop w:val="0"/>
          <w:marBottom w:val="0"/>
          <w:divBdr>
            <w:top w:val="none" w:sz="0" w:space="0" w:color="auto"/>
            <w:left w:val="none" w:sz="0" w:space="0" w:color="auto"/>
            <w:bottom w:val="none" w:sz="0" w:space="0" w:color="auto"/>
            <w:right w:val="none" w:sz="0" w:space="0" w:color="auto"/>
          </w:divBdr>
        </w:div>
        <w:div w:id="1281500026">
          <w:marLeft w:val="0"/>
          <w:marRight w:val="0"/>
          <w:marTop w:val="0"/>
          <w:marBottom w:val="0"/>
          <w:divBdr>
            <w:top w:val="none" w:sz="0" w:space="0" w:color="auto"/>
            <w:left w:val="none" w:sz="0" w:space="0" w:color="auto"/>
            <w:bottom w:val="none" w:sz="0" w:space="0" w:color="auto"/>
            <w:right w:val="none" w:sz="0" w:space="0" w:color="auto"/>
          </w:divBdr>
        </w:div>
      </w:divsChild>
    </w:div>
    <w:div w:id="793863572">
      <w:bodyDiv w:val="1"/>
      <w:marLeft w:val="0"/>
      <w:marRight w:val="0"/>
      <w:marTop w:val="0"/>
      <w:marBottom w:val="0"/>
      <w:divBdr>
        <w:top w:val="none" w:sz="0" w:space="0" w:color="auto"/>
        <w:left w:val="none" w:sz="0" w:space="0" w:color="auto"/>
        <w:bottom w:val="none" w:sz="0" w:space="0" w:color="auto"/>
        <w:right w:val="none" w:sz="0" w:space="0" w:color="auto"/>
      </w:divBdr>
    </w:div>
    <w:div w:id="961964282">
      <w:bodyDiv w:val="1"/>
      <w:marLeft w:val="0"/>
      <w:marRight w:val="0"/>
      <w:marTop w:val="0"/>
      <w:marBottom w:val="0"/>
      <w:divBdr>
        <w:top w:val="none" w:sz="0" w:space="0" w:color="auto"/>
        <w:left w:val="none" w:sz="0" w:space="0" w:color="auto"/>
        <w:bottom w:val="none" w:sz="0" w:space="0" w:color="auto"/>
        <w:right w:val="none" w:sz="0" w:space="0" w:color="auto"/>
      </w:divBdr>
    </w:div>
    <w:div w:id="980041480">
      <w:bodyDiv w:val="1"/>
      <w:marLeft w:val="0"/>
      <w:marRight w:val="0"/>
      <w:marTop w:val="0"/>
      <w:marBottom w:val="0"/>
      <w:divBdr>
        <w:top w:val="none" w:sz="0" w:space="0" w:color="auto"/>
        <w:left w:val="none" w:sz="0" w:space="0" w:color="auto"/>
        <w:bottom w:val="none" w:sz="0" w:space="0" w:color="auto"/>
        <w:right w:val="none" w:sz="0" w:space="0" w:color="auto"/>
      </w:divBdr>
      <w:divsChild>
        <w:div w:id="384565777">
          <w:marLeft w:val="0"/>
          <w:marRight w:val="0"/>
          <w:marTop w:val="0"/>
          <w:marBottom w:val="0"/>
          <w:divBdr>
            <w:top w:val="none" w:sz="0" w:space="0" w:color="auto"/>
            <w:left w:val="none" w:sz="0" w:space="0" w:color="auto"/>
            <w:bottom w:val="none" w:sz="0" w:space="0" w:color="auto"/>
            <w:right w:val="none" w:sz="0" w:space="0" w:color="auto"/>
          </w:divBdr>
        </w:div>
        <w:div w:id="638805252">
          <w:marLeft w:val="0"/>
          <w:marRight w:val="0"/>
          <w:marTop w:val="0"/>
          <w:marBottom w:val="0"/>
          <w:divBdr>
            <w:top w:val="none" w:sz="0" w:space="0" w:color="auto"/>
            <w:left w:val="none" w:sz="0" w:space="0" w:color="auto"/>
            <w:bottom w:val="none" w:sz="0" w:space="0" w:color="auto"/>
            <w:right w:val="none" w:sz="0" w:space="0" w:color="auto"/>
          </w:divBdr>
        </w:div>
        <w:div w:id="1283344544">
          <w:marLeft w:val="0"/>
          <w:marRight w:val="0"/>
          <w:marTop w:val="0"/>
          <w:marBottom w:val="0"/>
          <w:divBdr>
            <w:top w:val="none" w:sz="0" w:space="0" w:color="auto"/>
            <w:left w:val="none" w:sz="0" w:space="0" w:color="auto"/>
            <w:bottom w:val="none" w:sz="0" w:space="0" w:color="auto"/>
            <w:right w:val="none" w:sz="0" w:space="0" w:color="auto"/>
          </w:divBdr>
        </w:div>
        <w:div w:id="1377312666">
          <w:marLeft w:val="0"/>
          <w:marRight w:val="0"/>
          <w:marTop w:val="0"/>
          <w:marBottom w:val="0"/>
          <w:divBdr>
            <w:top w:val="none" w:sz="0" w:space="0" w:color="auto"/>
            <w:left w:val="none" w:sz="0" w:space="0" w:color="auto"/>
            <w:bottom w:val="none" w:sz="0" w:space="0" w:color="auto"/>
            <w:right w:val="none" w:sz="0" w:space="0" w:color="auto"/>
          </w:divBdr>
        </w:div>
        <w:div w:id="1436825509">
          <w:marLeft w:val="0"/>
          <w:marRight w:val="0"/>
          <w:marTop w:val="0"/>
          <w:marBottom w:val="0"/>
          <w:divBdr>
            <w:top w:val="none" w:sz="0" w:space="0" w:color="auto"/>
            <w:left w:val="none" w:sz="0" w:space="0" w:color="auto"/>
            <w:bottom w:val="none" w:sz="0" w:space="0" w:color="auto"/>
            <w:right w:val="none" w:sz="0" w:space="0" w:color="auto"/>
          </w:divBdr>
        </w:div>
        <w:div w:id="1598902918">
          <w:marLeft w:val="0"/>
          <w:marRight w:val="0"/>
          <w:marTop w:val="0"/>
          <w:marBottom w:val="0"/>
          <w:divBdr>
            <w:top w:val="none" w:sz="0" w:space="0" w:color="auto"/>
            <w:left w:val="none" w:sz="0" w:space="0" w:color="auto"/>
            <w:bottom w:val="none" w:sz="0" w:space="0" w:color="auto"/>
            <w:right w:val="none" w:sz="0" w:space="0" w:color="auto"/>
          </w:divBdr>
        </w:div>
        <w:div w:id="2014140906">
          <w:marLeft w:val="0"/>
          <w:marRight w:val="0"/>
          <w:marTop w:val="0"/>
          <w:marBottom w:val="0"/>
          <w:divBdr>
            <w:top w:val="none" w:sz="0" w:space="0" w:color="auto"/>
            <w:left w:val="none" w:sz="0" w:space="0" w:color="auto"/>
            <w:bottom w:val="none" w:sz="0" w:space="0" w:color="auto"/>
            <w:right w:val="none" w:sz="0" w:space="0" w:color="auto"/>
          </w:divBdr>
        </w:div>
      </w:divsChild>
    </w:div>
    <w:div w:id="1189954810">
      <w:bodyDiv w:val="1"/>
      <w:marLeft w:val="0"/>
      <w:marRight w:val="0"/>
      <w:marTop w:val="0"/>
      <w:marBottom w:val="0"/>
      <w:divBdr>
        <w:top w:val="none" w:sz="0" w:space="0" w:color="auto"/>
        <w:left w:val="none" w:sz="0" w:space="0" w:color="auto"/>
        <w:bottom w:val="none" w:sz="0" w:space="0" w:color="auto"/>
        <w:right w:val="none" w:sz="0" w:space="0" w:color="auto"/>
      </w:divBdr>
      <w:divsChild>
        <w:div w:id="102917844">
          <w:marLeft w:val="0"/>
          <w:marRight w:val="0"/>
          <w:marTop w:val="0"/>
          <w:marBottom w:val="0"/>
          <w:divBdr>
            <w:top w:val="none" w:sz="0" w:space="0" w:color="auto"/>
            <w:left w:val="none" w:sz="0" w:space="0" w:color="auto"/>
            <w:bottom w:val="none" w:sz="0" w:space="0" w:color="auto"/>
            <w:right w:val="none" w:sz="0" w:space="0" w:color="auto"/>
          </w:divBdr>
        </w:div>
        <w:div w:id="114256322">
          <w:marLeft w:val="0"/>
          <w:marRight w:val="0"/>
          <w:marTop w:val="0"/>
          <w:marBottom w:val="0"/>
          <w:divBdr>
            <w:top w:val="none" w:sz="0" w:space="0" w:color="auto"/>
            <w:left w:val="none" w:sz="0" w:space="0" w:color="auto"/>
            <w:bottom w:val="none" w:sz="0" w:space="0" w:color="auto"/>
            <w:right w:val="none" w:sz="0" w:space="0" w:color="auto"/>
          </w:divBdr>
        </w:div>
        <w:div w:id="142236350">
          <w:marLeft w:val="0"/>
          <w:marRight w:val="0"/>
          <w:marTop w:val="0"/>
          <w:marBottom w:val="0"/>
          <w:divBdr>
            <w:top w:val="none" w:sz="0" w:space="0" w:color="auto"/>
            <w:left w:val="none" w:sz="0" w:space="0" w:color="auto"/>
            <w:bottom w:val="none" w:sz="0" w:space="0" w:color="auto"/>
            <w:right w:val="none" w:sz="0" w:space="0" w:color="auto"/>
          </w:divBdr>
        </w:div>
        <w:div w:id="151265599">
          <w:marLeft w:val="0"/>
          <w:marRight w:val="0"/>
          <w:marTop w:val="0"/>
          <w:marBottom w:val="0"/>
          <w:divBdr>
            <w:top w:val="none" w:sz="0" w:space="0" w:color="auto"/>
            <w:left w:val="none" w:sz="0" w:space="0" w:color="auto"/>
            <w:bottom w:val="none" w:sz="0" w:space="0" w:color="auto"/>
            <w:right w:val="none" w:sz="0" w:space="0" w:color="auto"/>
          </w:divBdr>
        </w:div>
        <w:div w:id="249588486">
          <w:marLeft w:val="0"/>
          <w:marRight w:val="0"/>
          <w:marTop w:val="0"/>
          <w:marBottom w:val="0"/>
          <w:divBdr>
            <w:top w:val="none" w:sz="0" w:space="0" w:color="auto"/>
            <w:left w:val="none" w:sz="0" w:space="0" w:color="auto"/>
            <w:bottom w:val="none" w:sz="0" w:space="0" w:color="auto"/>
            <w:right w:val="none" w:sz="0" w:space="0" w:color="auto"/>
          </w:divBdr>
        </w:div>
        <w:div w:id="277760167">
          <w:marLeft w:val="0"/>
          <w:marRight w:val="0"/>
          <w:marTop w:val="0"/>
          <w:marBottom w:val="0"/>
          <w:divBdr>
            <w:top w:val="none" w:sz="0" w:space="0" w:color="auto"/>
            <w:left w:val="none" w:sz="0" w:space="0" w:color="auto"/>
            <w:bottom w:val="none" w:sz="0" w:space="0" w:color="auto"/>
            <w:right w:val="none" w:sz="0" w:space="0" w:color="auto"/>
          </w:divBdr>
        </w:div>
        <w:div w:id="292634986">
          <w:marLeft w:val="0"/>
          <w:marRight w:val="0"/>
          <w:marTop w:val="0"/>
          <w:marBottom w:val="0"/>
          <w:divBdr>
            <w:top w:val="none" w:sz="0" w:space="0" w:color="auto"/>
            <w:left w:val="none" w:sz="0" w:space="0" w:color="auto"/>
            <w:bottom w:val="none" w:sz="0" w:space="0" w:color="auto"/>
            <w:right w:val="none" w:sz="0" w:space="0" w:color="auto"/>
          </w:divBdr>
          <w:divsChild>
            <w:div w:id="149100626">
              <w:marLeft w:val="-75"/>
              <w:marRight w:val="0"/>
              <w:marTop w:val="30"/>
              <w:marBottom w:val="30"/>
              <w:divBdr>
                <w:top w:val="none" w:sz="0" w:space="0" w:color="auto"/>
                <w:left w:val="none" w:sz="0" w:space="0" w:color="auto"/>
                <w:bottom w:val="none" w:sz="0" w:space="0" w:color="auto"/>
                <w:right w:val="none" w:sz="0" w:space="0" w:color="auto"/>
              </w:divBdr>
              <w:divsChild>
                <w:div w:id="209197124">
                  <w:marLeft w:val="0"/>
                  <w:marRight w:val="0"/>
                  <w:marTop w:val="0"/>
                  <w:marBottom w:val="0"/>
                  <w:divBdr>
                    <w:top w:val="none" w:sz="0" w:space="0" w:color="auto"/>
                    <w:left w:val="none" w:sz="0" w:space="0" w:color="auto"/>
                    <w:bottom w:val="none" w:sz="0" w:space="0" w:color="auto"/>
                    <w:right w:val="none" w:sz="0" w:space="0" w:color="auto"/>
                  </w:divBdr>
                  <w:divsChild>
                    <w:div w:id="1290470911">
                      <w:marLeft w:val="0"/>
                      <w:marRight w:val="0"/>
                      <w:marTop w:val="0"/>
                      <w:marBottom w:val="0"/>
                      <w:divBdr>
                        <w:top w:val="none" w:sz="0" w:space="0" w:color="auto"/>
                        <w:left w:val="none" w:sz="0" w:space="0" w:color="auto"/>
                        <w:bottom w:val="none" w:sz="0" w:space="0" w:color="auto"/>
                        <w:right w:val="none" w:sz="0" w:space="0" w:color="auto"/>
                      </w:divBdr>
                    </w:div>
                  </w:divsChild>
                </w:div>
                <w:div w:id="253710126">
                  <w:marLeft w:val="0"/>
                  <w:marRight w:val="0"/>
                  <w:marTop w:val="0"/>
                  <w:marBottom w:val="0"/>
                  <w:divBdr>
                    <w:top w:val="none" w:sz="0" w:space="0" w:color="auto"/>
                    <w:left w:val="none" w:sz="0" w:space="0" w:color="auto"/>
                    <w:bottom w:val="none" w:sz="0" w:space="0" w:color="auto"/>
                    <w:right w:val="none" w:sz="0" w:space="0" w:color="auto"/>
                  </w:divBdr>
                  <w:divsChild>
                    <w:div w:id="974993429">
                      <w:marLeft w:val="0"/>
                      <w:marRight w:val="0"/>
                      <w:marTop w:val="0"/>
                      <w:marBottom w:val="0"/>
                      <w:divBdr>
                        <w:top w:val="none" w:sz="0" w:space="0" w:color="auto"/>
                        <w:left w:val="none" w:sz="0" w:space="0" w:color="auto"/>
                        <w:bottom w:val="none" w:sz="0" w:space="0" w:color="auto"/>
                        <w:right w:val="none" w:sz="0" w:space="0" w:color="auto"/>
                      </w:divBdr>
                    </w:div>
                  </w:divsChild>
                </w:div>
                <w:div w:id="295110405">
                  <w:marLeft w:val="0"/>
                  <w:marRight w:val="0"/>
                  <w:marTop w:val="0"/>
                  <w:marBottom w:val="0"/>
                  <w:divBdr>
                    <w:top w:val="none" w:sz="0" w:space="0" w:color="auto"/>
                    <w:left w:val="none" w:sz="0" w:space="0" w:color="auto"/>
                    <w:bottom w:val="none" w:sz="0" w:space="0" w:color="auto"/>
                    <w:right w:val="none" w:sz="0" w:space="0" w:color="auto"/>
                  </w:divBdr>
                  <w:divsChild>
                    <w:div w:id="2053769223">
                      <w:marLeft w:val="0"/>
                      <w:marRight w:val="0"/>
                      <w:marTop w:val="0"/>
                      <w:marBottom w:val="0"/>
                      <w:divBdr>
                        <w:top w:val="none" w:sz="0" w:space="0" w:color="auto"/>
                        <w:left w:val="none" w:sz="0" w:space="0" w:color="auto"/>
                        <w:bottom w:val="none" w:sz="0" w:space="0" w:color="auto"/>
                        <w:right w:val="none" w:sz="0" w:space="0" w:color="auto"/>
                      </w:divBdr>
                    </w:div>
                  </w:divsChild>
                </w:div>
                <w:div w:id="312948650">
                  <w:marLeft w:val="0"/>
                  <w:marRight w:val="0"/>
                  <w:marTop w:val="0"/>
                  <w:marBottom w:val="0"/>
                  <w:divBdr>
                    <w:top w:val="none" w:sz="0" w:space="0" w:color="auto"/>
                    <w:left w:val="none" w:sz="0" w:space="0" w:color="auto"/>
                    <w:bottom w:val="none" w:sz="0" w:space="0" w:color="auto"/>
                    <w:right w:val="none" w:sz="0" w:space="0" w:color="auto"/>
                  </w:divBdr>
                  <w:divsChild>
                    <w:div w:id="132018378">
                      <w:marLeft w:val="0"/>
                      <w:marRight w:val="0"/>
                      <w:marTop w:val="0"/>
                      <w:marBottom w:val="0"/>
                      <w:divBdr>
                        <w:top w:val="none" w:sz="0" w:space="0" w:color="auto"/>
                        <w:left w:val="none" w:sz="0" w:space="0" w:color="auto"/>
                        <w:bottom w:val="none" w:sz="0" w:space="0" w:color="auto"/>
                        <w:right w:val="none" w:sz="0" w:space="0" w:color="auto"/>
                      </w:divBdr>
                    </w:div>
                  </w:divsChild>
                </w:div>
                <w:div w:id="352927850">
                  <w:marLeft w:val="0"/>
                  <w:marRight w:val="0"/>
                  <w:marTop w:val="0"/>
                  <w:marBottom w:val="0"/>
                  <w:divBdr>
                    <w:top w:val="none" w:sz="0" w:space="0" w:color="auto"/>
                    <w:left w:val="none" w:sz="0" w:space="0" w:color="auto"/>
                    <w:bottom w:val="none" w:sz="0" w:space="0" w:color="auto"/>
                    <w:right w:val="none" w:sz="0" w:space="0" w:color="auto"/>
                  </w:divBdr>
                  <w:divsChild>
                    <w:div w:id="935213561">
                      <w:marLeft w:val="0"/>
                      <w:marRight w:val="0"/>
                      <w:marTop w:val="0"/>
                      <w:marBottom w:val="0"/>
                      <w:divBdr>
                        <w:top w:val="none" w:sz="0" w:space="0" w:color="auto"/>
                        <w:left w:val="none" w:sz="0" w:space="0" w:color="auto"/>
                        <w:bottom w:val="none" w:sz="0" w:space="0" w:color="auto"/>
                        <w:right w:val="none" w:sz="0" w:space="0" w:color="auto"/>
                      </w:divBdr>
                    </w:div>
                  </w:divsChild>
                </w:div>
                <w:div w:id="415370165">
                  <w:marLeft w:val="0"/>
                  <w:marRight w:val="0"/>
                  <w:marTop w:val="0"/>
                  <w:marBottom w:val="0"/>
                  <w:divBdr>
                    <w:top w:val="none" w:sz="0" w:space="0" w:color="auto"/>
                    <w:left w:val="none" w:sz="0" w:space="0" w:color="auto"/>
                    <w:bottom w:val="none" w:sz="0" w:space="0" w:color="auto"/>
                    <w:right w:val="none" w:sz="0" w:space="0" w:color="auto"/>
                  </w:divBdr>
                  <w:divsChild>
                    <w:div w:id="606885411">
                      <w:marLeft w:val="0"/>
                      <w:marRight w:val="0"/>
                      <w:marTop w:val="0"/>
                      <w:marBottom w:val="0"/>
                      <w:divBdr>
                        <w:top w:val="none" w:sz="0" w:space="0" w:color="auto"/>
                        <w:left w:val="none" w:sz="0" w:space="0" w:color="auto"/>
                        <w:bottom w:val="none" w:sz="0" w:space="0" w:color="auto"/>
                        <w:right w:val="none" w:sz="0" w:space="0" w:color="auto"/>
                      </w:divBdr>
                    </w:div>
                  </w:divsChild>
                </w:div>
                <w:div w:id="593980335">
                  <w:marLeft w:val="0"/>
                  <w:marRight w:val="0"/>
                  <w:marTop w:val="0"/>
                  <w:marBottom w:val="0"/>
                  <w:divBdr>
                    <w:top w:val="none" w:sz="0" w:space="0" w:color="auto"/>
                    <w:left w:val="none" w:sz="0" w:space="0" w:color="auto"/>
                    <w:bottom w:val="none" w:sz="0" w:space="0" w:color="auto"/>
                    <w:right w:val="none" w:sz="0" w:space="0" w:color="auto"/>
                  </w:divBdr>
                  <w:divsChild>
                    <w:div w:id="909929647">
                      <w:marLeft w:val="0"/>
                      <w:marRight w:val="0"/>
                      <w:marTop w:val="0"/>
                      <w:marBottom w:val="0"/>
                      <w:divBdr>
                        <w:top w:val="none" w:sz="0" w:space="0" w:color="auto"/>
                        <w:left w:val="none" w:sz="0" w:space="0" w:color="auto"/>
                        <w:bottom w:val="none" w:sz="0" w:space="0" w:color="auto"/>
                        <w:right w:val="none" w:sz="0" w:space="0" w:color="auto"/>
                      </w:divBdr>
                    </w:div>
                  </w:divsChild>
                </w:div>
                <w:div w:id="599261969">
                  <w:marLeft w:val="0"/>
                  <w:marRight w:val="0"/>
                  <w:marTop w:val="0"/>
                  <w:marBottom w:val="0"/>
                  <w:divBdr>
                    <w:top w:val="none" w:sz="0" w:space="0" w:color="auto"/>
                    <w:left w:val="none" w:sz="0" w:space="0" w:color="auto"/>
                    <w:bottom w:val="none" w:sz="0" w:space="0" w:color="auto"/>
                    <w:right w:val="none" w:sz="0" w:space="0" w:color="auto"/>
                  </w:divBdr>
                  <w:divsChild>
                    <w:div w:id="803933663">
                      <w:marLeft w:val="0"/>
                      <w:marRight w:val="0"/>
                      <w:marTop w:val="0"/>
                      <w:marBottom w:val="0"/>
                      <w:divBdr>
                        <w:top w:val="none" w:sz="0" w:space="0" w:color="auto"/>
                        <w:left w:val="none" w:sz="0" w:space="0" w:color="auto"/>
                        <w:bottom w:val="none" w:sz="0" w:space="0" w:color="auto"/>
                        <w:right w:val="none" w:sz="0" w:space="0" w:color="auto"/>
                      </w:divBdr>
                    </w:div>
                  </w:divsChild>
                </w:div>
                <w:div w:id="627277242">
                  <w:marLeft w:val="0"/>
                  <w:marRight w:val="0"/>
                  <w:marTop w:val="0"/>
                  <w:marBottom w:val="0"/>
                  <w:divBdr>
                    <w:top w:val="none" w:sz="0" w:space="0" w:color="auto"/>
                    <w:left w:val="none" w:sz="0" w:space="0" w:color="auto"/>
                    <w:bottom w:val="none" w:sz="0" w:space="0" w:color="auto"/>
                    <w:right w:val="none" w:sz="0" w:space="0" w:color="auto"/>
                  </w:divBdr>
                  <w:divsChild>
                    <w:div w:id="982737451">
                      <w:marLeft w:val="0"/>
                      <w:marRight w:val="0"/>
                      <w:marTop w:val="0"/>
                      <w:marBottom w:val="0"/>
                      <w:divBdr>
                        <w:top w:val="none" w:sz="0" w:space="0" w:color="auto"/>
                        <w:left w:val="none" w:sz="0" w:space="0" w:color="auto"/>
                        <w:bottom w:val="none" w:sz="0" w:space="0" w:color="auto"/>
                        <w:right w:val="none" w:sz="0" w:space="0" w:color="auto"/>
                      </w:divBdr>
                    </w:div>
                  </w:divsChild>
                </w:div>
                <w:div w:id="627399888">
                  <w:marLeft w:val="0"/>
                  <w:marRight w:val="0"/>
                  <w:marTop w:val="0"/>
                  <w:marBottom w:val="0"/>
                  <w:divBdr>
                    <w:top w:val="none" w:sz="0" w:space="0" w:color="auto"/>
                    <w:left w:val="none" w:sz="0" w:space="0" w:color="auto"/>
                    <w:bottom w:val="none" w:sz="0" w:space="0" w:color="auto"/>
                    <w:right w:val="none" w:sz="0" w:space="0" w:color="auto"/>
                  </w:divBdr>
                  <w:divsChild>
                    <w:div w:id="53436160">
                      <w:marLeft w:val="0"/>
                      <w:marRight w:val="0"/>
                      <w:marTop w:val="0"/>
                      <w:marBottom w:val="0"/>
                      <w:divBdr>
                        <w:top w:val="none" w:sz="0" w:space="0" w:color="auto"/>
                        <w:left w:val="none" w:sz="0" w:space="0" w:color="auto"/>
                        <w:bottom w:val="none" w:sz="0" w:space="0" w:color="auto"/>
                        <w:right w:val="none" w:sz="0" w:space="0" w:color="auto"/>
                      </w:divBdr>
                    </w:div>
                  </w:divsChild>
                </w:div>
                <w:div w:id="642655586">
                  <w:marLeft w:val="0"/>
                  <w:marRight w:val="0"/>
                  <w:marTop w:val="0"/>
                  <w:marBottom w:val="0"/>
                  <w:divBdr>
                    <w:top w:val="none" w:sz="0" w:space="0" w:color="auto"/>
                    <w:left w:val="none" w:sz="0" w:space="0" w:color="auto"/>
                    <w:bottom w:val="none" w:sz="0" w:space="0" w:color="auto"/>
                    <w:right w:val="none" w:sz="0" w:space="0" w:color="auto"/>
                  </w:divBdr>
                  <w:divsChild>
                    <w:div w:id="26033477">
                      <w:marLeft w:val="0"/>
                      <w:marRight w:val="0"/>
                      <w:marTop w:val="0"/>
                      <w:marBottom w:val="0"/>
                      <w:divBdr>
                        <w:top w:val="none" w:sz="0" w:space="0" w:color="auto"/>
                        <w:left w:val="none" w:sz="0" w:space="0" w:color="auto"/>
                        <w:bottom w:val="none" w:sz="0" w:space="0" w:color="auto"/>
                        <w:right w:val="none" w:sz="0" w:space="0" w:color="auto"/>
                      </w:divBdr>
                    </w:div>
                  </w:divsChild>
                </w:div>
                <w:div w:id="647368296">
                  <w:marLeft w:val="0"/>
                  <w:marRight w:val="0"/>
                  <w:marTop w:val="0"/>
                  <w:marBottom w:val="0"/>
                  <w:divBdr>
                    <w:top w:val="none" w:sz="0" w:space="0" w:color="auto"/>
                    <w:left w:val="none" w:sz="0" w:space="0" w:color="auto"/>
                    <w:bottom w:val="none" w:sz="0" w:space="0" w:color="auto"/>
                    <w:right w:val="none" w:sz="0" w:space="0" w:color="auto"/>
                  </w:divBdr>
                  <w:divsChild>
                    <w:div w:id="1368410275">
                      <w:marLeft w:val="0"/>
                      <w:marRight w:val="0"/>
                      <w:marTop w:val="0"/>
                      <w:marBottom w:val="0"/>
                      <w:divBdr>
                        <w:top w:val="none" w:sz="0" w:space="0" w:color="auto"/>
                        <w:left w:val="none" w:sz="0" w:space="0" w:color="auto"/>
                        <w:bottom w:val="none" w:sz="0" w:space="0" w:color="auto"/>
                        <w:right w:val="none" w:sz="0" w:space="0" w:color="auto"/>
                      </w:divBdr>
                    </w:div>
                  </w:divsChild>
                </w:div>
                <w:div w:id="756483409">
                  <w:marLeft w:val="0"/>
                  <w:marRight w:val="0"/>
                  <w:marTop w:val="0"/>
                  <w:marBottom w:val="0"/>
                  <w:divBdr>
                    <w:top w:val="none" w:sz="0" w:space="0" w:color="auto"/>
                    <w:left w:val="none" w:sz="0" w:space="0" w:color="auto"/>
                    <w:bottom w:val="none" w:sz="0" w:space="0" w:color="auto"/>
                    <w:right w:val="none" w:sz="0" w:space="0" w:color="auto"/>
                  </w:divBdr>
                  <w:divsChild>
                    <w:div w:id="332952699">
                      <w:marLeft w:val="0"/>
                      <w:marRight w:val="0"/>
                      <w:marTop w:val="0"/>
                      <w:marBottom w:val="0"/>
                      <w:divBdr>
                        <w:top w:val="none" w:sz="0" w:space="0" w:color="auto"/>
                        <w:left w:val="none" w:sz="0" w:space="0" w:color="auto"/>
                        <w:bottom w:val="none" w:sz="0" w:space="0" w:color="auto"/>
                        <w:right w:val="none" w:sz="0" w:space="0" w:color="auto"/>
                      </w:divBdr>
                    </w:div>
                  </w:divsChild>
                </w:div>
                <w:div w:id="991175369">
                  <w:marLeft w:val="0"/>
                  <w:marRight w:val="0"/>
                  <w:marTop w:val="0"/>
                  <w:marBottom w:val="0"/>
                  <w:divBdr>
                    <w:top w:val="none" w:sz="0" w:space="0" w:color="auto"/>
                    <w:left w:val="none" w:sz="0" w:space="0" w:color="auto"/>
                    <w:bottom w:val="none" w:sz="0" w:space="0" w:color="auto"/>
                    <w:right w:val="none" w:sz="0" w:space="0" w:color="auto"/>
                  </w:divBdr>
                  <w:divsChild>
                    <w:div w:id="763960126">
                      <w:marLeft w:val="0"/>
                      <w:marRight w:val="0"/>
                      <w:marTop w:val="0"/>
                      <w:marBottom w:val="0"/>
                      <w:divBdr>
                        <w:top w:val="none" w:sz="0" w:space="0" w:color="auto"/>
                        <w:left w:val="none" w:sz="0" w:space="0" w:color="auto"/>
                        <w:bottom w:val="none" w:sz="0" w:space="0" w:color="auto"/>
                        <w:right w:val="none" w:sz="0" w:space="0" w:color="auto"/>
                      </w:divBdr>
                    </w:div>
                  </w:divsChild>
                </w:div>
                <w:div w:id="1134057552">
                  <w:marLeft w:val="0"/>
                  <w:marRight w:val="0"/>
                  <w:marTop w:val="0"/>
                  <w:marBottom w:val="0"/>
                  <w:divBdr>
                    <w:top w:val="none" w:sz="0" w:space="0" w:color="auto"/>
                    <w:left w:val="none" w:sz="0" w:space="0" w:color="auto"/>
                    <w:bottom w:val="none" w:sz="0" w:space="0" w:color="auto"/>
                    <w:right w:val="none" w:sz="0" w:space="0" w:color="auto"/>
                  </w:divBdr>
                  <w:divsChild>
                    <w:div w:id="1647004862">
                      <w:marLeft w:val="0"/>
                      <w:marRight w:val="0"/>
                      <w:marTop w:val="0"/>
                      <w:marBottom w:val="0"/>
                      <w:divBdr>
                        <w:top w:val="none" w:sz="0" w:space="0" w:color="auto"/>
                        <w:left w:val="none" w:sz="0" w:space="0" w:color="auto"/>
                        <w:bottom w:val="none" w:sz="0" w:space="0" w:color="auto"/>
                        <w:right w:val="none" w:sz="0" w:space="0" w:color="auto"/>
                      </w:divBdr>
                    </w:div>
                  </w:divsChild>
                </w:div>
                <w:div w:id="1371690305">
                  <w:marLeft w:val="0"/>
                  <w:marRight w:val="0"/>
                  <w:marTop w:val="0"/>
                  <w:marBottom w:val="0"/>
                  <w:divBdr>
                    <w:top w:val="none" w:sz="0" w:space="0" w:color="auto"/>
                    <w:left w:val="none" w:sz="0" w:space="0" w:color="auto"/>
                    <w:bottom w:val="none" w:sz="0" w:space="0" w:color="auto"/>
                    <w:right w:val="none" w:sz="0" w:space="0" w:color="auto"/>
                  </w:divBdr>
                  <w:divsChild>
                    <w:div w:id="835026174">
                      <w:marLeft w:val="0"/>
                      <w:marRight w:val="0"/>
                      <w:marTop w:val="0"/>
                      <w:marBottom w:val="0"/>
                      <w:divBdr>
                        <w:top w:val="none" w:sz="0" w:space="0" w:color="auto"/>
                        <w:left w:val="none" w:sz="0" w:space="0" w:color="auto"/>
                        <w:bottom w:val="none" w:sz="0" w:space="0" w:color="auto"/>
                        <w:right w:val="none" w:sz="0" w:space="0" w:color="auto"/>
                      </w:divBdr>
                    </w:div>
                  </w:divsChild>
                </w:div>
                <w:div w:id="1408844139">
                  <w:marLeft w:val="0"/>
                  <w:marRight w:val="0"/>
                  <w:marTop w:val="0"/>
                  <w:marBottom w:val="0"/>
                  <w:divBdr>
                    <w:top w:val="none" w:sz="0" w:space="0" w:color="auto"/>
                    <w:left w:val="none" w:sz="0" w:space="0" w:color="auto"/>
                    <w:bottom w:val="none" w:sz="0" w:space="0" w:color="auto"/>
                    <w:right w:val="none" w:sz="0" w:space="0" w:color="auto"/>
                  </w:divBdr>
                  <w:divsChild>
                    <w:div w:id="2133742627">
                      <w:marLeft w:val="0"/>
                      <w:marRight w:val="0"/>
                      <w:marTop w:val="0"/>
                      <w:marBottom w:val="0"/>
                      <w:divBdr>
                        <w:top w:val="none" w:sz="0" w:space="0" w:color="auto"/>
                        <w:left w:val="none" w:sz="0" w:space="0" w:color="auto"/>
                        <w:bottom w:val="none" w:sz="0" w:space="0" w:color="auto"/>
                        <w:right w:val="none" w:sz="0" w:space="0" w:color="auto"/>
                      </w:divBdr>
                    </w:div>
                  </w:divsChild>
                </w:div>
                <w:div w:id="1434403423">
                  <w:marLeft w:val="0"/>
                  <w:marRight w:val="0"/>
                  <w:marTop w:val="0"/>
                  <w:marBottom w:val="0"/>
                  <w:divBdr>
                    <w:top w:val="none" w:sz="0" w:space="0" w:color="auto"/>
                    <w:left w:val="none" w:sz="0" w:space="0" w:color="auto"/>
                    <w:bottom w:val="none" w:sz="0" w:space="0" w:color="auto"/>
                    <w:right w:val="none" w:sz="0" w:space="0" w:color="auto"/>
                  </w:divBdr>
                  <w:divsChild>
                    <w:div w:id="1724715365">
                      <w:marLeft w:val="0"/>
                      <w:marRight w:val="0"/>
                      <w:marTop w:val="0"/>
                      <w:marBottom w:val="0"/>
                      <w:divBdr>
                        <w:top w:val="none" w:sz="0" w:space="0" w:color="auto"/>
                        <w:left w:val="none" w:sz="0" w:space="0" w:color="auto"/>
                        <w:bottom w:val="none" w:sz="0" w:space="0" w:color="auto"/>
                        <w:right w:val="none" w:sz="0" w:space="0" w:color="auto"/>
                      </w:divBdr>
                    </w:div>
                  </w:divsChild>
                </w:div>
                <w:div w:id="1483429923">
                  <w:marLeft w:val="0"/>
                  <w:marRight w:val="0"/>
                  <w:marTop w:val="0"/>
                  <w:marBottom w:val="0"/>
                  <w:divBdr>
                    <w:top w:val="none" w:sz="0" w:space="0" w:color="auto"/>
                    <w:left w:val="none" w:sz="0" w:space="0" w:color="auto"/>
                    <w:bottom w:val="none" w:sz="0" w:space="0" w:color="auto"/>
                    <w:right w:val="none" w:sz="0" w:space="0" w:color="auto"/>
                  </w:divBdr>
                  <w:divsChild>
                    <w:div w:id="378238399">
                      <w:marLeft w:val="0"/>
                      <w:marRight w:val="0"/>
                      <w:marTop w:val="0"/>
                      <w:marBottom w:val="0"/>
                      <w:divBdr>
                        <w:top w:val="none" w:sz="0" w:space="0" w:color="auto"/>
                        <w:left w:val="none" w:sz="0" w:space="0" w:color="auto"/>
                        <w:bottom w:val="none" w:sz="0" w:space="0" w:color="auto"/>
                        <w:right w:val="none" w:sz="0" w:space="0" w:color="auto"/>
                      </w:divBdr>
                    </w:div>
                  </w:divsChild>
                </w:div>
                <w:div w:id="1622615950">
                  <w:marLeft w:val="0"/>
                  <w:marRight w:val="0"/>
                  <w:marTop w:val="0"/>
                  <w:marBottom w:val="0"/>
                  <w:divBdr>
                    <w:top w:val="none" w:sz="0" w:space="0" w:color="auto"/>
                    <w:left w:val="none" w:sz="0" w:space="0" w:color="auto"/>
                    <w:bottom w:val="none" w:sz="0" w:space="0" w:color="auto"/>
                    <w:right w:val="none" w:sz="0" w:space="0" w:color="auto"/>
                  </w:divBdr>
                  <w:divsChild>
                    <w:div w:id="1729455080">
                      <w:marLeft w:val="0"/>
                      <w:marRight w:val="0"/>
                      <w:marTop w:val="0"/>
                      <w:marBottom w:val="0"/>
                      <w:divBdr>
                        <w:top w:val="none" w:sz="0" w:space="0" w:color="auto"/>
                        <w:left w:val="none" w:sz="0" w:space="0" w:color="auto"/>
                        <w:bottom w:val="none" w:sz="0" w:space="0" w:color="auto"/>
                        <w:right w:val="none" w:sz="0" w:space="0" w:color="auto"/>
                      </w:divBdr>
                    </w:div>
                  </w:divsChild>
                </w:div>
                <w:div w:id="1643192885">
                  <w:marLeft w:val="0"/>
                  <w:marRight w:val="0"/>
                  <w:marTop w:val="0"/>
                  <w:marBottom w:val="0"/>
                  <w:divBdr>
                    <w:top w:val="none" w:sz="0" w:space="0" w:color="auto"/>
                    <w:left w:val="none" w:sz="0" w:space="0" w:color="auto"/>
                    <w:bottom w:val="none" w:sz="0" w:space="0" w:color="auto"/>
                    <w:right w:val="none" w:sz="0" w:space="0" w:color="auto"/>
                  </w:divBdr>
                  <w:divsChild>
                    <w:div w:id="1026298767">
                      <w:marLeft w:val="0"/>
                      <w:marRight w:val="0"/>
                      <w:marTop w:val="0"/>
                      <w:marBottom w:val="0"/>
                      <w:divBdr>
                        <w:top w:val="none" w:sz="0" w:space="0" w:color="auto"/>
                        <w:left w:val="none" w:sz="0" w:space="0" w:color="auto"/>
                        <w:bottom w:val="none" w:sz="0" w:space="0" w:color="auto"/>
                        <w:right w:val="none" w:sz="0" w:space="0" w:color="auto"/>
                      </w:divBdr>
                    </w:div>
                  </w:divsChild>
                </w:div>
                <w:div w:id="1772044620">
                  <w:marLeft w:val="0"/>
                  <w:marRight w:val="0"/>
                  <w:marTop w:val="0"/>
                  <w:marBottom w:val="0"/>
                  <w:divBdr>
                    <w:top w:val="none" w:sz="0" w:space="0" w:color="auto"/>
                    <w:left w:val="none" w:sz="0" w:space="0" w:color="auto"/>
                    <w:bottom w:val="none" w:sz="0" w:space="0" w:color="auto"/>
                    <w:right w:val="none" w:sz="0" w:space="0" w:color="auto"/>
                  </w:divBdr>
                  <w:divsChild>
                    <w:div w:id="732124719">
                      <w:marLeft w:val="0"/>
                      <w:marRight w:val="0"/>
                      <w:marTop w:val="0"/>
                      <w:marBottom w:val="0"/>
                      <w:divBdr>
                        <w:top w:val="none" w:sz="0" w:space="0" w:color="auto"/>
                        <w:left w:val="none" w:sz="0" w:space="0" w:color="auto"/>
                        <w:bottom w:val="none" w:sz="0" w:space="0" w:color="auto"/>
                        <w:right w:val="none" w:sz="0" w:space="0" w:color="auto"/>
                      </w:divBdr>
                    </w:div>
                  </w:divsChild>
                </w:div>
                <w:div w:id="1905096370">
                  <w:marLeft w:val="0"/>
                  <w:marRight w:val="0"/>
                  <w:marTop w:val="0"/>
                  <w:marBottom w:val="0"/>
                  <w:divBdr>
                    <w:top w:val="none" w:sz="0" w:space="0" w:color="auto"/>
                    <w:left w:val="none" w:sz="0" w:space="0" w:color="auto"/>
                    <w:bottom w:val="none" w:sz="0" w:space="0" w:color="auto"/>
                    <w:right w:val="none" w:sz="0" w:space="0" w:color="auto"/>
                  </w:divBdr>
                  <w:divsChild>
                    <w:div w:id="1337221777">
                      <w:marLeft w:val="0"/>
                      <w:marRight w:val="0"/>
                      <w:marTop w:val="0"/>
                      <w:marBottom w:val="0"/>
                      <w:divBdr>
                        <w:top w:val="none" w:sz="0" w:space="0" w:color="auto"/>
                        <w:left w:val="none" w:sz="0" w:space="0" w:color="auto"/>
                        <w:bottom w:val="none" w:sz="0" w:space="0" w:color="auto"/>
                        <w:right w:val="none" w:sz="0" w:space="0" w:color="auto"/>
                      </w:divBdr>
                    </w:div>
                  </w:divsChild>
                </w:div>
                <w:div w:id="1962806952">
                  <w:marLeft w:val="0"/>
                  <w:marRight w:val="0"/>
                  <w:marTop w:val="0"/>
                  <w:marBottom w:val="0"/>
                  <w:divBdr>
                    <w:top w:val="none" w:sz="0" w:space="0" w:color="auto"/>
                    <w:left w:val="none" w:sz="0" w:space="0" w:color="auto"/>
                    <w:bottom w:val="none" w:sz="0" w:space="0" w:color="auto"/>
                    <w:right w:val="none" w:sz="0" w:space="0" w:color="auto"/>
                  </w:divBdr>
                  <w:divsChild>
                    <w:div w:id="2065372952">
                      <w:marLeft w:val="0"/>
                      <w:marRight w:val="0"/>
                      <w:marTop w:val="0"/>
                      <w:marBottom w:val="0"/>
                      <w:divBdr>
                        <w:top w:val="none" w:sz="0" w:space="0" w:color="auto"/>
                        <w:left w:val="none" w:sz="0" w:space="0" w:color="auto"/>
                        <w:bottom w:val="none" w:sz="0" w:space="0" w:color="auto"/>
                        <w:right w:val="none" w:sz="0" w:space="0" w:color="auto"/>
                      </w:divBdr>
                    </w:div>
                  </w:divsChild>
                </w:div>
                <w:div w:id="1975523306">
                  <w:marLeft w:val="0"/>
                  <w:marRight w:val="0"/>
                  <w:marTop w:val="0"/>
                  <w:marBottom w:val="0"/>
                  <w:divBdr>
                    <w:top w:val="none" w:sz="0" w:space="0" w:color="auto"/>
                    <w:left w:val="none" w:sz="0" w:space="0" w:color="auto"/>
                    <w:bottom w:val="none" w:sz="0" w:space="0" w:color="auto"/>
                    <w:right w:val="none" w:sz="0" w:space="0" w:color="auto"/>
                  </w:divBdr>
                  <w:divsChild>
                    <w:div w:id="1174732963">
                      <w:marLeft w:val="0"/>
                      <w:marRight w:val="0"/>
                      <w:marTop w:val="0"/>
                      <w:marBottom w:val="0"/>
                      <w:divBdr>
                        <w:top w:val="none" w:sz="0" w:space="0" w:color="auto"/>
                        <w:left w:val="none" w:sz="0" w:space="0" w:color="auto"/>
                        <w:bottom w:val="none" w:sz="0" w:space="0" w:color="auto"/>
                        <w:right w:val="none" w:sz="0" w:space="0" w:color="auto"/>
                      </w:divBdr>
                    </w:div>
                  </w:divsChild>
                </w:div>
                <w:div w:id="2024473245">
                  <w:marLeft w:val="0"/>
                  <w:marRight w:val="0"/>
                  <w:marTop w:val="0"/>
                  <w:marBottom w:val="0"/>
                  <w:divBdr>
                    <w:top w:val="none" w:sz="0" w:space="0" w:color="auto"/>
                    <w:left w:val="none" w:sz="0" w:space="0" w:color="auto"/>
                    <w:bottom w:val="none" w:sz="0" w:space="0" w:color="auto"/>
                    <w:right w:val="none" w:sz="0" w:space="0" w:color="auto"/>
                  </w:divBdr>
                  <w:divsChild>
                    <w:div w:id="107624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336145">
          <w:marLeft w:val="0"/>
          <w:marRight w:val="0"/>
          <w:marTop w:val="0"/>
          <w:marBottom w:val="0"/>
          <w:divBdr>
            <w:top w:val="none" w:sz="0" w:space="0" w:color="auto"/>
            <w:left w:val="none" w:sz="0" w:space="0" w:color="auto"/>
            <w:bottom w:val="none" w:sz="0" w:space="0" w:color="auto"/>
            <w:right w:val="none" w:sz="0" w:space="0" w:color="auto"/>
          </w:divBdr>
        </w:div>
        <w:div w:id="316157181">
          <w:marLeft w:val="0"/>
          <w:marRight w:val="0"/>
          <w:marTop w:val="0"/>
          <w:marBottom w:val="0"/>
          <w:divBdr>
            <w:top w:val="none" w:sz="0" w:space="0" w:color="auto"/>
            <w:left w:val="none" w:sz="0" w:space="0" w:color="auto"/>
            <w:bottom w:val="none" w:sz="0" w:space="0" w:color="auto"/>
            <w:right w:val="none" w:sz="0" w:space="0" w:color="auto"/>
          </w:divBdr>
        </w:div>
        <w:div w:id="511995074">
          <w:marLeft w:val="0"/>
          <w:marRight w:val="0"/>
          <w:marTop w:val="0"/>
          <w:marBottom w:val="0"/>
          <w:divBdr>
            <w:top w:val="none" w:sz="0" w:space="0" w:color="auto"/>
            <w:left w:val="none" w:sz="0" w:space="0" w:color="auto"/>
            <w:bottom w:val="none" w:sz="0" w:space="0" w:color="auto"/>
            <w:right w:val="none" w:sz="0" w:space="0" w:color="auto"/>
          </w:divBdr>
        </w:div>
        <w:div w:id="614824880">
          <w:marLeft w:val="0"/>
          <w:marRight w:val="0"/>
          <w:marTop w:val="0"/>
          <w:marBottom w:val="0"/>
          <w:divBdr>
            <w:top w:val="none" w:sz="0" w:space="0" w:color="auto"/>
            <w:left w:val="none" w:sz="0" w:space="0" w:color="auto"/>
            <w:bottom w:val="none" w:sz="0" w:space="0" w:color="auto"/>
            <w:right w:val="none" w:sz="0" w:space="0" w:color="auto"/>
          </w:divBdr>
        </w:div>
        <w:div w:id="692802257">
          <w:marLeft w:val="0"/>
          <w:marRight w:val="0"/>
          <w:marTop w:val="0"/>
          <w:marBottom w:val="0"/>
          <w:divBdr>
            <w:top w:val="none" w:sz="0" w:space="0" w:color="auto"/>
            <w:left w:val="none" w:sz="0" w:space="0" w:color="auto"/>
            <w:bottom w:val="none" w:sz="0" w:space="0" w:color="auto"/>
            <w:right w:val="none" w:sz="0" w:space="0" w:color="auto"/>
          </w:divBdr>
        </w:div>
        <w:div w:id="727072549">
          <w:marLeft w:val="0"/>
          <w:marRight w:val="0"/>
          <w:marTop w:val="0"/>
          <w:marBottom w:val="0"/>
          <w:divBdr>
            <w:top w:val="none" w:sz="0" w:space="0" w:color="auto"/>
            <w:left w:val="none" w:sz="0" w:space="0" w:color="auto"/>
            <w:bottom w:val="none" w:sz="0" w:space="0" w:color="auto"/>
            <w:right w:val="none" w:sz="0" w:space="0" w:color="auto"/>
          </w:divBdr>
        </w:div>
        <w:div w:id="758789532">
          <w:marLeft w:val="0"/>
          <w:marRight w:val="0"/>
          <w:marTop w:val="0"/>
          <w:marBottom w:val="0"/>
          <w:divBdr>
            <w:top w:val="none" w:sz="0" w:space="0" w:color="auto"/>
            <w:left w:val="none" w:sz="0" w:space="0" w:color="auto"/>
            <w:bottom w:val="none" w:sz="0" w:space="0" w:color="auto"/>
            <w:right w:val="none" w:sz="0" w:space="0" w:color="auto"/>
          </w:divBdr>
        </w:div>
        <w:div w:id="920523547">
          <w:marLeft w:val="0"/>
          <w:marRight w:val="0"/>
          <w:marTop w:val="0"/>
          <w:marBottom w:val="0"/>
          <w:divBdr>
            <w:top w:val="none" w:sz="0" w:space="0" w:color="auto"/>
            <w:left w:val="none" w:sz="0" w:space="0" w:color="auto"/>
            <w:bottom w:val="none" w:sz="0" w:space="0" w:color="auto"/>
            <w:right w:val="none" w:sz="0" w:space="0" w:color="auto"/>
          </w:divBdr>
        </w:div>
        <w:div w:id="989214758">
          <w:marLeft w:val="0"/>
          <w:marRight w:val="0"/>
          <w:marTop w:val="0"/>
          <w:marBottom w:val="0"/>
          <w:divBdr>
            <w:top w:val="none" w:sz="0" w:space="0" w:color="auto"/>
            <w:left w:val="none" w:sz="0" w:space="0" w:color="auto"/>
            <w:bottom w:val="none" w:sz="0" w:space="0" w:color="auto"/>
            <w:right w:val="none" w:sz="0" w:space="0" w:color="auto"/>
          </w:divBdr>
        </w:div>
        <w:div w:id="990988526">
          <w:marLeft w:val="0"/>
          <w:marRight w:val="0"/>
          <w:marTop w:val="0"/>
          <w:marBottom w:val="0"/>
          <w:divBdr>
            <w:top w:val="none" w:sz="0" w:space="0" w:color="auto"/>
            <w:left w:val="none" w:sz="0" w:space="0" w:color="auto"/>
            <w:bottom w:val="none" w:sz="0" w:space="0" w:color="auto"/>
            <w:right w:val="none" w:sz="0" w:space="0" w:color="auto"/>
          </w:divBdr>
        </w:div>
        <w:div w:id="1105885272">
          <w:marLeft w:val="0"/>
          <w:marRight w:val="0"/>
          <w:marTop w:val="0"/>
          <w:marBottom w:val="0"/>
          <w:divBdr>
            <w:top w:val="none" w:sz="0" w:space="0" w:color="auto"/>
            <w:left w:val="none" w:sz="0" w:space="0" w:color="auto"/>
            <w:bottom w:val="none" w:sz="0" w:space="0" w:color="auto"/>
            <w:right w:val="none" w:sz="0" w:space="0" w:color="auto"/>
          </w:divBdr>
        </w:div>
        <w:div w:id="1154948916">
          <w:marLeft w:val="0"/>
          <w:marRight w:val="0"/>
          <w:marTop w:val="0"/>
          <w:marBottom w:val="0"/>
          <w:divBdr>
            <w:top w:val="none" w:sz="0" w:space="0" w:color="auto"/>
            <w:left w:val="none" w:sz="0" w:space="0" w:color="auto"/>
            <w:bottom w:val="none" w:sz="0" w:space="0" w:color="auto"/>
            <w:right w:val="none" w:sz="0" w:space="0" w:color="auto"/>
          </w:divBdr>
        </w:div>
        <w:div w:id="1159922936">
          <w:marLeft w:val="0"/>
          <w:marRight w:val="0"/>
          <w:marTop w:val="0"/>
          <w:marBottom w:val="0"/>
          <w:divBdr>
            <w:top w:val="none" w:sz="0" w:space="0" w:color="auto"/>
            <w:left w:val="none" w:sz="0" w:space="0" w:color="auto"/>
            <w:bottom w:val="none" w:sz="0" w:space="0" w:color="auto"/>
            <w:right w:val="none" w:sz="0" w:space="0" w:color="auto"/>
          </w:divBdr>
        </w:div>
        <w:div w:id="1188720223">
          <w:marLeft w:val="0"/>
          <w:marRight w:val="0"/>
          <w:marTop w:val="0"/>
          <w:marBottom w:val="0"/>
          <w:divBdr>
            <w:top w:val="none" w:sz="0" w:space="0" w:color="auto"/>
            <w:left w:val="none" w:sz="0" w:space="0" w:color="auto"/>
            <w:bottom w:val="none" w:sz="0" w:space="0" w:color="auto"/>
            <w:right w:val="none" w:sz="0" w:space="0" w:color="auto"/>
          </w:divBdr>
        </w:div>
        <w:div w:id="1199930489">
          <w:marLeft w:val="0"/>
          <w:marRight w:val="0"/>
          <w:marTop w:val="0"/>
          <w:marBottom w:val="0"/>
          <w:divBdr>
            <w:top w:val="none" w:sz="0" w:space="0" w:color="auto"/>
            <w:left w:val="none" w:sz="0" w:space="0" w:color="auto"/>
            <w:bottom w:val="none" w:sz="0" w:space="0" w:color="auto"/>
            <w:right w:val="none" w:sz="0" w:space="0" w:color="auto"/>
          </w:divBdr>
        </w:div>
        <w:div w:id="1500191361">
          <w:marLeft w:val="0"/>
          <w:marRight w:val="0"/>
          <w:marTop w:val="0"/>
          <w:marBottom w:val="0"/>
          <w:divBdr>
            <w:top w:val="none" w:sz="0" w:space="0" w:color="auto"/>
            <w:left w:val="none" w:sz="0" w:space="0" w:color="auto"/>
            <w:bottom w:val="none" w:sz="0" w:space="0" w:color="auto"/>
            <w:right w:val="none" w:sz="0" w:space="0" w:color="auto"/>
          </w:divBdr>
        </w:div>
        <w:div w:id="1575237135">
          <w:marLeft w:val="0"/>
          <w:marRight w:val="0"/>
          <w:marTop w:val="0"/>
          <w:marBottom w:val="0"/>
          <w:divBdr>
            <w:top w:val="none" w:sz="0" w:space="0" w:color="auto"/>
            <w:left w:val="none" w:sz="0" w:space="0" w:color="auto"/>
            <w:bottom w:val="none" w:sz="0" w:space="0" w:color="auto"/>
            <w:right w:val="none" w:sz="0" w:space="0" w:color="auto"/>
          </w:divBdr>
        </w:div>
        <w:div w:id="1586450646">
          <w:marLeft w:val="0"/>
          <w:marRight w:val="0"/>
          <w:marTop w:val="0"/>
          <w:marBottom w:val="0"/>
          <w:divBdr>
            <w:top w:val="none" w:sz="0" w:space="0" w:color="auto"/>
            <w:left w:val="none" w:sz="0" w:space="0" w:color="auto"/>
            <w:bottom w:val="none" w:sz="0" w:space="0" w:color="auto"/>
            <w:right w:val="none" w:sz="0" w:space="0" w:color="auto"/>
          </w:divBdr>
        </w:div>
        <w:div w:id="1649625418">
          <w:marLeft w:val="0"/>
          <w:marRight w:val="0"/>
          <w:marTop w:val="0"/>
          <w:marBottom w:val="0"/>
          <w:divBdr>
            <w:top w:val="none" w:sz="0" w:space="0" w:color="auto"/>
            <w:left w:val="none" w:sz="0" w:space="0" w:color="auto"/>
            <w:bottom w:val="none" w:sz="0" w:space="0" w:color="auto"/>
            <w:right w:val="none" w:sz="0" w:space="0" w:color="auto"/>
          </w:divBdr>
        </w:div>
        <w:div w:id="1774008221">
          <w:marLeft w:val="0"/>
          <w:marRight w:val="0"/>
          <w:marTop w:val="0"/>
          <w:marBottom w:val="0"/>
          <w:divBdr>
            <w:top w:val="none" w:sz="0" w:space="0" w:color="auto"/>
            <w:left w:val="none" w:sz="0" w:space="0" w:color="auto"/>
            <w:bottom w:val="none" w:sz="0" w:space="0" w:color="auto"/>
            <w:right w:val="none" w:sz="0" w:space="0" w:color="auto"/>
          </w:divBdr>
        </w:div>
        <w:div w:id="1813013443">
          <w:marLeft w:val="0"/>
          <w:marRight w:val="0"/>
          <w:marTop w:val="0"/>
          <w:marBottom w:val="0"/>
          <w:divBdr>
            <w:top w:val="none" w:sz="0" w:space="0" w:color="auto"/>
            <w:left w:val="none" w:sz="0" w:space="0" w:color="auto"/>
            <w:bottom w:val="none" w:sz="0" w:space="0" w:color="auto"/>
            <w:right w:val="none" w:sz="0" w:space="0" w:color="auto"/>
          </w:divBdr>
        </w:div>
        <w:div w:id="1816293279">
          <w:marLeft w:val="0"/>
          <w:marRight w:val="0"/>
          <w:marTop w:val="0"/>
          <w:marBottom w:val="0"/>
          <w:divBdr>
            <w:top w:val="none" w:sz="0" w:space="0" w:color="auto"/>
            <w:left w:val="none" w:sz="0" w:space="0" w:color="auto"/>
            <w:bottom w:val="none" w:sz="0" w:space="0" w:color="auto"/>
            <w:right w:val="none" w:sz="0" w:space="0" w:color="auto"/>
          </w:divBdr>
        </w:div>
        <w:div w:id="1817838930">
          <w:marLeft w:val="0"/>
          <w:marRight w:val="0"/>
          <w:marTop w:val="0"/>
          <w:marBottom w:val="0"/>
          <w:divBdr>
            <w:top w:val="none" w:sz="0" w:space="0" w:color="auto"/>
            <w:left w:val="none" w:sz="0" w:space="0" w:color="auto"/>
            <w:bottom w:val="none" w:sz="0" w:space="0" w:color="auto"/>
            <w:right w:val="none" w:sz="0" w:space="0" w:color="auto"/>
          </w:divBdr>
        </w:div>
        <w:div w:id="1922063669">
          <w:marLeft w:val="0"/>
          <w:marRight w:val="0"/>
          <w:marTop w:val="0"/>
          <w:marBottom w:val="0"/>
          <w:divBdr>
            <w:top w:val="none" w:sz="0" w:space="0" w:color="auto"/>
            <w:left w:val="none" w:sz="0" w:space="0" w:color="auto"/>
            <w:bottom w:val="none" w:sz="0" w:space="0" w:color="auto"/>
            <w:right w:val="none" w:sz="0" w:space="0" w:color="auto"/>
          </w:divBdr>
        </w:div>
        <w:div w:id="1946881350">
          <w:marLeft w:val="0"/>
          <w:marRight w:val="0"/>
          <w:marTop w:val="0"/>
          <w:marBottom w:val="0"/>
          <w:divBdr>
            <w:top w:val="none" w:sz="0" w:space="0" w:color="auto"/>
            <w:left w:val="none" w:sz="0" w:space="0" w:color="auto"/>
            <w:bottom w:val="none" w:sz="0" w:space="0" w:color="auto"/>
            <w:right w:val="none" w:sz="0" w:space="0" w:color="auto"/>
          </w:divBdr>
        </w:div>
        <w:div w:id="2025089163">
          <w:marLeft w:val="0"/>
          <w:marRight w:val="0"/>
          <w:marTop w:val="0"/>
          <w:marBottom w:val="0"/>
          <w:divBdr>
            <w:top w:val="none" w:sz="0" w:space="0" w:color="auto"/>
            <w:left w:val="none" w:sz="0" w:space="0" w:color="auto"/>
            <w:bottom w:val="none" w:sz="0" w:space="0" w:color="auto"/>
            <w:right w:val="none" w:sz="0" w:space="0" w:color="auto"/>
          </w:divBdr>
        </w:div>
        <w:div w:id="2124417104">
          <w:marLeft w:val="0"/>
          <w:marRight w:val="0"/>
          <w:marTop w:val="0"/>
          <w:marBottom w:val="0"/>
          <w:divBdr>
            <w:top w:val="none" w:sz="0" w:space="0" w:color="auto"/>
            <w:left w:val="none" w:sz="0" w:space="0" w:color="auto"/>
            <w:bottom w:val="none" w:sz="0" w:space="0" w:color="auto"/>
            <w:right w:val="none" w:sz="0" w:space="0" w:color="auto"/>
          </w:divBdr>
        </w:div>
      </w:divsChild>
    </w:div>
    <w:div w:id="1192766765">
      <w:bodyDiv w:val="1"/>
      <w:marLeft w:val="0"/>
      <w:marRight w:val="0"/>
      <w:marTop w:val="0"/>
      <w:marBottom w:val="0"/>
      <w:divBdr>
        <w:top w:val="none" w:sz="0" w:space="0" w:color="auto"/>
        <w:left w:val="none" w:sz="0" w:space="0" w:color="auto"/>
        <w:bottom w:val="none" w:sz="0" w:space="0" w:color="auto"/>
        <w:right w:val="none" w:sz="0" w:space="0" w:color="auto"/>
      </w:divBdr>
      <w:divsChild>
        <w:div w:id="160242129">
          <w:marLeft w:val="0"/>
          <w:marRight w:val="0"/>
          <w:marTop w:val="0"/>
          <w:marBottom w:val="0"/>
          <w:divBdr>
            <w:top w:val="none" w:sz="0" w:space="0" w:color="auto"/>
            <w:left w:val="none" w:sz="0" w:space="0" w:color="auto"/>
            <w:bottom w:val="none" w:sz="0" w:space="0" w:color="auto"/>
            <w:right w:val="none" w:sz="0" w:space="0" w:color="auto"/>
          </w:divBdr>
          <w:divsChild>
            <w:div w:id="337270569">
              <w:marLeft w:val="0"/>
              <w:marRight w:val="0"/>
              <w:marTop w:val="0"/>
              <w:marBottom w:val="0"/>
              <w:divBdr>
                <w:top w:val="none" w:sz="0" w:space="0" w:color="auto"/>
                <w:left w:val="none" w:sz="0" w:space="0" w:color="auto"/>
                <w:bottom w:val="none" w:sz="0" w:space="0" w:color="auto"/>
                <w:right w:val="none" w:sz="0" w:space="0" w:color="auto"/>
              </w:divBdr>
            </w:div>
            <w:div w:id="374547124">
              <w:marLeft w:val="0"/>
              <w:marRight w:val="0"/>
              <w:marTop w:val="0"/>
              <w:marBottom w:val="0"/>
              <w:divBdr>
                <w:top w:val="none" w:sz="0" w:space="0" w:color="auto"/>
                <w:left w:val="none" w:sz="0" w:space="0" w:color="auto"/>
                <w:bottom w:val="none" w:sz="0" w:space="0" w:color="auto"/>
                <w:right w:val="none" w:sz="0" w:space="0" w:color="auto"/>
              </w:divBdr>
            </w:div>
            <w:div w:id="535849877">
              <w:marLeft w:val="0"/>
              <w:marRight w:val="0"/>
              <w:marTop w:val="0"/>
              <w:marBottom w:val="0"/>
              <w:divBdr>
                <w:top w:val="none" w:sz="0" w:space="0" w:color="auto"/>
                <w:left w:val="none" w:sz="0" w:space="0" w:color="auto"/>
                <w:bottom w:val="none" w:sz="0" w:space="0" w:color="auto"/>
                <w:right w:val="none" w:sz="0" w:space="0" w:color="auto"/>
              </w:divBdr>
            </w:div>
            <w:div w:id="653220379">
              <w:marLeft w:val="0"/>
              <w:marRight w:val="0"/>
              <w:marTop w:val="0"/>
              <w:marBottom w:val="0"/>
              <w:divBdr>
                <w:top w:val="none" w:sz="0" w:space="0" w:color="auto"/>
                <w:left w:val="none" w:sz="0" w:space="0" w:color="auto"/>
                <w:bottom w:val="none" w:sz="0" w:space="0" w:color="auto"/>
                <w:right w:val="none" w:sz="0" w:space="0" w:color="auto"/>
              </w:divBdr>
            </w:div>
            <w:div w:id="913196411">
              <w:marLeft w:val="0"/>
              <w:marRight w:val="0"/>
              <w:marTop w:val="0"/>
              <w:marBottom w:val="0"/>
              <w:divBdr>
                <w:top w:val="none" w:sz="0" w:space="0" w:color="auto"/>
                <w:left w:val="none" w:sz="0" w:space="0" w:color="auto"/>
                <w:bottom w:val="none" w:sz="0" w:space="0" w:color="auto"/>
                <w:right w:val="none" w:sz="0" w:space="0" w:color="auto"/>
              </w:divBdr>
            </w:div>
            <w:div w:id="1030060888">
              <w:marLeft w:val="0"/>
              <w:marRight w:val="0"/>
              <w:marTop w:val="0"/>
              <w:marBottom w:val="0"/>
              <w:divBdr>
                <w:top w:val="none" w:sz="0" w:space="0" w:color="auto"/>
                <w:left w:val="none" w:sz="0" w:space="0" w:color="auto"/>
                <w:bottom w:val="none" w:sz="0" w:space="0" w:color="auto"/>
                <w:right w:val="none" w:sz="0" w:space="0" w:color="auto"/>
              </w:divBdr>
            </w:div>
            <w:div w:id="1085762846">
              <w:marLeft w:val="0"/>
              <w:marRight w:val="0"/>
              <w:marTop w:val="0"/>
              <w:marBottom w:val="0"/>
              <w:divBdr>
                <w:top w:val="none" w:sz="0" w:space="0" w:color="auto"/>
                <w:left w:val="none" w:sz="0" w:space="0" w:color="auto"/>
                <w:bottom w:val="none" w:sz="0" w:space="0" w:color="auto"/>
                <w:right w:val="none" w:sz="0" w:space="0" w:color="auto"/>
              </w:divBdr>
            </w:div>
            <w:div w:id="1192037977">
              <w:marLeft w:val="0"/>
              <w:marRight w:val="0"/>
              <w:marTop w:val="0"/>
              <w:marBottom w:val="0"/>
              <w:divBdr>
                <w:top w:val="none" w:sz="0" w:space="0" w:color="auto"/>
                <w:left w:val="none" w:sz="0" w:space="0" w:color="auto"/>
                <w:bottom w:val="none" w:sz="0" w:space="0" w:color="auto"/>
                <w:right w:val="none" w:sz="0" w:space="0" w:color="auto"/>
              </w:divBdr>
            </w:div>
            <w:div w:id="1242133618">
              <w:marLeft w:val="0"/>
              <w:marRight w:val="0"/>
              <w:marTop w:val="0"/>
              <w:marBottom w:val="0"/>
              <w:divBdr>
                <w:top w:val="none" w:sz="0" w:space="0" w:color="auto"/>
                <w:left w:val="none" w:sz="0" w:space="0" w:color="auto"/>
                <w:bottom w:val="none" w:sz="0" w:space="0" w:color="auto"/>
                <w:right w:val="none" w:sz="0" w:space="0" w:color="auto"/>
              </w:divBdr>
            </w:div>
            <w:div w:id="1444691349">
              <w:marLeft w:val="0"/>
              <w:marRight w:val="0"/>
              <w:marTop w:val="0"/>
              <w:marBottom w:val="0"/>
              <w:divBdr>
                <w:top w:val="none" w:sz="0" w:space="0" w:color="auto"/>
                <w:left w:val="none" w:sz="0" w:space="0" w:color="auto"/>
                <w:bottom w:val="none" w:sz="0" w:space="0" w:color="auto"/>
                <w:right w:val="none" w:sz="0" w:space="0" w:color="auto"/>
              </w:divBdr>
            </w:div>
            <w:div w:id="1490058887">
              <w:marLeft w:val="0"/>
              <w:marRight w:val="0"/>
              <w:marTop w:val="0"/>
              <w:marBottom w:val="0"/>
              <w:divBdr>
                <w:top w:val="none" w:sz="0" w:space="0" w:color="auto"/>
                <w:left w:val="none" w:sz="0" w:space="0" w:color="auto"/>
                <w:bottom w:val="none" w:sz="0" w:space="0" w:color="auto"/>
                <w:right w:val="none" w:sz="0" w:space="0" w:color="auto"/>
              </w:divBdr>
            </w:div>
            <w:div w:id="1491410718">
              <w:marLeft w:val="0"/>
              <w:marRight w:val="0"/>
              <w:marTop w:val="0"/>
              <w:marBottom w:val="0"/>
              <w:divBdr>
                <w:top w:val="none" w:sz="0" w:space="0" w:color="auto"/>
                <w:left w:val="none" w:sz="0" w:space="0" w:color="auto"/>
                <w:bottom w:val="none" w:sz="0" w:space="0" w:color="auto"/>
                <w:right w:val="none" w:sz="0" w:space="0" w:color="auto"/>
              </w:divBdr>
            </w:div>
            <w:div w:id="1538008632">
              <w:marLeft w:val="0"/>
              <w:marRight w:val="0"/>
              <w:marTop w:val="0"/>
              <w:marBottom w:val="0"/>
              <w:divBdr>
                <w:top w:val="none" w:sz="0" w:space="0" w:color="auto"/>
                <w:left w:val="none" w:sz="0" w:space="0" w:color="auto"/>
                <w:bottom w:val="none" w:sz="0" w:space="0" w:color="auto"/>
                <w:right w:val="none" w:sz="0" w:space="0" w:color="auto"/>
              </w:divBdr>
            </w:div>
            <w:div w:id="1560094031">
              <w:marLeft w:val="0"/>
              <w:marRight w:val="0"/>
              <w:marTop w:val="0"/>
              <w:marBottom w:val="0"/>
              <w:divBdr>
                <w:top w:val="none" w:sz="0" w:space="0" w:color="auto"/>
                <w:left w:val="none" w:sz="0" w:space="0" w:color="auto"/>
                <w:bottom w:val="none" w:sz="0" w:space="0" w:color="auto"/>
                <w:right w:val="none" w:sz="0" w:space="0" w:color="auto"/>
              </w:divBdr>
            </w:div>
            <w:div w:id="1668289674">
              <w:marLeft w:val="0"/>
              <w:marRight w:val="0"/>
              <w:marTop w:val="0"/>
              <w:marBottom w:val="0"/>
              <w:divBdr>
                <w:top w:val="none" w:sz="0" w:space="0" w:color="auto"/>
                <w:left w:val="none" w:sz="0" w:space="0" w:color="auto"/>
                <w:bottom w:val="none" w:sz="0" w:space="0" w:color="auto"/>
                <w:right w:val="none" w:sz="0" w:space="0" w:color="auto"/>
              </w:divBdr>
            </w:div>
            <w:div w:id="1740785288">
              <w:marLeft w:val="0"/>
              <w:marRight w:val="0"/>
              <w:marTop w:val="0"/>
              <w:marBottom w:val="0"/>
              <w:divBdr>
                <w:top w:val="none" w:sz="0" w:space="0" w:color="auto"/>
                <w:left w:val="none" w:sz="0" w:space="0" w:color="auto"/>
                <w:bottom w:val="none" w:sz="0" w:space="0" w:color="auto"/>
                <w:right w:val="none" w:sz="0" w:space="0" w:color="auto"/>
              </w:divBdr>
            </w:div>
            <w:div w:id="1967005845">
              <w:marLeft w:val="0"/>
              <w:marRight w:val="0"/>
              <w:marTop w:val="0"/>
              <w:marBottom w:val="0"/>
              <w:divBdr>
                <w:top w:val="none" w:sz="0" w:space="0" w:color="auto"/>
                <w:left w:val="none" w:sz="0" w:space="0" w:color="auto"/>
                <w:bottom w:val="none" w:sz="0" w:space="0" w:color="auto"/>
                <w:right w:val="none" w:sz="0" w:space="0" w:color="auto"/>
              </w:divBdr>
            </w:div>
            <w:div w:id="2115055768">
              <w:marLeft w:val="0"/>
              <w:marRight w:val="0"/>
              <w:marTop w:val="0"/>
              <w:marBottom w:val="0"/>
              <w:divBdr>
                <w:top w:val="none" w:sz="0" w:space="0" w:color="auto"/>
                <w:left w:val="none" w:sz="0" w:space="0" w:color="auto"/>
                <w:bottom w:val="none" w:sz="0" w:space="0" w:color="auto"/>
                <w:right w:val="none" w:sz="0" w:space="0" w:color="auto"/>
              </w:divBdr>
            </w:div>
          </w:divsChild>
        </w:div>
        <w:div w:id="947657941">
          <w:marLeft w:val="0"/>
          <w:marRight w:val="0"/>
          <w:marTop w:val="0"/>
          <w:marBottom w:val="0"/>
          <w:divBdr>
            <w:top w:val="none" w:sz="0" w:space="0" w:color="auto"/>
            <w:left w:val="none" w:sz="0" w:space="0" w:color="auto"/>
            <w:bottom w:val="none" w:sz="0" w:space="0" w:color="auto"/>
            <w:right w:val="none" w:sz="0" w:space="0" w:color="auto"/>
          </w:divBdr>
          <w:divsChild>
            <w:div w:id="866067198">
              <w:marLeft w:val="0"/>
              <w:marRight w:val="0"/>
              <w:marTop w:val="0"/>
              <w:marBottom w:val="0"/>
              <w:divBdr>
                <w:top w:val="none" w:sz="0" w:space="0" w:color="auto"/>
                <w:left w:val="none" w:sz="0" w:space="0" w:color="auto"/>
                <w:bottom w:val="none" w:sz="0" w:space="0" w:color="auto"/>
                <w:right w:val="none" w:sz="0" w:space="0" w:color="auto"/>
              </w:divBdr>
            </w:div>
            <w:div w:id="1866796211">
              <w:marLeft w:val="0"/>
              <w:marRight w:val="0"/>
              <w:marTop w:val="0"/>
              <w:marBottom w:val="0"/>
              <w:divBdr>
                <w:top w:val="none" w:sz="0" w:space="0" w:color="auto"/>
                <w:left w:val="none" w:sz="0" w:space="0" w:color="auto"/>
                <w:bottom w:val="none" w:sz="0" w:space="0" w:color="auto"/>
                <w:right w:val="none" w:sz="0" w:space="0" w:color="auto"/>
              </w:divBdr>
            </w:div>
            <w:div w:id="2115050331">
              <w:marLeft w:val="0"/>
              <w:marRight w:val="0"/>
              <w:marTop w:val="0"/>
              <w:marBottom w:val="0"/>
              <w:divBdr>
                <w:top w:val="none" w:sz="0" w:space="0" w:color="auto"/>
                <w:left w:val="none" w:sz="0" w:space="0" w:color="auto"/>
                <w:bottom w:val="none" w:sz="0" w:space="0" w:color="auto"/>
                <w:right w:val="none" w:sz="0" w:space="0" w:color="auto"/>
              </w:divBdr>
            </w:div>
          </w:divsChild>
        </w:div>
        <w:div w:id="1982416766">
          <w:marLeft w:val="0"/>
          <w:marRight w:val="0"/>
          <w:marTop w:val="0"/>
          <w:marBottom w:val="0"/>
          <w:divBdr>
            <w:top w:val="none" w:sz="0" w:space="0" w:color="auto"/>
            <w:left w:val="none" w:sz="0" w:space="0" w:color="auto"/>
            <w:bottom w:val="none" w:sz="0" w:space="0" w:color="auto"/>
            <w:right w:val="none" w:sz="0" w:space="0" w:color="auto"/>
          </w:divBdr>
          <w:divsChild>
            <w:div w:id="24796937">
              <w:marLeft w:val="0"/>
              <w:marRight w:val="0"/>
              <w:marTop w:val="0"/>
              <w:marBottom w:val="0"/>
              <w:divBdr>
                <w:top w:val="none" w:sz="0" w:space="0" w:color="auto"/>
                <w:left w:val="none" w:sz="0" w:space="0" w:color="auto"/>
                <w:bottom w:val="none" w:sz="0" w:space="0" w:color="auto"/>
                <w:right w:val="none" w:sz="0" w:space="0" w:color="auto"/>
              </w:divBdr>
            </w:div>
            <w:div w:id="184709936">
              <w:marLeft w:val="0"/>
              <w:marRight w:val="0"/>
              <w:marTop w:val="0"/>
              <w:marBottom w:val="0"/>
              <w:divBdr>
                <w:top w:val="none" w:sz="0" w:space="0" w:color="auto"/>
                <w:left w:val="none" w:sz="0" w:space="0" w:color="auto"/>
                <w:bottom w:val="none" w:sz="0" w:space="0" w:color="auto"/>
                <w:right w:val="none" w:sz="0" w:space="0" w:color="auto"/>
              </w:divBdr>
            </w:div>
            <w:div w:id="411201739">
              <w:marLeft w:val="0"/>
              <w:marRight w:val="0"/>
              <w:marTop w:val="0"/>
              <w:marBottom w:val="0"/>
              <w:divBdr>
                <w:top w:val="none" w:sz="0" w:space="0" w:color="auto"/>
                <w:left w:val="none" w:sz="0" w:space="0" w:color="auto"/>
                <w:bottom w:val="none" w:sz="0" w:space="0" w:color="auto"/>
                <w:right w:val="none" w:sz="0" w:space="0" w:color="auto"/>
              </w:divBdr>
            </w:div>
            <w:div w:id="513030719">
              <w:marLeft w:val="0"/>
              <w:marRight w:val="0"/>
              <w:marTop w:val="0"/>
              <w:marBottom w:val="0"/>
              <w:divBdr>
                <w:top w:val="none" w:sz="0" w:space="0" w:color="auto"/>
                <w:left w:val="none" w:sz="0" w:space="0" w:color="auto"/>
                <w:bottom w:val="none" w:sz="0" w:space="0" w:color="auto"/>
                <w:right w:val="none" w:sz="0" w:space="0" w:color="auto"/>
              </w:divBdr>
            </w:div>
            <w:div w:id="664624136">
              <w:marLeft w:val="0"/>
              <w:marRight w:val="0"/>
              <w:marTop w:val="0"/>
              <w:marBottom w:val="0"/>
              <w:divBdr>
                <w:top w:val="none" w:sz="0" w:space="0" w:color="auto"/>
                <w:left w:val="none" w:sz="0" w:space="0" w:color="auto"/>
                <w:bottom w:val="none" w:sz="0" w:space="0" w:color="auto"/>
                <w:right w:val="none" w:sz="0" w:space="0" w:color="auto"/>
              </w:divBdr>
            </w:div>
            <w:div w:id="771170720">
              <w:marLeft w:val="0"/>
              <w:marRight w:val="0"/>
              <w:marTop w:val="0"/>
              <w:marBottom w:val="0"/>
              <w:divBdr>
                <w:top w:val="none" w:sz="0" w:space="0" w:color="auto"/>
                <w:left w:val="none" w:sz="0" w:space="0" w:color="auto"/>
                <w:bottom w:val="none" w:sz="0" w:space="0" w:color="auto"/>
                <w:right w:val="none" w:sz="0" w:space="0" w:color="auto"/>
              </w:divBdr>
            </w:div>
            <w:div w:id="959259206">
              <w:marLeft w:val="0"/>
              <w:marRight w:val="0"/>
              <w:marTop w:val="0"/>
              <w:marBottom w:val="0"/>
              <w:divBdr>
                <w:top w:val="none" w:sz="0" w:space="0" w:color="auto"/>
                <w:left w:val="none" w:sz="0" w:space="0" w:color="auto"/>
                <w:bottom w:val="none" w:sz="0" w:space="0" w:color="auto"/>
                <w:right w:val="none" w:sz="0" w:space="0" w:color="auto"/>
              </w:divBdr>
            </w:div>
            <w:div w:id="1229926612">
              <w:marLeft w:val="0"/>
              <w:marRight w:val="0"/>
              <w:marTop w:val="0"/>
              <w:marBottom w:val="0"/>
              <w:divBdr>
                <w:top w:val="none" w:sz="0" w:space="0" w:color="auto"/>
                <w:left w:val="none" w:sz="0" w:space="0" w:color="auto"/>
                <w:bottom w:val="none" w:sz="0" w:space="0" w:color="auto"/>
                <w:right w:val="none" w:sz="0" w:space="0" w:color="auto"/>
              </w:divBdr>
            </w:div>
            <w:div w:id="1245335268">
              <w:marLeft w:val="0"/>
              <w:marRight w:val="0"/>
              <w:marTop w:val="0"/>
              <w:marBottom w:val="0"/>
              <w:divBdr>
                <w:top w:val="none" w:sz="0" w:space="0" w:color="auto"/>
                <w:left w:val="none" w:sz="0" w:space="0" w:color="auto"/>
                <w:bottom w:val="none" w:sz="0" w:space="0" w:color="auto"/>
                <w:right w:val="none" w:sz="0" w:space="0" w:color="auto"/>
              </w:divBdr>
            </w:div>
            <w:div w:id="1396200840">
              <w:marLeft w:val="0"/>
              <w:marRight w:val="0"/>
              <w:marTop w:val="0"/>
              <w:marBottom w:val="0"/>
              <w:divBdr>
                <w:top w:val="none" w:sz="0" w:space="0" w:color="auto"/>
                <w:left w:val="none" w:sz="0" w:space="0" w:color="auto"/>
                <w:bottom w:val="none" w:sz="0" w:space="0" w:color="auto"/>
                <w:right w:val="none" w:sz="0" w:space="0" w:color="auto"/>
              </w:divBdr>
            </w:div>
            <w:div w:id="1422290006">
              <w:marLeft w:val="0"/>
              <w:marRight w:val="0"/>
              <w:marTop w:val="0"/>
              <w:marBottom w:val="0"/>
              <w:divBdr>
                <w:top w:val="none" w:sz="0" w:space="0" w:color="auto"/>
                <w:left w:val="none" w:sz="0" w:space="0" w:color="auto"/>
                <w:bottom w:val="none" w:sz="0" w:space="0" w:color="auto"/>
                <w:right w:val="none" w:sz="0" w:space="0" w:color="auto"/>
              </w:divBdr>
            </w:div>
            <w:div w:id="1425567287">
              <w:marLeft w:val="0"/>
              <w:marRight w:val="0"/>
              <w:marTop w:val="0"/>
              <w:marBottom w:val="0"/>
              <w:divBdr>
                <w:top w:val="none" w:sz="0" w:space="0" w:color="auto"/>
                <w:left w:val="none" w:sz="0" w:space="0" w:color="auto"/>
                <w:bottom w:val="none" w:sz="0" w:space="0" w:color="auto"/>
                <w:right w:val="none" w:sz="0" w:space="0" w:color="auto"/>
              </w:divBdr>
            </w:div>
            <w:div w:id="1793595363">
              <w:marLeft w:val="0"/>
              <w:marRight w:val="0"/>
              <w:marTop w:val="0"/>
              <w:marBottom w:val="0"/>
              <w:divBdr>
                <w:top w:val="none" w:sz="0" w:space="0" w:color="auto"/>
                <w:left w:val="none" w:sz="0" w:space="0" w:color="auto"/>
                <w:bottom w:val="none" w:sz="0" w:space="0" w:color="auto"/>
                <w:right w:val="none" w:sz="0" w:space="0" w:color="auto"/>
              </w:divBdr>
            </w:div>
            <w:div w:id="1847095382">
              <w:marLeft w:val="0"/>
              <w:marRight w:val="0"/>
              <w:marTop w:val="0"/>
              <w:marBottom w:val="0"/>
              <w:divBdr>
                <w:top w:val="none" w:sz="0" w:space="0" w:color="auto"/>
                <w:left w:val="none" w:sz="0" w:space="0" w:color="auto"/>
                <w:bottom w:val="none" w:sz="0" w:space="0" w:color="auto"/>
                <w:right w:val="none" w:sz="0" w:space="0" w:color="auto"/>
              </w:divBdr>
            </w:div>
            <w:div w:id="1988581507">
              <w:marLeft w:val="0"/>
              <w:marRight w:val="0"/>
              <w:marTop w:val="0"/>
              <w:marBottom w:val="0"/>
              <w:divBdr>
                <w:top w:val="none" w:sz="0" w:space="0" w:color="auto"/>
                <w:left w:val="none" w:sz="0" w:space="0" w:color="auto"/>
                <w:bottom w:val="none" w:sz="0" w:space="0" w:color="auto"/>
                <w:right w:val="none" w:sz="0" w:space="0" w:color="auto"/>
              </w:divBdr>
            </w:div>
            <w:div w:id="2080789023">
              <w:marLeft w:val="0"/>
              <w:marRight w:val="0"/>
              <w:marTop w:val="0"/>
              <w:marBottom w:val="0"/>
              <w:divBdr>
                <w:top w:val="none" w:sz="0" w:space="0" w:color="auto"/>
                <w:left w:val="none" w:sz="0" w:space="0" w:color="auto"/>
                <w:bottom w:val="none" w:sz="0" w:space="0" w:color="auto"/>
                <w:right w:val="none" w:sz="0" w:space="0" w:color="auto"/>
              </w:divBdr>
            </w:div>
            <w:div w:id="211859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417239711">
      <w:bodyDiv w:val="1"/>
      <w:marLeft w:val="0"/>
      <w:marRight w:val="0"/>
      <w:marTop w:val="0"/>
      <w:marBottom w:val="0"/>
      <w:divBdr>
        <w:top w:val="none" w:sz="0" w:space="0" w:color="auto"/>
        <w:left w:val="none" w:sz="0" w:space="0" w:color="auto"/>
        <w:bottom w:val="none" w:sz="0" w:space="0" w:color="auto"/>
        <w:right w:val="none" w:sz="0" w:space="0" w:color="auto"/>
      </w:divBdr>
      <w:divsChild>
        <w:div w:id="85661310">
          <w:marLeft w:val="0"/>
          <w:marRight w:val="0"/>
          <w:marTop w:val="0"/>
          <w:marBottom w:val="0"/>
          <w:divBdr>
            <w:top w:val="none" w:sz="0" w:space="0" w:color="auto"/>
            <w:left w:val="none" w:sz="0" w:space="0" w:color="auto"/>
            <w:bottom w:val="none" w:sz="0" w:space="0" w:color="auto"/>
            <w:right w:val="none" w:sz="0" w:space="0" w:color="auto"/>
          </w:divBdr>
        </w:div>
        <w:div w:id="104539883">
          <w:marLeft w:val="0"/>
          <w:marRight w:val="0"/>
          <w:marTop w:val="0"/>
          <w:marBottom w:val="0"/>
          <w:divBdr>
            <w:top w:val="none" w:sz="0" w:space="0" w:color="auto"/>
            <w:left w:val="none" w:sz="0" w:space="0" w:color="auto"/>
            <w:bottom w:val="none" w:sz="0" w:space="0" w:color="auto"/>
            <w:right w:val="none" w:sz="0" w:space="0" w:color="auto"/>
          </w:divBdr>
        </w:div>
        <w:div w:id="173106480">
          <w:marLeft w:val="0"/>
          <w:marRight w:val="0"/>
          <w:marTop w:val="0"/>
          <w:marBottom w:val="0"/>
          <w:divBdr>
            <w:top w:val="none" w:sz="0" w:space="0" w:color="auto"/>
            <w:left w:val="none" w:sz="0" w:space="0" w:color="auto"/>
            <w:bottom w:val="none" w:sz="0" w:space="0" w:color="auto"/>
            <w:right w:val="none" w:sz="0" w:space="0" w:color="auto"/>
          </w:divBdr>
        </w:div>
        <w:div w:id="189228373">
          <w:marLeft w:val="0"/>
          <w:marRight w:val="0"/>
          <w:marTop w:val="0"/>
          <w:marBottom w:val="0"/>
          <w:divBdr>
            <w:top w:val="none" w:sz="0" w:space="0" w:color="auto"/>
            <w:left w:val="none" w:sz="0" w:space="0" w:color="auto"/>
            <w:bottom w:val="none" w:sz="0" w:space="0" w:color="auto"/>
            <w:right w:val="none" w:sz="0" w:space="0" w:color="auto"/>
          </w:divBdr>
        </w:div>
        <w:div w:id="244270865">
          <w:marLeft w:val="0"/>
          <w:marRight w:val="0"/>
          <w:marTop w:val="0"/>
          <w:marBottom w:val="0"/>
          <w:divBdr>
            <w:top w:val="none" w:sz="0" w:space="0" w:color="auto"/>
            <w:left w:val="none" w:sz="0" w:space="0" w:color="auto"/>
            <w:bottom w:val="none" w:sz="0" w:space="0" w:color="auto"/>
            <w:right w:val="none" w:sz="0" w:space="0" w:color="auto"/>
          </w:divBdr>
        </w:div>
        <w:div w:id="300231634">
          <w:marLeft w:val="0"/>
          <w:marRight w:val="0"/>
          <w:marTop w:val="0"/>
          <w:marBottom w:val="0"/>
          <w:divBdr>
            <w:top w:val="none" w:sz="0" w:space="0" w:color="auto"/>
            <w:left w:val="none" w:sz="0" w:space="0" w:color="auto"/>
            <w:bottom w:val="none" w:sz="0" w:space="0" w:color="auto"/>
            <w:right w:val="none" w:sz="0" w:space="0" w:color="auto"/>
          </w:divBdr>
        </w:div>
        <w:div w:id="385179000">
          <w:marLeft w:val="0"/>
          <w:marRight w:val="0"/>
          <w:marTop w:val="0"/>
          <w:marBottom w:val="0"/>
          <w:divBdr>
            <w:top w:val="none" w:sz="0" w:space="0" w:color="auto"/>
            <w:left w:val="none" w:sz="0" w:space="0" w:color="auto"/>
            <w:bottom w:val="none" w:sz="0" w:space="0" w:color="auto"/>
            <w:right w:val="none" w:sz="0" w:space="0" w:color="auto"/>
          </w:divBdr>
        </w:div>
        <w:div w:id="455416538">
          <w:marLeft w:val="0"/>
          <w:marRight w:val="0"/>
          <w:marTop w:val="0"/>
          <w:marBottom w:val="0"/>
          <w:divBdr>
            <w:top w:val="none" w:sz="0" w:space="0" w:color="auto"/>
            <w:left w:val="none" w:sz="0" w:space="0" w:color="auto"/>
            <w:bottom w:val="none" w:sz="0" w:space="0" w:color="auto"/>
            <w:right w:val="none" w:sz="0" w:space="0" w:color="auto"/>
          </w:divBdr>
        </w:div>
        <w:div w:id="466506178">
          <w:marLeft w:val="0"/>
          <w:marRight w:val="0"/>
          <w:marTop w:val="0"/>
          <w:marBottom w:val="0"/>
          <w:divBdr>
            <w:top w:val="none" w:sz="0" w:space="0" w:color="auto"/>
            <w:left w:val="none" w:sz="0" w:space="0" w:color="auto"/>
            <w:bottom w:val="none" w:sz="0" w:space="0" w:color="auto"/>
            <w:right w:val="none" w:sz="0" w:space="0" w:color="auto"/>
          </w:divBdr>
        </w:div>
        <w:div w:id="482238901">
          <w:marLeft w:val="0"/>
          <w:marRight w:val="0"/>
          <w:marTop w:val="0"/>
          <w:marBottom w:val="0"/>
          <w:divBdr>
            <w:top w:val="none" w:sz="0" w:space="0" w:color="auto"/>
            <w:left w:val="none" w:sz="0" w:space="0" w:color="auto"/>
            <w:bottom w:val="none" w:sz="0" w:space="0" w:color="auto"/>
            <w:right w:val="none" w:sz="0" w:space="0" w:color="auto"/>
          </w:divBdr>
        </w:div>
        <w:div w:id="607010846">
          <w:marLeft w:val="0"/>
          <w:marRight w:val="0"/>
          <w:marTop w:val="0"/>
          <w:marBottom w:val="0"/>
          <w:divBdr>
            <w:top w:val="none" w:sz="0" w:space="0" w:color="auto"/>
            <w:left w:val="none" w:sz="0" w:space="0" w:color="auto"/>
            <w:bottom w:val="none" w:sz="0" w:space="0" w:color="auto"/>
            <w:right w:val="none" w:sz="0" w:space="0" w:color="auto"/>
          </w:divBdr>
        </w:div>
        <w:div w:id="607735952">
          <w:marLeft w:val="0"/>
          <w:marRight w:val="0"/>
          <w:marTop w:val="0"/>
          <w:marBottom w:val="0"/>
          <w:divBdr>
            <w:top w:val="none" w:sz="0" w:space="0" w:color="auto"/>
            <w:left w:val="none" w:sz="0" w:space="0" w:color="auto"/>
            <w:bottom w:val="none" w:sz="0" w:space="0" w:color="auto"/>
            <w:right w:val="none" w:sz="0" w:space="0" w:color="auto"/>
          </w:divBdr>
        </w:div>
        <w:div w:id="722679290">
          <w:marLeft w:val="0"/>
          <w:marRight w:val="0"/>
          <w:marTop w:val="0"/>
          <w:marBottom w:val="0"/>
          <w:divBdr>
            <w:top w:val="none" w:sz="0" w:space="0" w:color="auto"/>
            <w:left w:val="none" w:sz="0" w:space="0" w:color="auto"/>
            <w:bottom w:val="none" w:sz="0" w:space="0" w:color="auto"/>
            <w:right w:val="none" w:sz="0" w:space="0" w:color="auto"/>
          </w:divBdr>
        </w:div>
        <w:div w:id="824856439">
          <w:marLeft w:val="0"/>
          <w:marRight w:val="0"/>
          <w:marTop w:val="0"/>
          <w:marBottom w:val="0"/>
          <w:divBdr>
            <w:top w:val="none" w:sz="0" w:space="0" w:color="auto"/>
            <w:left w:val="none" w:sz="0" w:space="0" w:color="auto"/>
            <w:bottom w:val="none" w:sz="0" w:space="0" w:color="auto"/>
            <w:right w:val="none" w:sz="0" w:space="0" w:color="auto"/>
          </w:divBdr>
        </w:div>
        <w:div w:id="924074752">
          <w:marLeft w:val="0"/>
          <w:marRight w:val="0"/>
          <w:marTop w:val="0"/>
          <w:marBottom w:val="0"/>
          <w:divBdr>
            <w:top w:val="none" w:sz="0" w:space="0" w:color="auto"/>
            <w:left w:val="none" w:sz="0" w:space="0" w:color="auto"/>
            <w:bottom w:val="none" w:sz="0" w:space="0" w:color="auto"/>
            <w:right w:val="none" w:sz="0" w:space="0" w:color="auto"/>
          </w:divBdr>
        </w:div>
        <w:div w:id="1028413485">
          <w:marLeft w:val="0"/>
          <w:marRight w:val="0"/>
          <w:marTop w:val="0"/>
          <w:marBottom w:val="0"/>
          <w:divBdr>
            <w:top w:val="none" w:sz="0" w:space="0" w:color="auto"/>
            <w:left w:val="none" w:sz="0" w:space="0" w:color="auto"/>
            <w:bottom w:val="none" w:sz="0" w:space="0" w:color="auto"/>
            <w:right w:val="none" w:sz="0" w:space="0" w:color="auto"/>
          </w:divBdr>
        </w:div>
        <w:div w:id="1066729896">
          <w:marLeft w:val="0"/>
          <w:marRight w:val="0"/>
          <w:marTop w:val="0"/>
          <w:marBottom w:val="0"/>
          <w:divBdr>
            <w:top w:val="none" w:sz="0" w:space="0" w:color="auto"/>
            <w:left w:val="none" w:sz="0" w:space="0" w:color="auto"/>
            <w:bottom w:val="none" w:sz="0" w:space="0" w:color="auto"/>
            <w:right w:val="none" w:sz="0" w:space="0" w:color="auto"/>
          </w:divBdr>
        </w:div>
        <w:div w:id="1168446662">
          <w:marLeft w:val="0"/>
          <w:marRight w:val="0"/>
          <w:marTop w:val="0"/>
          <w:marBottom w:val="0"/>
          <w:divBdr>
            <w:top w:val="none" w:sz="0" w:space="0" w:color="auto"/>
            <w:left w:val="none" w:sz="0" w:space="0" w:color="auto"/>
            <w:bottom w:val="none" w:sz="0" w:space="0" w:color="auto"/>
            <w:right w:val="none" w:sz="0" w:space="0" w:color="auto"/>
          </w:divBdr>
        </w:div>
        <w:div w:id="1177617160">
          <w:marLeft w:val="0"/>
          <w:marRight w:val="0"/>
          <w:marTop w:val="0"/>
          <w:marBottom w:val="0"/>
          <w:divBdr>
            <w:top w:val="none" w:sz="0" w:space="0" w:color="auto"/>
            <w:left w:val="none" w:sz="0" w:space="0" w:color="auto"/>
            <w:bottom w:val="none" w:sz="0" w:space="0" w:color="auto"/>
            <w:right w:val="none" w:sz="0" w:space="0" w:color="auto"/>
          </w:divBdr>
        </w:div>
        <w:div w:id="1239827302">
          <w:marLeft w:val="0"/>
          <w:marRight w:val="0"/>
          <w:marTop w:val="0"/>
          <w:marBottom w:val="0"/>
          <w:divBdr>
            <w:top w:val="none" w:sz="0" w:space="0" w:color="auto"/>
            <w:left w:val="none" w:sz="0" w:space="0" w:color="auto"/>
            <w:bottom w:val="none" w:sz="0" w:space="0" w:color="auto"/>
            <w:right w:val="none" w:sz="0" w:space="0" w:color="auto"/>
          </w:divBdr>
        </w:div>
        <w:div w:id="1240561616">
          <w:marLeft w:val="0"/>
          <w:marRight w:val="0"/>
          <w:marTop w:val="0"/>
          <w:marBottom w:val="0"/>
          <w:divBdr>
            <w:top w:val="none" w:sz="0" w:space="0" w:color="auto"/>
            <w:left w:val="none" w:sz="0" w:space="0" w:color="auto"/>
            <w:bottom w:val="none" w:sz="0" w:space="0" w:color="auto"/>
            <w:right w:val="none" w:sz="0" w:space="0" w:color="auto"/>
          </w:divBdr>
        </w:div>
        <w:div w:id="1271666520">
          <w:marLeft w:val="0"/>
          <w:marRight w:val="0"/>
          <w:marTop w:val="0"/>
          <w:marBottom w:val="0"/>
          <w:divBdr>
            <w:top w:val="none" w:sz="0" w:space="0" w:color="auto"/>
            <w:left w:val="none" w:sz="0" w:space="0" w:color="auto"/>
            <w:bottom w:val="none" w:sz="0" w:space="0" w:color="auto"/>
            <w:right w:val="none" w:sz="0" w:space="0" w:color="auto"/>
          </w:divBdr>
        </w:div>
        <w:div w:id="1281063071">
          <w:marLeft w:val="0"/>
          <w:marRight w:val="0"/>
          <w:marTop w:val="0"/>
          <w:marBottom w:val="0"/>
          <w:divBdr>
            <w:top w:val="none" w:sz="0" w:space="0" w:color="auto"/>
            <w:left w:val="none" w:sz="0" w:space="0" w:color="auto"/>
            <w:bottom w:val="none" w:sz="0" w:space="0" w:color="auto"/>
            <w:right w:val="none" w:sz="0" w:space="0" w:color="auto"/>
          </w:divBdr>
        </w:div>
        <w:div w:id="1397314998">
          <w:marLeft w:val="0"/>
          <w:marRight w:val="0"/>
          <w:marTop w:val="0"/>
          <w:marBottom w:val="0"/>
          <w:divBdr>
            <w:top w:val="none" w:sz="0" w:space="0" w:color="auto"/>
            <w:left w:val="none" w:sz="0" w:space="0" w:color="auto"/>
            <w:bottom w:val="none" w:sz="0" w:space="0" w:color="auto"/>
            <w:right w:val="none" w:sz="0" w:space="0" w:color="auto"/>
          </w:divBdr>
        </w:div>
        <w:div w:id="1488201864">
          <w:marLeft w:val="0"/>
          <w:marRight w:val="0"/>
          <w:marTop w:val="0"/>
          <w:marBottom w:val="0"/>
          <w:divBdr>
            <w:top w:val="none" w:sz="0" w:space="0" w:color="auto"/>
            <w:left w:val="none" w:sz="0" w:space="0" w:color="auto"/>
            <w:bottom w:val="none" w:sz="0" w:space="0" w:color="auto"/>
            <w:right w:val="none" w:sz="0" w:space="0" w:color="auto"/>
          </w:divBdr>
        </w:div>
        <w:div w:id="1565943909">
          <w:marLeft w:val="0"/>
          <w:marRight w:val="0"/>
          <w:marTop w:val="0"/>
          <w:marBottom w:val="0"/>
          <w:divBdr>
            <w:top w:val="none" w:sz="0" w:space="0" w:color="auto"/>
            <w:left w:val="none" w:sz="0" w:space="0" w:color="auto"/>
            <w:bottom w:val="none" w:sz="0" w:space="0" w:color="auto"/>
            <w:right w:val="none" w:sz="0" w:space="0" w:color="auto"/>
          </w:divBdr>
        </w:div>
        <w:div w:id="1613588765">
          <w:marLeft w:val="0"/>
          <w:marRight w:val="0"/>
          <w:marTop w:val="0"/>
          <w:marBottom w:val="0"/>
          <w:divBdr>
            <w:top w:val="none" w:sz="0" w:space="0" w:color="auto"/>
            <w:left w:val="none" w:sz="0" w:space="0" w:color="auto"/>
            <w:bottom w:val="none" w:sz="0" w:space="0" w:color="auto"/>
            <w:right w:val="none" w:sz="0" w:space="0" w:color="auto"/>
          </w:divBdr>
        </w:div>
        <w:div w:id="1635914296">
          <w:marLeft w:val="0"/>
          <w:marRight w:val="0"/>
          <w:marTop w:val="0"/>
          <w:marBottom w:val="0"/>
          <w:divBdr>
            <w:top w:val="none" w:sz="0" w:space="0" w:color="auto"/>
            <w:left w:val="none" w:sz="0" w:space="0" w:color="auto"/>
            <w:bottom w:val="none" w:sz="0" w:space="0" w:color="auto"/>
            <w:right w:val="none" w:sz="0" w:space="0" w:color="auto"/>
          </w:divBdr>
        </w:div>
        <w:div w:id="1649746833">
          <w:marLeft w:val="0"/>
          <w:marRight w:val="0"/>
          <w:marTop w:val="0"/>
          <w:marBottom w:val="0"/>
          <w:divBdr>
            <w:top w:val="none" w:sz="0" w:space="0" w:color="auto"/>
            <w:left w:val="none" w:sz="0" w:space="0" w:color="auto"/>
            <w:bottom w:val="none" w:sz="0" w:space="0" w:color="auto"/>
            <w:right w:val="none" w:sz="0" w:space="0" w:color="auto"/>
          </w:divBdr>
        </w:div>
        <w:div w:id="1703551755">
          <w:marLeft w:val="0"/>
          <w:marRight w:val="0"/>
          <w:marTop w:val="0"/>
          <w:marBottom w:val="0"/>
          <w:divBdr>
            <w:top w:val="none" w:sz="0" w:space="0" w:color="auto"/>
            <w:left w:val="none" w:sz="0" w:space="0" w:color="auto"/>
            <w:bottom w:val="none" w:sz="0" w:space="0" w:color="auto"/>
            <w:right w:val="none" w:sz="0" w:space="0" w:color="auto"/>
          </w:divBdr>
        </w:div>
        <w:div w:id="1704400011">
          <w:marLeft w:val="0"/>
          <w:marRight w:val="0"/>
          <w:marTop w:val="0"/>
          <w:marBottom w:val="0"/>
          <w:divBdr>
            <w:top w:val="none" w:sz="0" w:space="0" w:color="auto"/>
            <w:left w:val="none" w:sz="0" w:space="0" w:color="auto"/>
            <w:bottom w:val="none" w:sz="0" w:space="0" w:color="auto"/>
            <w:right w:val="none" w:sz="0" w:space="0" w:color="auto"/>
          </w:divBdr>
        </w:div>
        <w:div w:id="1863592304">
          <w:marLeft w:val="0"/>
          <w:marRight w:val="0"/>
          <w:marTop w:val="0"/>
          <w:marBottom w:val="0"/>
          <w:divBdr>
            <w:top w:val="none" w:sz="0" w:space="0" w:color="auto"/>
            <w:left w:val="none" w:sz="0" w:space="0" w:color="auto"/>
            <w:bottom w:val="none" w:sz="0" w:space="0" w:color="auto"/>
            <w:right w:val="none" w:sz="0" w:space="0" w:color="auto"/>
          </w:divBdr>
        </w:div>
        <w:div w:id="2077118592">
          <w:marLeft w:val="0"/>
          <w:marRight w:val="0"/>
          <w:marTop w:val="0"/>
          <w:marBottom w:val="0"/>
          <w:divBdr>
            <w:top w:val="none" w:sz="0" w:space="0" w:color="auto"/>
            <w:left w:val="none" w:sz="0" w:space="0" w:color="auto"/>
            <w:bottom w:val="none" w:sz="0" w:space="0" w:color="auto"/>
            <w:right w:val="none" w:sz="0" w:space="0" w:color="auto"/>
          </w:divBdr>
        </w:div>
        <w:div w:id="2090420488">
          <w:marLeft w:val="0"/>
          <w:marRight w:val="0"/>
          <w:marTop w:val="0"/>
          <w:marBottom w:val="0"/>
          <w:divBdr>
            <w:top w:val="none" w:sz="0" w:space="0" w:color="auto"/>
            <w:left w:val="none" w:sz="0" w:space="0" w:color="auto"/>
            <w:bottom w:val="none" w:sz="0" w:space="0" w:color="auto"/>
            <w:right w:val="none" w:sz="0" w:space="0" w:color="auto"/>
          </w:divBdr>
        </w:div>
        <w:div w:id="2091074697">
          <w:marLeft w:val="0"/>
          <w:marRight w:val="0"/>
          <w:marTop w:val="0"/>
          <w:marBottom w:val="0"/>
          <w:divBdr>
            <w:top w:val="none" w:sz="0" w:space="0" w:color="auto"/>
            <w:left w:val="none" w:sz="0" w:space="0" w:color="auto"/>
            <w:bottom w:val="none" w:sz="0" w:space="0" w:color="auto"/>
            <w:right w:val="none" w:sz="0" w:space="0" w:color="auto"/>
          </w:divBdr>
        </w:div>
      </w:divsChild>
    </w:div>
    <w:div w:id="1587376201">
      <w:bodyDiv w:val="1"/>
      <w:marLeft w:val="0"/>
      <w:marRight w:val="0"/>
      <w:marTop w:val="0"/>
      <w:marBottom w:val="0"/>
      <w:divBdr>
        <w:top w:val="none" w:sz="0" w:space="0" w:color="auto"/>
        <w:left w:val="none" w:sz="0" w:space="0" w:color="auto"/>
        <w:bottom w:val="none" w:sz="0" w:space="0" w:color="auto"/>
        <w:right w:val="none" w:sz="0" w:space="0" w:color="auto"/>
      </w:divBdr>
      <w:divsChild>
        <w:div w:id="85267294">
          <w:marLeft w:val="0"/>
          <w:marRight w:val="0"/>
          <w:marTop w:val="0"/>
          <w:marBottom w:val="0"/>
          <w:divBdr>
            <w:top w:val="none" w:sz="0" w:space="0" w:color="auto"/>
            <w:left w:val="none" w:sz="0" w:space="0" w:color="auto"/>
            <w:bottom w:val="none" w:sz="0" w:space="0" w:color="auto"/>
            <w:right w:val="none" w:sz="0" w:space="0" w:color="auto"/>
          </w:divBdr>
        </w:div>
        <w:div w:id="116722610">
          <w:marLeft w:val="0"/>
          <w:marRight w:val="0"/>
          <w:marTop w:val="0"/>
          <w:marBottom w:val="0"/>
          <w:divBdr>
            <w:top w:val="none" w:sz="0" w:space="0" w:color="auto"/>
            <w:left w:val="none" w:sz="0" w:space="0" w:color="auto"/>
            <w:bottom w:val="none" w:sz="0" w:space="0" w:color="auto"/>
            <w:right w:val="none" w:sz="0" w:space="0" w:color="auto"/>
          </w:divBdr>
        </w:div>
        <w:div w:id="204875923">
          <w:marLeft w:val="0"/>
          <w:marRight w:val="0"/>
          <w:marTop w:val="0"/>
          <w:marBottom w:val="0"/>
          <w:divBdr>
            <w:top w:val="none" w:sz="0" w:space="0" w:color="auto"/>
            <w:left w:val="none" w:sz="0" w:space="0" w:color="auto"/>
            <w:bottom w:val="none" w:sz="0" w:space="0" w:color="auto"/>
            <w:right w:val="none" w:sz="0" w:space="0" w:color="auto"/>
          </w:divBdr>
        </w:div>
        <w:div w:id="220868958">
          <w:marLeft w:val="0"/>
          <w:marRight w:val="0"/>
          <w:marTop w:val="0"/>
          <w:marBottom w:val="0"/>
          <w:divBdr>
            <w:top w:val="none" w:sz="0" w:space="0" w:color="auto"/>
            <w:left w:val="none" w:sz="0" w:space="0" w:color="auto"/>
            <w:bottom w:val="none" w:sz="0" w:space="0" w:color="auto"/>
            <w:right w:val="none" w:sz="0" w:space="0" w:color="auto"/>
          </w:divBdr>
        </w:div>
        <w:div w:id="224994980">
          <w:marLeft w:val="0"/>
          <w:marRight w:val="0"/>
          <w:marTop w:val="0"/>
          <w:marBottom w:val="0"/>
          <w:divBdr>
            <w:top w:val="none" w:sz="0" w:space="0" w:color="auto"/>
            <w:left w:val="none" w:sz="0" w:space="0" w:color="auto"/>
            <w:bottom w:val="none" w:sz="0" w:space="0" w:color="auto"/>
            <w:right w:val="none" w:sz="0" w:space="0" w:color="auto"/>
          </w:divBdr>
        </w:div>
        <w:div w:id="240529908">
          <w:marLeft w:val="0"/>
          <w:marRight w:val="0"/>
          <w:marTop w:val="0"/>
          <w:marBottom w:val="0"/>
          <w:divBdr>
            <w:top w:val="none" w:sz="0" w:space="0" w:color="auto"/>
            <w:left w:val="none" w:sz="0" w:space="0" w:color="auto"/>
            <w:bottom w:val="none" w:sz="0" w:space="0" w:color="auto"/>
            <w:right w:val="none" w:sz="0" w:space="0" w:color="auto"/>
          </w:divBdr>
        </w:div>
        <w:div w:id="283580852">
          <w:marLeft w:val="0"/>
          <w:marRight w:val="0"/>
          <w:marTop w:val="0"/>
          <w:marBottom w:val="0"/>
          <w:divBdr>
            <w:top w:val="none" w:sz="0" w:space="0" w:color="auto"/>
            <w:left w:val="none" w:sz="0" w:space="0" w:color="auto"/>
            <w:bottom w:val="none" w:sz="0" w:space="0" w:color="auto"/>
            <w:right w:val="none" w:sz="0" w:space="0" w:color="auto"/>
          </w:divBdr>
        </w:div>
        <w:div w:id="358094354">
          <w:marLeft w:val="0"/>
          <w:marRight w:val="0"/>
          <w:marTop w:val="0"/>
          <w:marBottom w:val="0"/>
          <w:divBdr>
            <w:top w:val="none" w:sz="0" w:space="0" w:color="auto"/>
            <w:left w:val="none" w:sz="0" w:space="0" w:color="auto"/>
            <w:bottom w:val="none" w:sz="0" w:space="0" w:color="auto"/>
            <w:right w:val="none" w:sz="0" w:space="0" w:color="auto"/>
          </w:divBdr>
        </w:div>
        <w:div w:id="440799967">
          <w:marLeft w:val="0"/>
          <w:marRight w:val="0"/>
          <w:marTop w:val="0"/>
          <w:marBottom w:val="0"/>
          <w:divBdr>
            <w:top w:val="none" w:sz="0" w:space="0" w:color="auto"/>
            <w:left w:val="none" w:sz="0" w:space="0" w:color="auto"/>
            <w:bottom w:val="none" w:sz="0" w:space="0" w:color="auto"/>
            <w:right w:val="none" w:sz="0" w:space="0" w:color="auto"/>
          </w:divBdr>
        </w:div>
        <w:div w:id="449325807">
          <w:marLeft w:val="0"/>
          <w:marRight w:val="0"/>
          <w:marTop w:val="0"/>
          <w:marBottom w:val="0"/>
          <w:divBdr>
            <w:top w:val="none" w:sz="0" w:space="0" w:color="auto"/>
            <w:left w:val="none" w:sz="0" w:space="0" w:color="auto"/>
            <w:bottom w:val="none" w:sz="0" w:space="0" w:color="auto"/>
            <w:right w:val="none" w:sz="0" w:space="0" w:color="auto"/>
          </w:divBdr>
        </w:div>
        <w:div w:id="459037471">
          <w:marLeft w:val="0"/>
          <w:marRight w:val="0"/>
          <w:marTop w:val="0"/>
          <w:marBottom w:val="0"/>
          <w:divBdr>
            <w:top w:val="none" w:sz="0" w:space="0" w:color="auto"/>
            <w:left w:val="none" w:sz="0" w:space="0" w:color="auto"/>
            <w:bottom w:val="none" w:sz="0" w:space="0" w:color="auto"/>
            <w:right w:val="none" w:sz="0" w:space="0" w:color="auto"/>
          </w:divBdr>
        </w:div>
        <w:div w:id="650911219">
          <w:marLeft w:val="0"/>
          <w:marRight w:val="0"/>
          <w:marTop w:val="0"/>
          <w:marBottom w:val="0"/>
          <w:divBdr>
            <w:top w:val="none" w:sz="0" w:space="0" w:color="auto"/>
            <w:left w:val="none" w:sz="0" w:space="0" w:color="auto"/>
            <w:bottom w:val="none" w:sz="0" w:space="0" w:color="auto"/>
            <w:right w:val="none" w:sz="0" w:space="0" w:color="auto"/>
          </w:divBdr>
        </w:div>
        <w:div w:id="689257583">
          <w:marLeft w:val="0"/>
          <w:marRight w:val="0"/>
          <w:marTop w:val="0"/>
          <w:marBottom w:val="0"/>
          <w:divBdr>
            <w:top w:val="none" w:sz="0" w:space="0" w:color="auto"/>
            <w:left w:val="none" w:sz="0" w:space="0" w:color="auto"/>
            <w:bottom w:val="none" w:sz="0" w:space="0" w:color="auto"/>
            <w:right w:val="none" w:sz="0" w:space="0" w:color="auto"/>
          </w:divBdr>
        </w:div>
        <w:div w:id="730081434">
          <w:marLeft w:val="0"/>
          <w:marRight w:val="0"/>
          <w:marTop w:val="0"/>
          <w:marBottom w:val="0"/>
          <w:divBdr>
            <w:top w:val="none" w:sz="0" w:space="0" w:color="auto"/>
            <w:left w:val="none" w:sz="0" w:space="0" w:color="auto"/>
            <w:bottom w:val="none" w:sz="0" w:space="0" w:color="auto"/>
            <w:right w:val="none" w:sz="0" w:space="0" w:color="auto"/>
          </w:divBdr>
        </w:div>
        <w:div w:id="744646466">
          <w:marLeft w:val="0"/>
          <w:marRight w:val="0"/>
          <w:marTop w:val="0"/>
          <w:marBottom w:val="0"/>
          <w:divBdr>
            <w:top w:val="none" w:sz="0" w:space="0" w:color="auto"/>
            <w:left w:val="none" w:sz="0" w:space="0" w:color="auto"/>
            <w:bottom w:val="none" w:sz="0" w:space="0" w:color="auto"/>
            <w:right w:val="none" w:sz="0" w:space="0" w:color="auto"/>
          </w:divBdr>
        </w:div>
        <w:div w:id="779568993">
          <w:marLeft w:val="0"/>
          <w:marRight w:val="0"/>
          <w:marTop w:val="0"/>
          <w:marBottom w:val="0"/>
          <w:divBdr>
            <w:top w:val="none" w:sz="0" w:space="0" w:color="auto"/>
            <w:left w:val="none" w:sz="0" w:space="0" w:color="auto"/>
            <w:bottom w:val="none" w:sz="0" w:space="0" w:color="auto"/>
            <w:right w:val="none" w:sz="0" w:space="0" w:color="auto"/>
          </w:divBdr>
        </w:div>
        <w:div w:id="856045482">
          <w:marLeft w:val="0"/>
          <w:marRight w:val="0"/>
          <w:marTop w:val="0"/>
          <w:marBottom w:val="0"/>
          <w:divBdr>
            <w:top w:val="none" w:sz="0" w:space="0" w:color="auto"/>
            <w:left w:val="none" w:sz="0" w:space="0" w:color="auto"/>
            <w:bottom w:val="none" w:sz="0" w:space="0" w:color="auto"/>
            <w:right w:val="none" w:sz="0" w:space="0" w:color="auto"/>
          </w:divBdr>
        </w:div>
        <w:div w:id="989947557">
          <w:marLeft w:val="0"/>
          <w:marRight w:val="0"/>
          <w:marTop w:val="0"/>
          <w:marBottom w:val="0"/>
          <w:divBdr>
            <w:top w:val="none" w:sz="0" w:space="0" w:color="auto"/>
            <w:left w:val="none" w:sz="0" w:space="0" w:color="auto"/>
            <w:bottom w:val="none" w:sz="0" w:space="0" w:color="auto"/>
            <w:right w:val="none" w:sz="0" w:space="0" w:color="auto"/>
          </w:divBdr>
        </w:div>
        <w:div w:id="1002856356">
          <w:marLeft w:val="0"/>
          <w:marRight w:val="0"/>
          <w:marTop w:val="0"/>
          <w:marBottom w:val="0"/>
          <w:divBdr>
            <w:top w:val="none" w:sz="0" w:space="0" w:color="auto"/>
            <w:left w:val="none" w:sz="0" w:space="0" w:color="auto"/>
            <w:bottom w:val="none" w:sz="0" w:space="0" w:color="auto"/>
            <w:right w:val="none" w:sz="0" w:space="0" w:color="auto"/>
          </w:divBdr>
        </w:div>
        <w:div w:id="1033769996">
          <w:marLeft w:val="0"/>
          <w:marRight w:val="0"/>
          <w:marTop w:val="0"/>
          <w:marBottom w:val="0"/>
          <w:divBdr>
            <w:top w:val="none" w:sz="0" w:space="0" w:color="auto"/>
            <w:left w:val="none" w:sz="0" w:space="0" w:color="auto"/>
            <w:bottom w:val="none" w:sz="0" w:space="0" w:color="auto"/>
            <w:right w:val="none" w:sz="0" w:space="0" w:color="auto"/>
          </w:divBdr>
        </w:div>
        <w:div w:id="1086027185">
          <w:marLeft w:val="0"/>
          <w:marRight w:val="0"/>
          <w:marTop w:val="0"/>
          <w:marBottom w:val="0"/>
          <w:divBdr>
            <w:top w:val="none" w:sz="0" w:space="0" w:color="auto"/>
            <w:left w:val="none" w:sz="0" w:space="0" w:color="auto"/>
            <w:bottom w:val="none" w:sz="0" w:space="0" w:color="auto"/>
            <w:right w:val="none" w:sz="0" w:space="0" w:color="auto"/>
          </w:divBdr>
        </w:div>
        <w:div w:id="1095398275">
          <w:marLeft w:val="0"/>
          <w:marRight w:val="0"/>
          <w:marTop w:val="0"/>
          <w:marBottom w:val="0"/>
          <w:divBdr>
            <w:top w:val="none" w:sz="0" w:space="0" w:color="auto"/>
            <w:left w:val="none" w:sz="0" w:space="0" w:color="auto"/>
            <w:bottom w:val="none" w:sz="0" w:space="0" w:color="auto"/>
            <w:right w:val="none" w:sz="0" w:space="0" w:color="auto"/>
          </w:divBdr>
        </w:div>
        <w:div w:id="1134367210">
          <w:marLeft w:val="0"/>
          <w:marRight w:val="0"/>
          <w:marTop w:val="0"/>
          <w:marBottom w:val="0"/>
          <w:divBdr>
            <w:top w:val="none" w:sz="0" w:space="0" w:color="auto"/>
            <w:left w:val="none" w:sz="0" w:space="0" w:color="auto"/>
            <w:bottom w:val="none" w:sz="0" w:space="0" w:color="auto"/>
            <w:right w:val="none" w:sz="0" w:space="0" w:color="auto"/>
          </w:divBdr>
        </w:div>
        <w:div w:id="1246304803">
          <w:marLeft w:val="0"/>
          <w:marRight w:val="0"/>
          <w:marTop w:val="0"/>
          <w:marBottom w:val="0"/>
          <w:divBdr>
            <w:top w:val="none" w:sz="0" w:space="0" w:color="auto"/>
            <w:left w:val="none" w:sz="0" w:space="0" w:color="auto"/>
            <w:bottom w:val="none" w:sz="0" w:space="0" w:color="auto"/>
            <w:right w:val="none" w:sz="0" w:space="0" w:color="auto"/>
          </w:divBdr>
        </w:div>
        <w:div w:id="1275477072">
          <w:marLeft w:val="0"/>
          <w:marRight w:val="0"/>
          <w:marTop w:val="0"/>
          <w:marBottom w:val="0"/>
          <w:divBdr>
            <w:top w:val="none" w:sz="0" w:space="0" w:color="auto"/>
            <w:left w:val="none" w:sz="0" w:space="0" w:color="auto"/>
            <w:bottom w:val="none" w:sz="0" w:space="0" w:color="auto"/>
            <w:right w:val="none" w:sz="0" w:space="0" w:color="auto"/>
          </w:divBdr>
        </w:div>
        <w:div w:id="1279532380">
          <w:marLeft w:val="0"/>
          <w:marRight w:val="0"/>
          <w:marTop w:val="0"/>
          <w:marBottom w:val="0"/>
          <w:divBdr>
            <w:top w:val="none" w:sz="0" w:space="0" w:color="auto"/>
            <w:left w:val="none" w:sz="0" w:space="0" w:color="auto"/>
            <w:bottom w:val="none" w:sz="0" w:space="0" w:color="auto"/>
            <w:right w:val="none" w:sz="0" w:space="0" w:color="auto"/>
          </w:divBdr>
        </w:div>
        <w:div w:id="1580754737">
          <w:marLeft w:val="0"/>
          <w:marRight w:val="0"/>
          <w:marTop w:val="0"/>
          <w:marBottom w:val="0"/>
          <w:divBdr>
            <w:top w:val="none" w:sz="0" w:space="0" w:color="auto"/>
            <w:left w:val="none" w:sz="0" w:space="0" w:color="auto"/>
            <w:bottom w:val="none" w:sz="0" w:space="0" w:color="auto"/>
            <w:right w:val="none" w:sz="0" w:space="0" w:color="auto"/>
          </w:divBdr>
        </w:div>
        <w:div w:id="1624338219">
          <w:marLeft w:val="0"/>
          <w:marRight w:val="0"/>
          <w:marTop w:val="0"/>
          <w:marBottom w:val="0"/>
          <w:divBdr>
            <w:top w:val="none" w:sz="0" w:space="0" w:color="auto"/>
            <w:left w:val="none" w:sz="0" w:space="0" w:color="auto"/>
            <w:bottom w:val="none" w:sz="0" w:space="0" w:color="auto"/>
            <w:right w:val="none" w:sz="0" w:space="0" w:color="auto"/>
          </w:divBdr>
        </w:div>
        <w:div w:id="1648511500">
          <w:marLeft w:val="0"/>
          <w:marRight w:val="0"/>
          <w:marTop w:val="0"/>
          <w:marBottom w:val="0"/>
          <w:divBdr>
            <w:top w:val="none" w:sz="0" w:space="0" w:color="auto"/>
            <w:left w:val="none" w:sz="0" w:space="0" w:color="auto"/>
            <w:bottom w:val="none" w:sz="0" w:space="0" w:color="auto"/>
            <w:right w:val="none" w:sz="0" w:space="0" w:color="auto"/>
          </w:divBdr>
        </w:div>
        <w:div w:id="1669668607">
          <w:marLeft w:val="0"/>
          <w:marRight w:val="0"/>
          <w:marTop w:val="0"/>
          <w:marBottom w:val="0"/>
          <w:divBdr>
            <w:top w:val="none" w:sz="0" w:space="0" w:color="auto"/>
            <w:left w:val="none" w:sz="0" w:space="0" w:color="auto"/>
            <w:bottom w:val="none" w:sz="0" w:space="0" w:color="auto"/>
            <w:right w:val="none" w:sz="0" w:space="0" w:color="auto"/>
          </w:divBdr>
        </w:div>
        <w:div w:id="1746686423">
          <w:marLeft w:val="0"/>
          <w:marRight w:val="0"/>
          <w:marTop w:val="0"/>
          <w:marBottom w:val="0"/>
          <w:divBdr>
            <w:top w:val="none" w:sz="0" w:space="0" w:color="auto"/>
            <w:left w:val="none" w:sz="0" w:space="0" w:color="auto"/>
            <w:bottom w:val="none" w:sz="0" w:space="0" w:color="auto"/>
            <w:right w:val="none" w:sz="0" w:space="0" w:color="auto"/>
          </w:divBdr>
        </w:div>
        <w:div w:id="1772310315">
          <w:marLeft w:val="0"/>
          <w:marRight w:val="0"/>
          <w:marTop w:val="0"/>
          <w:marBottom w:val="0"/>
          <w:divBdr>
            <w:top w:val="none" w:sz="0" w:space="0" w:color="auto"/>
            <w:left w:val="none" w:sz="0" w:space="0" w:color="auto"/>
            <w:bottom w:val="none" w:sz="0" w:space="0" w:color="auto"/>
            <w:right w:val="none" w:sz="0" w:space="0" w:color="auto"/>
          </w:divBdr>
        </w:div>
        <w:div w:id="1913151597">
          <w:marLeft w:val="0"/>
          <w:marRight w:val="0"/>
          <w:marTop w:val="0"/>
          <w:marBottom w:val="0"/>
          <w:divBdr>
            <w:top w:val="none" w:sz="0" w:space="0" w:color="auto"/>
            <w:left w:val="none" w:sz="0" w:space="0" w:color="auto"/>
            <w:bottom w:val="none" w:sz="0" w:space="0" w:color="auto"/>
            <w:right w:val="none" w:sz="0" w:space="0" w:color="auto"/>
          </w:divBdr>
        </w:div>
        <w:div w:id="1921594326">
          <w:marLeft w:val="0"/>
          <w:marRight w:val="0"/>
          <w:marTop w:val="0"/>
          <w:marBottom w:val="0"/>
          <w:divBdr>
            <w:top w:val="none" w:sz="0" w:space="0" w:color="auto"/>
            <w:left w:val="none" w:sz="0" w:space="0" w:color="auto"/>
            <w:bottom w:val="none" w:sz="0" w:space="0" w:color="auto"/>
            <w:right w:val="none" w:sz="0" w:space="0" w:color="auto"/>
          </w:divBdr>
        </w:div>
        <w:div w:id="1989631586">
          <w:marLeft w:val="0"/>
          <w:marRight w:val="0"/>
          <w:marTop w:val="0"/>
          <w:marBottom w:val="0"/>
          <w:divBdr>
            <w:top w:val="none" w:sz="0" w:space="0" w:color="auto"/>
            <w:left w:val="none" w:sz="0" w:space="0" w:color="auto"/>
            <w:bottom w:val="none" w:sz="0" w:space="0" w:color="auto"/>
            <w:right w:val="none" w:sz="0" w:space="0" w:color="auto"/>
          </w:divBdr>
        </w:div>
        <w:div w:id="2129272808">
          <w:marLeft w:val="0"/>
          <w:marRight w:val="0"/>
          <w:marTop w:val="0"/>
          <w:marBottom w:val="0"/>
          <w:divBdr>
            <w:top w:val="none" w:sz="0" w:space="0" w:color="auto"/>
            <w:left w:val="none" w:sz="0" w:space="0" w:color="auto"/>
            <w:bottom w:val="none" w:sz="0" w:space="0" w:color="auto"/>
            <w:right w:val="none" w:sz="0" w:space="0" w:color="auto"/>
          </w:divBdr>
        </w:div>
      </w:divsChild>
    </w:div>
    <w:div w:id="1873103713">
      <w:bodyDiv w:val="1"/>
      <w:marLeft w:val="0"/>
      <w:marRight w:val="0"/>
      <w:marTop w:val="0"/>
      <w:marBottom w:val="0"/>
      <w:divBdr>
        <w:top w:val="none" w:sz="0" w:space="0" w:color="auto"/>
        <w:left w:val="none" w:sz="0" w:space="0" w:color="auto"/>
        <w:bottom w:val="none" w:sz="0" w:space="0" w:color="auto"/>
        <w:right w:val="none" w:sz="0" w:space="0" w:color="auto"/>
      </w:divBdr>
      <w:divsChild>
        <w:div w:id="155852311">
          <w:marLeft w:val="0"/>
          <w:marRight w:val="0"/>
          <w:marTop w:val="0"/>
          <w:marBottom w:val="0"/>
          <w:divBdr>
            <w:top w:val="none" w:sz="0" w:space="0" w:color="auto"/>
            <w:left w:val="none" w:sz="0" w:space="0" w:color="auto"/>
            <w:bottom w:val="none" w:sz="0" w:space="0" w:color="auto"/>
            <w:right w:val="none" w:sz="0" w:space="0" w:color="auto"/>
          </w:divBdr>
        </w:div>
        <w:div w:id="185557709">
          <w:marLeft w:val="0"/>
          <w:marRight w:val="0"/>
          <w:marTop w:val="0"/>
          <w:marBottom w:val="0"/>
          <w:divBdr>
            <w:top w:val="none" w:sz="0" w:space="0" w:color="auto"/>
            <w:left w:val="none" w:sz="0" w:space="0" w:color="auto"/>
            <w:bottom w:val="none" w:sz="0" w:space="0" w:color="auto"/>
            <w:right w:val="none" w:sz="0" w:space="0" w:color="auto"/>
          </w:divBdr>
          <w:divsChild>
            <w:div w:id="262882139">
              <w:marLeft w:val="0"/>
              <w:marRight w:val="0"/>
              <w:marTop w:val="0"/>
              <w:marBottom w:val="0"/>
              <w:divBdr>
                <w:top w:val="none" w:sz="0" w:space="0" w:color="auto"/>
                <w:left w:val="none" w:sz="0" w:space="0" w:color="auto"/>
                <w:bottom w:val="none" w:sz="0" w:space="0" w:color="auto"/>
                <w:right w:val="none" w:sz="0" w:space="0" w:color="auto"/>
              </w:divBdr>
            </w:div>
            <w:div w:id="753353516">
              <w:marLeft w:val="0"/>
              <w:marRight w:val="0"/>
              <w:marTop w:val="0"/>
              <w:marBottom w:val="0"/>
              <w:divBdr>
                <w:top w:val="none" w:sz="0" w:space="0" w:color="auto"/>
                <w:left w:val="none" w:sz="0" w:space="0" w:color="auto"/>
                <w:bottom w:val="none" w:sz="0" w:space="0" w:color="auto"/>
                <w:right w:val="none" w:sz="0" w:space="0" w:color="auto"/>
              </w:divBdr>
            </w:div>
            <w:div w:id="795218016">
              <w:marLeft w:val="0"/>
              <w:marRight w:val="0"/>
              <w:marTop w:val="0"/>
              <w:marBottom w:val="0"/>
              <w:divBdr>
                <w:top w:val="none" w:sz="0" w:space="0" w:color="auto"/>
                <w:left w:val="none" w:sz="0" w:space="0" w:color="auto"/>
                <w:bottom w:val="none" w:sz="0" w:space="0" w:color="auto"/>
                <w:right w:val="none" w:sz="0" w:space="0" w:color="auto"/>
              </w:divBdr>
            </w:div>
            <w:div w:id="1689677708">
              <w:marLeft w:val="0"/>
              <w:marRight w:val="0"/>
              <w:marTop w:val="0"/>
              <w:marBottom w:val="0"/>
              <w:divBdr>
                <w:top w:val="none" w:sz="0" w:space="0" w:color="auto"/>
                <w:left w:val="none" w:sz="0" w:space="0" w:color="auto"/>
                <w:bottom w:val="none" w:sz="0" w:space="0" w:color="auto"/>
                <w:right w:val="none" w:sz="0" w:space="0" w:color="auto"/>
              </w:divBdr>
            </w:div>
            <w:div w:id="1715497672">
              <w:marLeft w:val="0"/>
              <w:marRight w:val="0"/>
              <w:marTop w:val="0"/>
              <w:marBottom w:val="0"/>
              <w:divBdr>
                <w:top w:val="none" w:sz="0" w:space="0" w:color="auto"/>
                <w:left w:val="none" w:sz="0" w:space="0" w:color="auto"/>
                <w:bottom w:val="none" w:sz="0" w:space="0" w:color="auto"/>
                <w:right w:val="none" w:sz="0" w:space="0" w:color="auto"/>
              </w:divBdr>
            </w:div>
            <w:div w:id="2083671093">
              <w:marLeft w:val="0"/>
              <w:marRight w:val="0"/>
              <w:marTop w:val="0"/>
              <w:marBottom w:val="0"/>
              <w:divBdr>
                <w:top w:val="none" w:sz="0" w:space="0" w:color="auto"/>
                <w:left w:val="none" w:sz="0" w:space="0" w:color="auto"/>
                <w:bottom w:val="none" w:sz="0" w:space="0" w:color="auto"/>
                <w:right w:val="none" w:sz="0" w:space="0" w:color="auto"/>
              </w:divBdr>
            </w:div>
          </w:divsChild>
        </w:div>
        <w:div w:id="1350566151">
          <w:marLeft w:val="0"/>
          <w:marRight w:val="0"/>
          <w:marTop w:val="0"/>
          <w:marBottom w:val="0"/>
          <w:divBdr>
            <w:top w:val="none" w:sz="0" w:space="0" w:color="auto"/>
            <w:left w:val="none" w:sz="0" w:space="0" w:color="auto"/>
            <w:bottom w:val="none" w:sz="0" w:space="0" w:color="auto"/>
            <w:right w:val="none" w:sz="0" w:space="0" w:color="auto"/>
          </w:divBdr>
        </w:div>
        <w:div w:id="2012416291">
          <w:marLeft w:val="0"/>
          <w:marRight w:val="0"/>
          <w:marTop w:val="0"/>
          <w:marBottom w:val="0"/>
          <w:divBdr>
            <w:top w:val="none" w:sz="0" w:space="0" w:color="auto"/>
            <w:left w:val="none" w:sz="0" w:space="0" w:color="auto"/>
            <w:bottom w:val="none" w:sz="0" w:space="0" w:color="auto"/>
            <w:right w:val="none" w:sz="0" w:space="0" w:color="auto"/>
          </w:divBdr>
        </w:div>
        <w:div w:id="2106268107">
          <w:marLeft w:val="0"/>
          <w:marRight w:val="0"/>
          <w:marTop w:val="0"/>
          <w:marBottom w:val="0"/>
          <w:divBdr>
            <w:top w:val="none" w:sz="0" w:space="0" w:color="auto"/>
            <w:left w:val="none" w:sz="0" w:space="0" w:color="auto"/>
            <w:bottom w:val="none" w:sz="0" w:space="0" w:color="auto"/>
            <w:right w:val="none" w:sz="0" w:space="0" w:color="auto"/>
          </w:divBdr>
        </w:div>
      </w:divsChild>
    </w:div>
    <w:div w:id="1895043211">
      <w:bodyDiv w:val="1"/>
      <w:marLeft w:val="0"/>
      <w:marRight w:val="0"/>
      <w:marTop w:val="0"/>
      <w:marBottom w:val="0"/>
      <w:divBdr>
        <w:top w:val="none" w:sz="0" w:space="0" w:color="auto"/>
        <w:left w:val="none" w:sz="0" w:space="0" w:color="auto"/>
        <w:bottom w:val="none" w:sz="0" w:space="0" w:color="auto"/>
        <w:right w:val="none" w:sz="0" w:space="0" w:color="auto"/>
      </w:divBdr>
    </w:div>
    <w:div w:id="1965502618">
      <w:bodyDiv w:val="1"/>
      <w:marLeft w:val="0"/>
      <w:marRight w:val="0"/>
      <w:marTop w:val="0"/>
      <w:marBottom w:val="0"/>
      <w:divBdr>
        <w:top w:val="none" w:sz="0" w:space="0" w:color="auto"/>
        <w:left w:val="none" w:sz="0" w:space="0" w:color="auto"/>
        <w:bottom w:val="none" w:sz="0" w:space="0" w:color="auto"/>
        <w:right w:val="none" w:sz="0" w:space="0" w:color="auto"/>
      </w:divBdr>
    </w:div>
    <w:div w:id="1995835727">
      <w:bodyDiv w:val="1"/>
      <w:marLeft w:val="0"/>
      <w:marRight w:val="0"/>
      <w:marTop w:val="0"/>
      <w:marBottom w:val="0"/>
      <w:divBdr>
        <w:top w:val="none" w:sz="0" w:space="0" w:color="auto"/>
        <w:left w:val="none" w:sz="0" w:space="0" w:color="auto"/>
        <w:bottom w:val="none" w:sz="0" w:space="0" w:color="auto"/>
        <w:right w:val="none" w:sz="0" w:space="0" w:color="auto"/>
      </w:divBdr>
      <w:divsChild>
        <w:div w:id="99375246">
          <w:marLeft w:val="0"/>
          <w:marRight w:val="0"/>
          <w:marTop w:val="0"/>
          <w:marBottom w:val="0"/>
          <w:divBdr>
            <w:top w:val="none" w:sz="0" w:space="0" w:color="auto"/>
            <w:left w:val="none" w:sz="0" w:space="0" w:color="auto"/>
            <w:bottom w:val="none" w:sz="0" w:space="0" w:color="auto"/>
            <w:right w:val="none" w:sz="0" w:space="0" w:color="auto"/>
          </w:divBdr>
        </w:div>
        <w:div w:id="666250086">
          <w:marLeft w:val="0"/>
          <w:marRight w:val="0"/>
          <w:marTop w:val="0"/>
          <w:marBottom w:val="0"/>
          <w:divBdr>
            <w:top w:val="none" w:sz="0" w:space="0" w:color="auto"/>
            <w:left w:val="none" w:sz="0" w:space="0" w:color="auto"/>
            <w:bottom w:val="none" w:sz="0" w:space="0" w:color="auto"/>
            <w:right w:val="none" w:sz="0" w:space="0" w:color="auto"/>
          </w:divBdr>
        </w:div>
        <w:div w:id="1499737380">
          <w:marLeft w:val="0"/>
          <w:marRight w:val="0"/>
          <w:marTop w:val="0"/>
          <w:marBottom w:val="0"/>
          <w:divBdr>
            <w:top w:val="none" w:sz="0" w:space="0" w:color="auto"/>
            <w:left w:val="none" w:sz="0" w:space="0" w:color="auto"/>
            <w:bottom w:val="none" w:sz="0" w:space="0" w:color="auto"/>
            <w:right w:val="none" w:sz="0" w:space="0" w:color="auto"/>
          </w:divBdr>
        </w:div>
        <w:div w:id="1555048267">
          <w:marLeft w:val="0"/>
          <w:marRight w:val="0"/>
          <w:marTop w:val="0"/>
          <w:marBottom w:val="0"/>
          <w:divBdr>
            <w:top w:val="none" w:sz="0" w:space="0" w:color="auto"/>
            <w:left w:val="none" w:sz="0" w:space="0" w:color="auto"/>
            <w:bottom w:val="none" w:sz="0" w:space="0" w:color="auto"/>
            <w:right w:val="none" w:sz="0" w:space="0" w:color="auto"/>
          </w:divBdr>
        </w:div>
      </w:divsChild>
    </w:div>
    <w:div w:id="2099053977">
      <w:bodyDiv w:val="1"/>
      <w:marLeft w:val="0"/>
      <w:marRight w:val="0"/>
      <w:marTop w:val="0"/>
      <w:marBottom w:val="0"/>
      <w:divBdr>
        <w:top w:val="none" w:sz="0" w:space="0" w:color="auto"/>
        <w:left w:val="none" w:sz="0" w:space="0" w:color="auto"/>
        <w:bottom w:val="none" w:sz="0" w:space="0" w:color="auto"/>
        <w:right w:val="none" w:sz="0" w:space="0" w:color="auto"/>
      </w:divBdr>
      <w:divsChild>
        <w:div w:id="470248574">
          <w:marLeft w:val="0"/>
          <w:marRight w:val="0"/>
          <w:marTop w:val="0"/>
          <w:marBottom w:val="0"/>
          <w:divBdr>
            <w:top w:val="none" w:sz="0" w:space="0" w:color="auto"/>
            <w:left w:val="none" w:sz="0" w:space="0" w:color="auto"/>
            <w:bottom w:val="none" w:sz="0" w:space="0" w:color="auto"/>
            <w:right w:val="none" w:sz="0" w:space="0" w:color="auto"/>
          </w:divBdr>
          <w:divsChild>
            <w:div w:id="463737804">
              <w:marLeft w:val="0"/>
              <w:marRight w:val="0"/>
              <w:marTop w:val="0"/>
              <w:marBottom w:val="0"/>
              <w:divBdr>
                <w:top w:val="none" w:sz="0" w:space="0" w:color="auto"/>
                <w:left w:val="none" w:sz="0" w:space="0" w:color="auto"/>
                <w:bottom w:val="none" w:sz="0" w:space="0" w:color="auto"/>
                <w:right w:val="none" w:sz="0" w:space="0" w:color="auto"/>
              </w:divBdr>
            </w:div>
            <w:div w:id="1601841372">
              <w:marLeft w:val="0"/>
              <w:marRight w:val="0"/>
              <w:marTop w:val="0"/>
              <w:marBottom w:val="0"/>
              <w:divBdr>
                <w:top w:val="none" w:sz="0" w:space="0" w:color="auto"/>
                <w:left w:val="none" w:sz="0" w:space="0" w:color="auto"/>
                <w:bottom w:val="none" w:sz="0" w:space="0" w:color="auto"/>
                <w:right w:val="none" w:sz="0" w:space="0" w:color="auto"/>
              </w:divBdr>
            </w:div>
            <w:div w:id="2119175179">
              <w:marLeft w:val="0"/>
              <w:marRight w:val="0"/>
              <w:marTop w:val="0"/>
              <w:marBottom w:val="0"/>
              <w:divBdr>
                <w:top w:val="none" w:sz="0" w:space="0" w:color="auto"/>
                <w:left w:val="none" w:sz="0" w:space="0" w:color="auto"/>
                <w:bottom w:val="none" w:sz="0" w:space="0" w:color="auto"/>
                <w:right w:val="none" w:sz="0" w:space="0" w:color="auto"/>
              </w:divBdr>
            </w:div>
          </w:divsChild>
        </w:div>
        <w:div w:id="1079987928">
          <w:marLeft w:val="0"/>
          <w:marRight w:val="0"/>
          <w:marTop w:val="0"/>
          <w:marBottom w:val="0"/>
          <w:divBdr>
            <w:top w:val="none" w:sz="0" w:space="0" w:color="auto"/>
            <w:left w:val="none" w:sz="0" w:space="0" w:color="auto"/>
            <w:bottom w:val="none" w:sz="0" w:space="0" w:color="auto"/>
            <w:right w:val="none" w:sz="0" w:space="0" w:color="auto"/>
          </w:divBdr>
          <w:divsChild>
            <w:div w:id="118496951">
              <w:marLeft w:val="0"/>
              <w:marRight w:val="0"/>
              <w:marTop w:val="0"/>
              <w:marBottom w:val="0"/>
              <w:divBdr>
                <w:top w:val="none" w:sz="0" w:space="0" w:color="auto"/>
                <w:left w:val="none" w:sz="0" w:space="0" w:color="auto"/>
                <w:bottom w:val="none" w:sz="0" w:space="0" w:color="auto"/>
                <w:right w:val="none" w:sz="0" w:space="0" w:color="auto"/>
              </w:divBdr>
            </w:div>
            <w:div w:id="262766551">
              <w:marLeft w:val="0"/>
              <w:marRight w:val="0"/>
              <w:marTop w:val="0"/>
              <w:marBottom w:val="0"/>
              <w:divBdr>
                <w:top w:val="none" w:sz="0" w:space="0" w:color="auto"/>
                <w:left w:val="none" w:sz="0" w:space="0" w:color="auto"/>
                <w:bottom w:val="none" w:sz="0" w:space="0" w:color="auto"/>
                <w:right w:val="none" w:sz="0" w:space="0" w:color="auto"/>
              </w:divBdr>
            </w:div>
            <w:div w:id="288781181">
              <w:marLeft w:val="0"/>
              <w:marRight w:val="0"/>
              <w:marTop w:val="0"/>
              <w:marBottom w:val="0"/>
              <w:divBdr>
                <w:top w:val="none" w:sz="0" w:space="0" w:color="auto"/>
                <w:left w:val="none" w:sz="0" w:space="0" w:color="auto"/>
                <w:bottom w:val="none" w:sz="0" w:space="0" w:color="auto"/>
                <w:right w:val="none" w:sz="0" w:space="0" w:color="auto"/>
              </w:divBdr>
            </w:div>
            <w:div w:id="444469431">
              <w:marLeft w:val="0"/>
              <w:marRight w:val="0"/>
              <w:marTop w:val="0"/>
              <w:marBottom w:val="0"/>
              <w:divBdr>
                <w:top w:val="none" w:sz="0" w:space="0" w:color="auto"/>
                <w:left w:val="none" w:sz="0" w:space="0" w:color="auto"/>
                <w:bottom w:val="none" w:sz="0" w:space="0" w:color="auto"/>
                <w:right w:val="none" w:sz="0" w:space="0" w:color="auto"/>
              </w:divBdr>
            </w:div>
            <w:div w:id="475689174">
              <w:marLeft w:val="0"/>
              <w:marRight w:val="0"/>
              <w:marTop w:val="0"/>
              <w:marBottom w:val="0"/>
              <w:divBdr>
                <w:top w:val="none" w:sz="0" w:space="0" w:color="auto"/>
                <w:left w:val="none" w:sz="0" w:space="0" w:color="auto"/>
                <w:bottom w:val="none" w:sz="0" w:space="0" w:color="auto"/>
                <w:right w:val="none" w:sz="0" w:space="0" w:color="auto"/>
              </w:divBdr>
            </w:div>
            <w:div w:id="714503208">
              <w:marLeft w:val="0"/>
              <w:marRight w:val="0"/>
              <w:marTop w:val="0"/>
              <w:marBottom w:val="0"/>
              <w:divBdr>
                <w:top w:val="none" w:sz="0" w:space="0" w:color="auto"/>
                <w:left w:val="none" w:sz="0" w:space="0" w:color="auto"/>
                <w:bottom w:val="none" w:sz="0" w:space="0" w:color="auto"/>
                <w:right w:val="none" w:sz="0" w:space="0" w:color="auto"/>
              </w:divBdr>
            </w:div>
            <w:div w:id="723065989">
              <w:marLeft w:val="0"/>
              <w:marRight w:val="0"/>
              <w:marTop w:val="0"/>
              <w:marBottom w:val="0"/>
              <w:divBdr>
                <w:top w:val="none" w:sz="0" w:space="0" w:color="auto"/>
                <w:left w:val="none" w:sz="0" w:space="0" w:color="auto"/>
                <w:bottom w:val="none" w:sz="0" w:space="0" w:color="auto"/>
                <w:right w:val="none" w:sz="0" w:space="0" w:color="auto"/>
              </w:divBdr>
            </w:div>
            <w:div w:id="952370142">
              <w:marLeft w:val="0"/>
              <w:marRight w:val="0"/>
              <w:marTop w:val="0"/>
              <w:marBottom w:val="0"/>
              <w:divBdr>
                <w:top w:val="none" w:sz="0" w:space="0" w:color="auto"/>
                <w:left w:val="none" w:sz="0" w:space="0" w:color="auto"/>
                <w:bottom w:val="none" w:sz="0" w:space="0" w:color="auto"/>
                <w:right w:val="none" w:sz="0" w:space="0" w:color="auto"/>
              </w:divBdr>
            </w:div>
            <w:div w:id="964383661">
              <w:marLeft w:val="0"/>
              <w:marRight w:val="0"/>
              <w:marTop w:val="0"/>
              <w:marBottom w:val="0"/>
              <w:divBdr>
                <w:top w:val="none" w:sz="0" w:space="0" w:color="auto"/>
                <w:left w:val="none" w:sz="0" w:space="0" w:color="auto"/>
                <w:bottom w:val="none" w:sz="0" w:space="0" w:color="auto"/>
                <w:right w:val="none" w:sz="0" w:space="0" w:color="auto"/>
              </w:divBdr>
            </w:div>
            <w:div w:id="977690339">
              <w:marLeft w:val="0"/>
              <w:marRight w:val="0"/>
              <w:marTop w:val="0"/>
              <w:marBottom w:val="0"/>
              <w:divBdr>
                <w:top w:val="none" w:sz="0" w:space="0" w:color="auto"/>
                <w:left w:val="none" w:sz="0" w:space="0" w:color="auto"/>
                <w:bottom w:val="none" w:sz="0" w:space="0" w:color="auto"/>
                <w:right w:val="none" w:sz="0" w:space="0" w:color="auto"/>
              </w:divBdr>
            </w:div>
            <w:div w:id="1149982331">
              <w:marLeft w:val="0"/>
              <w:marRight w:val="0"/>
              <w:marTop w:val="0"/>
              <w:marBottom w:val="0"/>
              <w:divBdr>
                <w:top w:val="none" w:sz="0" w:space="0" w:color="auto"/>
                <w:left w:val="none" w:sz="0" w:space="0" w:color="auto"/>
                <w:bottom w:val="none" w:sz="0" w:space="0" w:color="auto"/>
                <w:right w:val="none" w:sz="0" w:space="0" w:color="auto"/>
              </w:divBdr>
            </w:div>
            <w:div w:id="1322343615">
              <w:marLeft w:val="0"/>
              <w:marRight w:val="0"/>
              <w:marTop w:val="0"/>
              <w:marBottom w:val="0"/>
              <w:divBdr>
                <w:top w:val="none" w:sz="0" w:space="0" w:color="auto"/>
                <w:left w:val="none" w:sz="0" w:space="0" w:color="auto"/>
                <w:bottom w:val="none" w:sz="0" w:space="0" w:color="auto"/>
                <w:right w:val="none" w:sz="0" w:space="0" w:color="auto"/>
              </w:divBdr>
            </w:div>
            <w:div w:id="1391230867">
              <w:marLeft w:val="0"/>
              <w:marRight w:val="0"/>
              <w:marTop w:val="0"/>
              <w:marBottom w:val="0"/>
              <w:divBdr>
                <w:top w:val="none" w:sz="0" w:space="0" w:color="auto"/>
                <w:left w:val="none" w:sz="0" w:space="0" w:color="auto"/>
                <w:bottom w:val="none" w:sz="0" w:space="0" w:color="auto"/>
                <w:right w:val="none" w:sz="0" w:space="0" w:color="auto"/>
              </w:divBdr>
            </w:div>
            <w:div w:id="1601133908">
              <w:marLeft w:val="0"/>
              <w:marRight w:val="0"/>
              <w:marTop w:val="0"/>
              <w:marBottom w:val="0"/>
              <w:divBdr>
                <w:top w:val="none" w:sz="0" w:space="0" w:color="auto"/>
                <w:left w:val="none" w:sz="0" w:space="0" w:color="auto"/>
                <w:bottom w:val="none" w:sz="0" w:space="0" w:color="auto"/>
                <w:right w:val="none" w:sz="0" w:space="0" w:color="auto"/>
              </w:divBdr>
            </w:div>
            <w:div w:id="1609385834">
              <w:marLeft w:val="0"/>
              <w:marRight w:val="0"/>
              <w:marTop w:val="0"/>
              <w:marBottom w:val="0"/>
              <w:divBdr>
                <w:top w:val="none" w:sz="0" w:space="0" w:color="auto"/>
                <w:left w:val="none" w:sz="0" w:space="0" w:color="auto"/>
                <w:bottom w:val="none" w:sz="0" w:space="0" w:color="auto"/>
                <w:right w:val="none" w:sz="0" w:space="0" w:color="auto"/>
              </w:divBdr>
            </w:div>
            <w:div w:id="1679187922">
              <w:marLeft w:val="0"/>
              <w:marRight w:val="0"/>
              <w:marTop w:val="0"/>
              <w:marBottom w:val="0"/>
              <w:divBdr>
                <w:top w:val="none" w:sz="0" w:space="0" w:color="auto"/>
                <w:left w:val="none" w:sz="0" w:space="0" w:color="auto"/>
                <w:bottom w:val="none" w:sz="0" w:space="0" w:color="auto"/>
                <w:right w:val="none" w:sz="0" w:space="0" w:color="auto"/>
              </w:divBdr>
            </w:div>
            <w:div w:id="1704209363">
              <w:marLeft w:val="0"/>
              <w:marRight w:val="0"/>
              <w:marTop w:val="0"/>
              <w:marBottom w:val="0"/>
              <w:divBdr>
                <w:top w:val="none" w:sz="0" w:space="0" w:color="auto"/>
                <w:left w:val="none" w:sz="0" w:space="0" w:color="auto"/>
                <w:bottom w:val="none" w:sz="0" w:space="0" w:color="auto"/>
                <w:right w:val="none" w:sz="0" w:space="0" w:color="auto"/>
              </w:divBdr>
            </w:div>
            <w:div w:id="1729110176">
              <w:marLeft w:val="0"/>
              <w:marRight w:val="0"/>
              <w:marTop w:val="0"/>
              <w:marBottom w:val="0"/>
              <w:divBdr>
                <w:top w:val="none" w:sz="0" w:space="0" w:color="auto"/>
                <w:left w:val="none" w:sz="0" w:space="0" w:color="auto"/>
                <w:bottom w:val="none" w:sz="0" w:space="0" w:color="auto"/>
                <w:right w:val="none" w:sz="0" w:space="0" w:color="auto"/>
              </w:divBdr>
            </w:div>
          </w:divsChild>
        </w:div>
        <w:div w:id="2099211648">
          <w:marLeft w:val="0"/>
          <w:marRight w:val="0"/>
          <w:marTop w:val="0"/>
          <w:marBottom w:val="0"/>
          <w:divBdr>
            <w:top w:val="none" w:sz="0" w:space="0" w:color="auto"/>
            <w:left w:val="none" w:sz="0" w:space="0" w:color="auto"/>
            <w:bottom w:val="none" w:sz="0" w:space="0" w:color="auto"/>
            <w:right w:val="none" w:sz="0" w:space="0" w:color="auto"/>
          </w:divBdr>
          <w:divsChild>
            <w:div w:id="48262175">
              <w:marLeft w:val="0"/>
              <w:marRight w:val="0"/>
              <w:marTop w:val="0"/>
              <w:marBottom w:val="0"/>
              <w:divBdr>
                <w:top w:val="none" w:sz="0" w:space="0" w:color="auto"/>
                <w:left w:val="none" w:sz="0" w:space="0" w:color="auto"/>
                <w:bottom w:val="none" w:sz="0" w:space="0" w:color="auto"/>
                <w:right w:val="none" w:sz="0" w:space="0" w:color="auto"/>
              </w:divBdr>
            </w:div>
            <w:div w:id="401565736">
              <w:marLeft w:val="0"/>
              <w:marRight w:val="0"/>
              <w:marTop w:val="0"/>
              <w:marBottom w:val="0"/>
              <w:divBdr>
                <w:top w:val="none" w:sz="0" w:space="0" w:color="auto"/>
                <w:left w:val="none" w:sz="0" w:space="0" w:color="auto"/>
                <w:bottom w:val="none" w:sz="0" w:space="0" w:color="auto"/>
                <w:right w:val="none" w:sz="0" w:space="0" w:color="auto"/>
              </w:divBdr>
            </w:div>
            <w:div w:id="490147363">
              <w:marLeft w:val="0"/>
              <w:marRight w:val="0"/>
              <w:marTop w:val="0"/>
              <w:marBottom w:val="0"/>
              <w:divBdr>
                <w:top w:val="none" w:sz="0" w:space="0" w:color="auto"/>
                <w:left w:val="none" w:sz="0" w:space="0" w:color="auto"/>
                <w:bottom w:val="none" w:sz="0" w:space="0" w:color="auto"/>
                <w:right w:val="none" w:sz="0" w:space="0" w:color="auto"/>
              </w:divBdr>
            </w:div>
            <w:div w:id="670258435">
              <w:marLeft w:val="0"/>
              <w:marRight w:val="0"/>
              <w:marTop w:val="0"/>
              <w:marBottom w:val="0"/>
              <w:divBdr>
                <w:top w:val="none" w:sz="0" w:space="0" w:color="auto"/>
                <w:left w:val="none" w:sz="0" w:space="0" w:color="auto"/>
                <w:bottom w:val="none" w:sz="0" w:space="0" w:color="auto"/>
                <w:right w:val="none" w:sz="0" w:space="0" w:color="auto"/>
              </w:divBdr>
            </w:div>
            <w:div w:id="731274752">
              <w:marLeft w:val="0"/>
              <w:marRight w:val="0"/>
              <w:marTop w:val="0"/>
              <w:marBottom w:val="0"/>
              <w:divBdr>
                <w:top w:val="none" w:sz="0" w:space="0" w:color="auto"/>
                <w:left w:val="none" w:sz="0" w:space="0" w:color="auto"/>
                <w:bottom w:val="none" w:sz="0" w:space="0" w:color="auto"/>
                <w:right w:val="none" w:sz="0" w:space="0" w:color="auto"/>
              </w:divBdr>
            </w:div>
            <w:div w:id="771824903">
              <w:marLeft w:val="0"/>
              <w:marRight w:val="0"/>
              <w:marTop w:val="0"/>
              <w:marBottom w:val="0"/>
              <w:divBdr>
                <w:top w:val="none" w:sz="0" w:space="0" w:color="auto"/>
                <w:left w:val="none" w:sz="0" w:space="0" w:color="auto"/>
                <w:bottom w:val="none" w:sz="0" w:space="0" w:color="auto"/>
                <w:right w:val="none" w:sz="0" w:space="0" w:color="auto"/>
              </w:divBdr>
            </w:div>
            <w:div w:id="831717978">
              <w:marLeft w:val="0"/>
              <w:marRight w:val="0"/>
              <w:marTop w:val="0"/>
              <w:marBottom w:val="0"/>
              <w:divBdr>
                <w:top w:val="none" w:sz="0" w:space="0" w:color="auto"/>
                <w:left w:val="none" w:sz="0" w:space="0" w:color="auto"/>
                <w:bottom w:val="none" w:sz="0" w:space="0" w:color="auto"/>
                <w:right w:val="none" w:sz="0" w:space="0" w:color="auto"/>
              </w:divBdr>
            </w:div>
            <w:div w:id="1335299716">
              <w:marLeft w:val="0"/>
              <w:marRight w:val="0"/>
              <w:marTop w:val="0"/>
              <w:marBottom w:val="0"/>
              <w:divBdr>
                <w:top w:val="none" w:sz="0" w:space="0" w:color="auto"/>
                <w:left w:val="none" w:sz="0" w:space="0" w:color="auto"/>
                <w:bottom w:val="none" w:sz="0" w:space="0" w:color="auto"/>
                <w:right w:val="none" w:sz="0" w:space="0" w:color="auto"/>
              </w:divBdr>
            </w:div>
            <w:div w:id="1446535383">
              <w:marLeft w:val="0"/>
              <w:marRight w:val="0"/>
              <w:marTop w:val="0"/>
              <w:marBottom w:val="0"/>
              <w:divBdr>
                <w:top w:val="none" w:sz="0" w:space="0" w:color="auto"/>
                <w:left w:val="none" w:sz="0" w:space="0" w:color="auto"/>
                <w:bottom w:val="none" w:sz="0" w:space="0" w:color="auto"/>
                <w:right w:val="none" w:sz="0" w:space="0" w:color="auto"/>
              </w:divBdr>
            </w:div>
            <w:div w:id="1499074587">
              <w:marLeft w:val="0"/>
              <w:marRight w:val="0"/>
              <w:marTop w:val="0"/>
              <w:marBottom w:val="0"/>
              <w:divBdr>
                <w:top w:val="none" w:sz="0" w:space="0" w:color="auto"/>
                <w:left w:val="none" w:sz="0" w:space="0" w:color="auto"/>
                <w:bottom w:val="none" w:sz="0" w:space="0" w:color="auto"/>
                <w:right w:val="none" w:sz="0" w:space="0" w:color="auto"/>
              </w:divBdr>
            </w:div>
            <w:div w:id="1521237404">
              <w:marLeft w:val="0"/>
              <w:marRight w:val="0"/>
              <w:marTop w:val="0"/>
              <w:marBottom w:val="0"/>
              <w:divBdr>
                <w:top w:val="none" w:sz="0" w:space="0" w:color="auto"/>
                <w:left w:val="none" w:sz="0" w:space="0" w:color="auto"/>
                <w:bottom w:val="none" w:sz="0" w:space="0" w:color="auto"/>
                <w:right w:val="none" w:sz="0" w:space="0" w:color="auto"/>
              </w:divBdr>
            </w:div>
            <w:div w:id="1590458976">
              <w:marLeft w:val="0"/>
              <w:marRight w:val="0"/>
              <w:marTop w:val="0"/>
              <w:marBottom w:val="0"/>
              <w:divBdr>
                <w:top w:val="none" w:sz="0" w:space="0" w:color="auto"/>
                <w:left w:val="none" w:sz="0" w:space="0" w:color="auto"/>
                <w:bottom w:val="none" w:sz="0" w:space="0" w:color="auto"/>
                <w:right w:val="none" w:sz="0" w:space="0" w:color="auto"/>
              </w:divBdr>
            </w:div>
            <w:div w:id="1729037064">
              <w:marLeft w:val="0"/>
              <w:marRight w:val="0"/>
              <w:marTop w:val="0"/>
              <w:marBottom w:val="0"/>
              <w:divBdr>
                <w:top w:val="none" w:sz="0" w:space="0" w:color="auto"/>
                <w:left w:val="none" w:sz="0" w:space="0" w:color="auto"/>
                <w:bottom w:val="none" w:sz="0" w:space="0" w:color="auto"/>
                <w:right w:val="none" w:sz="0" w:space="0" w:color="auto"/>
              </w:divBdr>
            </w:div>
            <w:div w:id="1878815561">
              <w:marLeft w:val="0"/>
              <w:marRight w:val="0"/>
              <w:marTop w:val="0"/>
              <w:marBottom w:val="0"/>
              <w:divBdr>
                <w:top w:val="none" w:sz="0" w:space="0" w:color="auto"/>
                <w:left w:val="none" w:sz="0" w:space="0" w:color="auto"/>
                <w:bottom w:val="none" w:sz="0" w:space="0" w:color="auto"/>
                <w:right w:val="none" w:sz="0" w:space="0" w:color="auto"/>
              </w:divBdr>
            </w:div>
            <w:div w:id="1974405514">
              <w:marLeft w:val="0"/>
              <w:marRight w:val="0"/>
              <w:marTop w:val="0"/>
              <w:marBottom w:val="0"/>
              <w:divBdr>
                <w:top w:val="none" w:sz="0" w:space="0" w:color="auto"/>
                <w:left w:val="none" w:sz="0" w:space="0" w:color="auto"/>
                <w:bottom w:val="none" w:sz="0" w:space="0" w:color="auto"/>
                <w:right w:val="none" w:sz="0" w:space="0" w:color="auto"/>
              </w:divBdr>
            </w:div>
            <w:div w:id="2088260048">
              <w:marLeft w:val="0"/>
              <w:marRight w:val="0"/>
              <w:marTop w:val="0"/>
              <w:marBottom w:val="0"/>
              <w:divBdr>
                <w:top w:val="none" w:sz="0" w:space="0" w:color="auto"/>
                <w:left w:val="none" w:sz="0" w:space="0" w:color="auto"/>
                <w:bottom w:val="none" w:sz="0" w:space="0" w:color="auto"/>
                <w:right w:val="none" w:sz="0" w:space="0" w:color="auto"/>
              </w:divBdr>
            </w:div>
            <w:div w:id="209153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80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7.tmp"/><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sbinteractivo.sb.gob.do/Account/Signin" TargetMode="Externa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package" Target="embeddings/Microsoft_Excel_Worksheet.xlsx"/><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 Ejecución por Eje Estratégico</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Hoja1!$B$1</c:f>
              <c:strCache>
                <c:ptCount val="1"/>
                <c:pt idx="0">
                  <c:v>% Ejecución</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Hoja1!$A$2:$A$7</c:f>
              <c:strCache>
                <c:ptCount val="6"/>
                <c:pt idx="0">
                  <c:v>Eje I</c:v>
                </c:pt>
                <c:pt idx="1">
                  <c:v>Eje II</c:v>
                </c:pt>
                <c:pt idx="2">
                  <c:v>Eje III</c:v>
                </c:pt>
                <c:pt idx="3">
                  <c:v>Eje IV</c:v>
                </c:pt>
                <c:pt idx="4">
                  <c:v>Eje V</c:v>
                </c:pt>
                <c:pt idx="5">
                  <c:v>Eje VI</c:v>
                </c:pt>
              </c:strCache>
            </c:strRef>
          </c:cat>
          <c:val>
            <c:numRef>
              <c:f>Hoja1!$B$2:$B$7</c:f>
              <c:numCache>
                <c:formatCode>0%</c:formatCode>
                <c:ptCount val="6"/>
                <c:pt idx="0">
                  <c:v>0.71</c:v>
                </c:pt>
                <c:pt idx="1">
                  <c:v>0.93</c:v>
                </c:pt>
                <c:pt idx="2">
                  <c:v>0.67</c:v>
                </c:pt>
                <c:pt idx="3">
                  <c:v>0.57999999999999996</c:v>
                </c:pt>
                <c:pt idx="4">
                  <c:v>0.72</c:v>
                </c:pt>
                <c:pt idx="5">
                  <c:v>0.49</c:v>
                </c:pt>
              </c:numCache>
            </c:numRef>
          </c:val>
          <c:extLst>
            <c:ext xmlns:c16="http://schemas.microsoft.com/office/drawing/2014/chart" uri="{C3380CC4-5D6E-409C-BE32-E72D297353CC}">
              <c16:uniqueId val="{00000000-D4A3-4903-AFD2-FF49712A929D}"/>
            </c:ext>
          </c:extLst>
        </c:ser>
        <c:dLbls>
          <c:showLegendKey val="0"/>
          <c:showVal val="1"/>
          <c:showCatName val="0"/>
          <c:showSerName val="0"/>
          <c:showPercent val="0"/>
          <c:showBubbleSize val="0"/>
        </c:dLbls>
        <c:gapWidth val="150"/>
        <c:axId val="1369458335"/>
        <c:axId val="1831970127"/>
      </c:barChart>
      <c:catAx>
        <c:axId val="136945833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831970127"/>
        <c:crosses val="autoZero"/>
        <c:auto val="1"/>
        <c:lblAlgn val="ctr"/>
        <c:lblOffset val="100"/>
        <c:noMultiLvlLbl val="0"/>
      </c:catAx>
      <c:valAx>
        <c:axId val="18319701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3694583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925D5DAF3E0A4893FDBB199FC9739D" ma:contentTypeVersion="11" ma:contentTypeDescription="Crear nuevo documento." ma:contentTypeScope="" ma:versionID="41effd71d3a7ba29a5ca2f7ac6e2660e">
  <xsd:schema xmlns:xsd="http://www.w3.org/2001/XMLSchema" xmlns:xs="http://www.w3.org/2001/XMLSchema" xmlns:p="http://schemas.microsoft.com/office/2006/metadata/properties" xmlns:ns2="90522e38-1962-477c-af98-629becbeab9b" xmlns:ns3="69e4a72e-5d1e-45a6-8064-ff5a35288b5a" targetNamespace="http://schemas.microsoft.com/office/2006/metadata/properties" ma:root="true" ma:fieldsID="49377f6e9d04b9b264b43f6982fe41a9" ns2:_="" ns3:_="">
    <xsd:import namespace="90522e38-1962-477c-af98-629becbeab9b"/>
    <xsd:import namespace="69e4a72e-5d1e-45a6-8064-ff5a35288b5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22e38-1962-477c-af98-629becbeab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c6babf98-e910-45e2-a93c-7cd2858202e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4a72e-5d1e-45a6-8064-ff5a35288b5a"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15" nillable="true" ma:displayName="Taxonomy Catch All Column" ma:hidden="true" ma:list="{3a6aaffc-b22d-4ef4-a8ea-0114eab11df2}" ma:internalName="TaxCatchAll" ma:showField="CatchAllData" ma:web="69e4a72e-5d1e-45a6-8064-ff5a35288b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9e4a72e-5d1e-45a6-8064-ff5a35288b5a" xsi:nil="true"/>
    <lcf76f155ced4ddcb4097134ff3c332f xmlns="90522e38-1962-477c-af98-629becbeab9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7C0ED-6A10-40ED-9755-DBBFB36D1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22e38-1962-477c-af98-629becbeab9b"/>
    <ds:schemaRef ds:uri="69e4a72e-5d1e-45a6-8064-ff5a35288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27625E-B64E-46FE-A886-64DFEA18B6BC}">
  <ds:schemaRefs>
    <ds:schemaRef ds:uri="http://schemas.microsoft.com/office/2006/metadata/properties"/>
    <ds:schemaRef ds:uri="http://schemas.microsoft.com/office/infopath/2007/PartnerControls"/>
    <ds:schemaRef ds:uri="69e4a72e-5d1e-45a6-8064-ff5a35288b5a"/>
    <ds:schemaRef ds:uri="90522e38-1962-477c-af98-629becbeab9b"/>
  </ds:schemaRefs>
</ds:datastoreItem>
</file>

<file path=customXml/itemProps3.xml><?xml version="1.0" encoding="utf-8"?>
<ds:datastoreItem xmlns:ds="http://schemas.openxmlformats.org/officeDocument/2006/customXml" ds:itemID="{C0B26193-CA2F-4713-A741-2FD1A8291C60}">
  <ds:schemaRefs>
    <ds:schemaRef ds:uri="http://schemas.microsoft.com/sharepoint/v3/contenttype/forms"/>
  </ds:schemaRefs>
</ds:datastoreItem>
</file>

<file path=customXml/itemProps4.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3568</TotalTime>
  <Pages>117</Pages>
  <Words>22959</Words>
  <Characters>126278</Characters>
  <Application>Microsoft Office Word</Application>
  <DocSecurity>0</DocSecurity>
  <Lines>1052</Lines>
  <Paragraphs>297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148940</CharactersWithSpaces>
  <SharedDoc>false</SharedDoc>
  <HLinks>
    <vt:vector size="198" baseType="variant">
      <vt:variant>
        <vt:i4>3997748</vt:i4>
      </vt:variant>
      <vt:variant>
        <vt:i4>195</vt:i4>
      </vt:variant>
      <vt:variant>
        <vt:i4>0</vt:i4>
      </vt:variant>
      <vt:variant>
        <vt:i4>5</vt:i4>
      </vt:variant>
      <vt:variant>
        <vt:lpwstr>https://sbinteractivo.sb.gob.do/Account/Signin</vt:lpwstr>
      </vt:variant>
      <vt:variant>
        <vt:lpwstr/>
      </vt:variant>
      <vt:variant>
        <vt:i4>1179710</vt:i4>
      </vt:variant>
      <vt:variant>
        <vt:i4>188</vt:i4>
      </vt:variant>
      <vt:variant>
        <vt:i4>0</vt:i4>
      </vt:variant>
      <vt:variant>
        <vt:i4>5</vt:i4>
      </vt:variant>
      <vt:variant>
        <vt:lpwstr/>
      </vt:variant>
      <vt:variant>
        <vt:lpwstr>_Toc153784439</vt:lpwstr>
      </vt:variant>
      <vt:variant>
        <vt:i4>1179710</vt:i4>
      </vt:variant>
      <vt:variant>
        <vt:i4>182</vt:i4>
      </vt:variant>
      <vt:variant>
        <vt:i4>0</vt:i4>
      </vt:variant>
      <vt:variant>
        <vt:i4>5</vt:i4>
      </vt:variant>
      <vt:variant>
        <vt:lpwstr/>
      </vt:variant>
      <vt:variant>
        <vt:lpwstr>_Toc153784438</vt:lpwstr>
      </vt:variant>
      <vt:variant>
        <vt:i4>1179710</vt:i4>
      </vt:variant>
      <vt:variant>
        <vt:i4>176</vt:i4>
      </vt:variant>
      <vt:variant>
        <vt:i4>0</vt:i4>
      </vt:variant>
      <vt:variant>
        <vt:i4>5</vt:i4>
      </vt:variant>
      <vt:variant>
        <vt:lpwstr/>
      </vt:variant>
      <vt:variant>
        <vt:lpwstr>_Toc153784437</vt:lpwstr>
      </vt:variant>
      <vt:variant>
        <vt:i4>1179710</vt:i4>
      </vt:variant>
      <vt:variant>
        <vt:i4>170</vt:i4>
      </vt:variant>
      <vt:variant>
        <vt:i4>0</vt:i4>
      </vt:variant>
      <vt:variant>
        <vt:i4>5</vt:i4>
      </vt:variant>
      <vt:variant>
        <vt:lpwstr/>
      </vt:variant>
      <vt:variant>
        <vt:lpwstr>_Toc153784436</vt:lpwstr>
      </vt:variant>
      <vt:variant>
        <vt:i4>1179710</vt:i4>
      </vt:variant>
      <vt:variant>
        <vt:i4>164</vt:i4>
      </vt:variant>
      <vt:variant>
        <vt:i4>0</vt:i4>
      </vt:variant>
      <vt:variant>
        <vt:i4>5</vt:i4>
      </vt:variant>
      <vt:variant>
        <vt:lpwstr/>
      </vt:variant>
      <vt:variant>
        <vt:lpwstr>_Toc153784435</vt:lpwstr>
      </vt:variant>
      <vt:variant>
        <vt:i4>1179710</vt:i4>
      </vt:variant>
      <vt:variant>
        <vt:i4>158</vt:i4>
      </vt:variant>
      <vt:variant>
        <vt:i4>0</vt:i4>
      </vt:variant>
      <vt:variant>
        <vt:i4>5</vt:i4>
      </vt:variant>
      <vt:variant>
        <vt:lpwstr/>
      </vt:variant>
      <vt:variant>
        <vt:lpwstr>_Toc153784434</vt:lpwstr>
      </vt:variant>
      <vt:variant>
        <vt:i4>1179710</vt:i4>
      </vt:variant>
      <vt:variant>
        <vt:i4>152</vt:i4>
      </vt:variant>
      <vt:variant>
        <vt:i4>0</vt:i4>
      </vt:variant>
      <vt:variant>
        <vt:i4>5</vt:i4>
      </vt:variant>
      <vt:variant>
        <vt:lpwstr/>
      </vt:variant>
      <vt:variant>
        <vt:lpwstr>_Toc153784433</vt:lpwstr>
      </vt:variant>
      <vt:variant>
        <vt:i4>1179710</vt:i4>
      </vt:variant>
      <vt:variant>
        <vt:i4>146</vt:i4>
      </vt:variant>
      <vt:variant>
        <vt:i4>0</vt:i4>
      </vt:variant>
      <vt:variant>
        <vt:i4>5</vt:i4>
      </vt:variant>
      <vt:variant>
        <vt:lpwstr/>
      </vt:variant>
      <vt:variant>
        <vt:lpwstr>_Toc153784432</vt:lpwstr>
      </vt:variant>
      <vt:variant>
        <vt:i4>1179710</vt:i4>
      </vt:variant>
      <vt:variant>
        <vt:i4>140</vt:i4>
      </vt:variant>
      <vt:variant>
        <vt:i4>0</vt:i4>
      </vt:variant>
      <vt:variant>
        <vt:i4>5</vt:i4>
      </vt:variant>
      <vt:variant>
        <vt:lpwstr/>
      </vt:variant>
      <vt:variant>
        <vt:lpwstr>_Toc153784431</vt:lpwstr>
      </vt:variant>
      <vt:variant>
        <vt:i4>1179710</vt:i4>
      </vt:variant>
      <vt:variant>
        <vt:i4>134</vt:i4>
      </vt:variant>
      <vt:variant>
        <vt:i4>0</vt:i4>
      </vt:variant>
      <vt:variant>
        <vt:i4>5</vt:i4>
      </vt:variant>
      <vt:variant>
        <vt:lpwstr/>
      </vt:variant>
      <vt:variant>
        <vt:lpwstr>_Toc153784430</vt:lpwstr>
      </vt:variant>
      <vt:variant>
        <vt:i4>1245246</vt:i4>
      </vt:variant>
      <vt:variant>
        <vt:i4>128</vt:i4>
      </vt:variant>
      <vt:variant>
        <vt:i4>0</vt:i4>
      </vt:variant>
      <vt:variant>
        <vt:i4>5</vt:i4>
      </vt:variant>
      <vt:variant>
        <vt:lpwstr/>
      </vt:variant>
      <vt:variant>
        <vt:lpwstr>_Toc153784429</vt:lpwstr>
      </vt:variant>
      <vt:variant>
        <vt:i4>1245246</vt:i4>
      </vt:variant>
      <vt:variant>
        <vt:i4>122</vt:i4>
      </vt:variant>
      <vt:variant>
        <vt:i4>0</vt:i4>
      </vt:variant>
      <vt:variant>
        <vt:i4>5</vt:i4>
      </vt:variant>
      <vt:variant>
        <vt:lpwstr/>
      </vt:variant>
      <vt:variant>
        <vt:lpwstr>_Toc153784428</vt:lpwstr>
      </vt:variant>
      <vt:variant>
        <vt:i4>1245246</vt:i4>
      </vt:variant>
      <vt:variant>
        <vt:i4>116</vt:i4>
      </vt:variant>
      <vt:variant>
        <vt:i4>0</vt:i4>
      </vt:variant>
      <vt:variant>
        <vt:i4>5</vt:i4>
      </vt:variant>
      <vt:variant>
        <vt:lpwstr/>
      </vt:variant>
      <vt:variant>
        <vt:lpwstr>_Toc153784427</vt:lpwstr>
      </vt:variant>
      <vt:variant>
        <vt:i4>1245246</vt:i4>
      </vt:variant>
      <vt:variant>
        <vt:i4>110</vt:i4>
      </vt:variant>
      <vt:variant>
        <vt:i4>0</vt:i4>
      </vt:variant>
      <vt:variant>
        <vt:i4>5</vt:i4>
      </vt:variant>
      <vt:variant>
        <vt:lpwstr/>
      </vt:variant>
      <vt:variant>
        <vt:lpwstr>_Toc153784426</vt:lpwstr>
      </vt:variant>
      <vt:variant>
        <vt:i4>1245246</vt:i4>
      </vt:variant>
      <vt:variant>
        <vt:i4>104</vt:i4>
      </vt:variant>
      <vt:variant>
        <vt:i4>0</vt:i4>
      </vt:variant>
      <vt:variant>
        <vt:i4>5</vt:i4>
      </vt:variant>
      <vt:variant>
        <vt:lpwstr/>
      </vt:variant>
      <vt:variant>
        <vt:lpwstr>_Toc153784425</vt:lpwstr>
      </vt:variant>
      <vt:variant>
        <vt:i4>1245246</vt:i4>
      </vt:variant>
      <vt:variant>
        <vt:i4>98</vt:i4>
      </vt:variant>
      <vt:variant>
        <vt:i4>0</vt:i4>
      </vt:variant>
      <vt:variant>
        <vt:i4>5</vt:i4>
      </vt:variant>
      <vt:variant>
        <vt:lpwstr/>
      </vt:variant>
      <vt:variant>
        <vt:lpwstr>_Toc153784424</vt:lpwstr>
      </vt:variant>
      <vt:variant>
        <vt:i4>1245246</vt:i4>
      </vt:variant>
      <vt:variant>
        <vt:i4>92</vt:i4>
      </vt:variant>
      <vt:variant>
        <vt:i4>0</vt:i4>
      </vt:variant>
      <vt:variant>
        <vt:i4>5</vt:i4>
      </vt:variant>
      <vt:variant>
        <vt:lpwstr/>
      </vt:variant>
      <vt:variant>
        <vt:lpwstr>_Toc153784423</vt:lpwstr>
      </vt:variant>
      <vt:variant>
        <vt:i4>1245246</vt:i4>
      </vt:variant>
      <vt:variant>
        <vt:i4>86</vt:i4>
      </vt:variant>
      <vt:variant>
        <vt:i4>0</vt:i4>
      </vt:variant>
      <vt:variant>
        <vt:i4>5</vt:i4>
      </vt:variant>
      <vt:variant>
        <vt:lpwstr/>
      </vt:variant>
      <vt:variant>
        <vt:lpwstr>_Toc153784422</vt:lpwstr>
      </vt:variant>
      <vt:variant>
        <vt:i4>1245246</vt:i4>
      </vt:variant>
      <vt:variant>
        <vt:i4>80</vt:i4>
      </vt:variant>
      <vt:variant>
        <vt:i4>0</vt:i4>
      </vt:variant>
      <vt:variant>
        <vt:i4>5</vt:i4>
      </vt:variant>
      <vt:variant>
        <vt:lpwstr/>
      </vt:variant>
      <vt:variant>
        <vt:lpwstr>_Toc153784421</vt:lpwstr>
      </vt:variant>
      <vt:variant>
        <vt:i4>1245246</vt:i4>
      </vt:variant>
      <vt:variant>
        <vt:i4>74</vt:i4>
      </vt:variant>
      <vt:variant>
        <vt:i4>0</vt:i4>
      </vt:variant>
      <vt:variant>
        <vt:i4>5</vt:i4>
      </vt:variant>
      <vt:variant>
        <vt:lpwstr/>
      </vt:variant>
      <vt:variant>
        <vt:lpwstr>_Toc153784420</vt:lpwstr>
      </vt:variant>
      <vt:variant>
        <vt:i4>1048638</vt:i4>
      </vt:variant>
      <vt:variant>
        <vt:i4>68</vt:i4>
      </vt:variant>
      <vt:variant>
        <vt:i4>0</vt:i4>
      </vt:variant>
      <vt:variant>
        <vt:i4>5</vt:i4>
      </vt:variant>
      <vt:variant>
        <vt:lpwstr/>
      </vt:variant>
      <vt:variant>
        <vt:lpwstr>_Toc153784419</vt:lpwstr>
      </vt:variant>
      <vt:variant>
        <vt:i4>1048638</vt:i4>
      </vt:variant>
      <vt:variant>
        <vt:i4>62</vt:i4>
      </vt:variant>
      <vt:variant>
        <vt:i4>0</vt:i4>
      </vt:variant>
      <vt:variant>
        <vt:i4>5</vt:i4>
      </vt:variant>
      <vt:variant>
        <vt:lpwstr/>
      </vt:variant>
      <vt:variant>
        <vt:lpwstr>_Toc153784418</vt:lpwstr>
      </vt:variant>
      <vt:variant>
        <vt:i4>1048638</vt:i4>
      </vt:variant>
      <vt:variant>
        <vt:i4>56</vt:i4>
      </vt:variant>
      <vt:variant>
        <vt:i4>0</vt:i4>
      </vt:variant>
      <vt:variant>
        <vt:i4>5</vt:i4>
      </vt:variant>
      <vt:variant>
        <vt:lpwstr/>
      </vt:variant>
      <vt:variant>
        <vt:lpwstr>_Toc153784417</vt:lpwstr>
      </vt:variant>
      <vt:variant>
        <vt:i4>1048638</vt:i4>
      </vt:variant>
      <vt:variant>
        <vt:i4>50</vt:i4>
      </vt:variant>
      <vt:variant>
        <vt:i4>0</vt:i4>
      </vt:variant>
      <vt:variant>
        <vt:i4>5</vt:i4>
      </vt:variant>
      <vt:variant>
        <vt:lpwstr/>
      </vt:variant>
      <vt:variant>
        <vt:lpwstr>_Toc153784416</vt:lpwstr>
      </vt:variant>
      <vt:variant>
        <vt:i4>1048638</vt:i4>
      </vt:variant>
      <vt:variant>
        <vt:i4>44</vt:i4>
      </vt:variant>
      <vt:variant>
        <vt:i4>0</vt:i4>
      </vt:variant>
      <vt:variant>
        <vt:i4>5</vt:i4>
      </vt:variant>
      <vt:variant>
        <vt:lpwstr/>
      </vt:variant>
      <vt:variant>
        <vt:lpwstr>_Toc153784415</vt:lpwstr>
      </vt:variant>
      <vt:variant>
        <vt:i4>1048638</vt:i4>
      </vt:variant>
      <vt:variant>
        <vt:i4>38</vt:i4>
      </vt:variant>
      <vt:variant>
        <vt:i4>0</vt:i4>
      </vt:variant>
      <vt:variant>
        <vt:i4>5</vt:i4>
      </vt:variant>
      <vt:variant>
        <vt:lpwstr/>
      </vt:variant>
      <vt:variant>
        <vt:lpwstr>_Toc153784414</vt:lpwstr>
      </vt:variant>
      <vt:variant>
        <vt:i4>1048638</vt:i4>
      </vt:variant>
      <vt:variant>
        <vt:i4>32</vt:i4>
      </vt:variant>
      <vt:variant>
        <vt:i4>0</vt:i4>
      </vt:variant>
      <vt:variant>
        <vt:i4>5</vt:i4>
      </vt:variant>
      <vt:variant>
        <vt:lpwstr/>
      </vt:variant>
      <vt:variant>
        <vt:lpwstr>_Toc153784413</vt:lpwstr>
      </vt:variant>
      <vt:variant>
        <vt:i4>1048638</vt:i4>
      </vt:variant>
      <vt:variant>
        <vt:i4>26</vt:i4>
      </vt:variant>
      <vt:variant>
        <vt:i4>0</vt:i4>
      </vt:variant>
      <vt:variant>
        <vt:i4>5</vt:i4>
      </vt:variant>
      <vt:variant>
        <vt:lpwstr/>
      </vt:variant>
      <vt:variant>
        <vt:lpwstr>_Toc153784412</vt:lpwstr>
      </vt:variant>
      <vt:variant>
        <vt:i4>1048638</vt:i4>
      </vt:variant>
      <vt:variant>
        <vt:i4>20</vt:i4>
      </vt:variant>
      <vt:variant>
        <vt:i4>0</vt:i4>
      </vt:variant>
      <vt:variant>
        <vt:i4>5</vt:i4>
      </vt:variant>
      <vt:variant>
        <vt:lpwstr/>
      </vt:variant>
      <vt:variant>
        <vt:lpwstr>_Toc153784411</vt:lpwstr>
      </vt:variant>
      <vt:variant>
        <vt:i4>1048638</vt:i4>
      </vt:variant>
      <vt:variant>
        <vt:i4>14</vt:i4>
      </vt:variant>
      <vt:variant>
        <vt:i4>0</vt:i4>
      </vt:variant>
      <vt:variant>
        <vt:i4>5</vt:i4>
      </vt:variant>
      <vt:variant>
        <vt:lpwstr/>
      </vt:variant>
      <vt:variant>
        <vt:lpwstr>_Toc153784410</vt:lpwstr>
      </vt:variant>
      <vt:variant>
        <vt:i4>1114174</vt:i4>
      </vt:variant>
      <vt:variant>
        <vt:i4>8</vt:i4>
      </vt:variant>
      <vt:variant>
        <vt:i4>0</vt:i4>
      </vt:variant>
      <vt:variant>
        <vt:i4>5</vt:i4>
      </vt:variant>
      <vt:variant>
        <vt:lpwstr/>
      </vt:variant>
      <vt:variant>
        <vt:lpwstr>_Toc153784409</vt:lpwstr>
      </vt:variant>
      <vt:variant>
        <vt:i4>1114174</vt:i4>
      </vt:variant>
      <vt:variant>
        <vt:i4>2</vt:i4>
      </vt:variant>
      <vt:variant>
        <vt:i4>0</vt:i4>
      </vt:variant>
      <vt:variant>
        <vt:i4>5</vt:i4>
      </vt:variant>
      <vt:variant>
        <vt:lpwstr/>
      </vt:variant>
      <vt:variant>
        <vt:lpwstr>_Toc153784408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Johan Manuel Mercado</cp:lastModifiedBy>
  <cp:revision>1074</cp:revision>
  <cp:lastPrinted>2023-12-19T02:05:00Z</cp:lastPrinted>
  <dcterms:created xsi:type="dcterms:W3CDTF">2023-12-12T21:31:00Z</dcterms:created>
  <dcterms:modified xsi:type="dcterms:W3CDTF">2024-01-05T17:51:00Z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1f5a2da-7ac4-4e60-a27b-a125ee74514f_Enabled">
    <vt:lpwstr>true</vt:lpwstr>
  </property>
  <property fmtid="{D5CDD505-2E9C-101B-9397-08002B2CF9AE}" pid="3" name="MSIP_Label_81f5a2da-7ac4-4e60-a27b-a125ee74514f_SetDate">
    <vt:lpwstr>2022-12-27T18:32:21Z</vt:lpwstr>
  </property>
  <property fmtid="{D5CDD505-2E9C-101B-9397-08002B2CF9AE}" pid="4" name="MSIP_Label_81f5a2da-7ac4-4e60-a27b-a125ee74514f_Method">
    <vt:lpwstr>Privileged</vt:lpwstr>
  </property>
  <property fmtid="{D5CDD505-2E9C-101B-9397-08002B2CF9AE}" pid="5" name="MSIP_Label_81f5a2da-7ac4-4e60-a27b-a125ee74514f_Name">
    <vt:lpwstr>Publica - Visual Marking</vt:lpwstr>
  </property>
  <property fmtid="{D5CDD505-2E9C-101B-9397-08002B2CF9AE}" pid="6" name="MSIP_Label_81f5a2da-7ac4-4e60-a27b-a125ee74514f_SiteId">
    <vt:lpwstr>d994480d-72f7-4fe9-8095-21c86c20a5a3</vt:lpwstr>
  </property>
  <property fmtid="{D5CDD505-2E9C-101B-9397-08002B2CF9AE}" pid="7" name="MSIP_Label_81f5a2da-7ac4-4e60-a27b-a125ee74514f_ActionId">
    <vt:lpwstr>499e0fd7-3222-4aea-9d12-36cb78328536</vt:lpwstr>
  </property>
  <property fmtid="{D5CDD505-2E9C-101B-9397-08002B2CF9AE}" pid="8" name="MSIP_Label_81f5a2da-7ac4-4e60-a27b-a125ee74514f_ContentBits">
    <vt:lpwstr>0</vt:lpwstr>
  </property>
  <property fmtid="{D5CDD505-2E9C-101B-9397-08002B2CF9AE}" pid="9" name="ContentTypeId">
    <vt:lpwstr>0x01010059925D5DAF3E0A4893FDBB199FC9739D</vt:lpwstr>
  </property>
  <property fmtid="{D5CDD505-2E9C-101B-9397-08002B2CF9AE}" pid="10" name="MediaServiceImageTags">
    <vt:lpwstr/>
  </property>
</Properties>
</file>