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tmp" ContentType="image/png"/>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514A924" w14:textId="627B7443" w:rsidR="008D7F4E" w:rsidRPr="00C865B6" w:rsidRDefault="00DF0B54" w:rsidP="006B204A">
      <w:pPr>
        <w:rPr>
          <w:lang w:val="es-DO"/>
        </w:rPr>
      </w:pPr>
      <w:bookmarkStart w:id="0" w:name="_Hlk123205458"/>
      <w:r w:rsidRPr="00C865B6">
        <w:rPr>
          <w:noProof/>
        </w:rPr>
        <w:drawing>
          <wp:anchor distT="0" distB="0" distL="114300" distR="114300" simplePos="0" relativeHeight="251658258" behindDoc="0" locked="0" layoutInCell="1" allowOverlap="1" wp14:anchorId="3F0A51DA" wp14:editId="7CF7F9DE">
            <wp:simplePos x="0" y="0"/>
            <wp:positionH relativeFrom="margin">
              <wp:align>center</wp:align>
            </wp:positionH>
            <wp:positionV relativeFrom="paragraph">
              <wp:posOffset>274955</wp:posOffset>
            </wp:positionV>
            <wp:extent cx="1280160" cy="1207770"/>
            <wp:effectExtent l="0" t="0" r="0" b="0"/>
            <wp:wrapNone/>
            <wp:docPr id="1" name="Imagen 1" descr="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280160" cy="1207770"/>
                    </a:xfrm>
                    <a:prstGeom prst="rect">
                      <a:avLst/>
                    </a:prstGeom>
                  </pic:spPr>
                </pic:pic>
              </a:graphicData>
            </a:graphic>
            <wp14:sizeRelH relativeFrom="page">
              <wp14:pctWidth>0</wp14:pctWidth>
            </wp14:sizeRelH>
            <wp14:sizeRelV relativeFrom="page">
              <wp14:pctHeight>0</wp14:pctHeight>
            </wp14:sizeRelV>
          </wp:anchor>
        </w:drawing>
      </w:r>
    </w:p>
    <w:p w14:paraId="24A9A258" w14:textId="3DC24FC8" w:rsidR="008D7F4E" w:rsidRPr="00C865B6" w:rsidRDefault="008D7F4E" w:rsidP="006B204A">
      <w:pPr>
        <w:rPr>
          <w:lang w:val="es-DO"/>
        </w:rPr>
      </w:pPr>
    </w:p>
    <w:p w14:paraId="1AC5E2C3" w14:textId="77777777" w:rsidR="008D7F4E" w:rsidRPr="00C865B6" w:rsidRDefault="008D7F4E" w:rsidP="006B204A">
      <w:pPr>
        <w:rPr>
          <w:lang w:val="es-DO"/>
        </w:rPr>
      </w:pPr>
    </w:p>
    <w:p w14:paraId="34990FAF" w14:textId="52B5DA41" w:rsidR="008D7F4E" w:rsidRPr="00C865B6" w:rsidRDefault="008D7F4E" w:rsidP="006B204A">
      <w:pPr>
        <w:rPr>
          <w:lang w:val="es-DO"/>
        </w:rPr>
      </w:pPr>
      <w:bookmarkStart w:id="1" w:name="_Hlk86404256"/>
      <w:bookmarkEnd w:id="1"/>
    </w:p>
    <w:p w14:paraId="6EFB72EE" w14:textId="272B2AD6" w:rsidR="008D7F4E" w:rsidRPr="00C865B6" w:rsidRDefault="008D7F4E" w:rsidP="006B204A">
      <w:pPr>
        <w:rPr>
          <w:lang w:val="es-DO"/>
        </w:rPr>
      </w:pPr>
    </w:p>
    <w:p w14:paraId="3F7503CE" w14:textId="172B5CFE" w:rsidR="008D7F4E" w:rsidRPr="00C865B6" w:rsidRDefault="008D7F4E" w:rsidP="006B204A">
      <w:pPr>
        <w:rPr>
          <w:lang w:val="es-DO"/>
        </w:rPr>
      </w:pPr>
    </w:p>
    <w:p w14:paraId="071FCCAE" w14:textId="759B330B" w:rsidR="008D7F4E" w:rsidRPr="00C865B6" w:rsidRDefault="00A63A00" w:rsidP="006B204A">
      <w:pPr>
        <w:rPr>
          <w:lang w:val="es-DO"/>
        </w:rPr>
      </w:pPr>
      <w:r w:rsidRPr="00C865B6">
        <w:rPr>
          <w:noProof/>
        </w:rPr>
        <mc:AlternateContent>
          <mc:Choice Requires="wps">
            <w:drawing>
              <wp:anchor distT="0" distB="0" distL="114300" distR="114300" simplePos="0" relativeHeight="251658244" behindDoc="0" locked="0" layoutInCell="1" allowOverlap="1" wp14:anchorId="49B1C421" wp14:editId="091888C5">
                <wp:simplePos x="0" y="0"/>
                <wp:positionH relativeFrom="margin">
                  <wp:align>center</wp:align>
                </wp:positionH>
                <wp:positionV relativeFrom="paragraph">
                  <wp:posOffset>11430</wp:posOffset>
                </wp:positionV>
                <wp:extent cx="1884680" cy="177165"/>
                <wp:effectExtent l="0" t="0" r="0" b="0"/>
                <wp:wrapNone/>
                <wp:docPr id="6" name="Cuadro de texto 6"/>
                <wp:cNvGraphicFramePr/>
                <a:graphic xmlns:a="http://schemas.openxmlformats.org/drawingml/2006/main">
                  <a:graphicData uri="http://schemas.microsoft.com/office/word/2010/wordprocessingShape">
                    <wps:wsp>
                      <wps:cNvSpPr txBox="1"/>
                      <wps:spPr>
                        <a:xfrm>
                          <a:off x="0" y="0"/>
                          <a:ext cx="1884680" cy="177165"/>
                        </a:xfrm>
                        <a:prstGeom prst="rect">
                          <a:avLst/>
                        </a:prstGeom>
                      </wps:spPr>
                      <wps:txbx>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type w14:anchorId="49B1C421" id="_x0000_t202" coordsize="21600,21600" o:spt="202" path="m,l,21600r21600,l21600,xe">
                <v:stroke joinstyle="miter"/>
                <v:path gradientshapeok="t" o:connecttype="rect"/>
              </v:shapetype>
              <v:shape id="Cuadro de texto 6" o:spid="_x0000_s1026" type="#_x0000_t202" style="position:absolute;margin-left:0;margin-top:.9pt;width:148.4pt;height:13.95pt;z-index:25165824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" filled="f" stroked="f">
                <v:textbox inset="0,1pt,0,0">
                  <w:txbxContent>
                    <w:p w14:paraId="65FDDD46" w14:textId="77777777" w:rsidR="008D7F4E" w:rsidRPr="005C548C" w:rsidRDefault="008D7F4E" w:rsidP="008D7F4E">
                      <w:pPr>
                        <w:spacing w:before="20"/>
                        <w:ind w:left="14"/>
                        <w:rPr>
                          <w:b/>
                          <w:bCs/>
                          <w:color w:val="D0B787"/>
                          <w:spacing w:val="9"/>
                          <w:kern w:val="24"/>
                          <w:sz w:val="20"/>
                          <w:szCs w:val="20"/>
                        </w:rPr>
                      </w:pPr>
                      <w:r w:rsidRPr="005C548C">
                        <w:rPr>
                          <w:b/>
                          <w:bCs/>
                          <w:color w:val="D0B787"/>
                          <w:spacing w:val="9"/>
                          <w:kern w:val="24"/>
                          <w:sz w:val="20"/>
                          <w:szCs w:val="20"/>
                        </w:rPr>
                        <w:t>REPÚBLICA</w:t>
                      </w:r>
                      <w:r w:rsidRPr="005C548C">
                        <w:rPr>
                          <w:b/>
                          <w:bCs/>
                          <w:color w:val="D0B787"/>
                          <w:spacing w:val="11"/>
                          <w:kern w:val="24"/>
                          <w:sz w:val="20"/>
                          <w:szCs w:val="20"/>
                        </w:rPr>
                        <w:t xml:space="preserve"> DOMINICANA</w:t>
                      </w:r>
                    </w:p>
                  </w:txbxContent>
                </v:textbox>
                <w10:wrap anchorx="margin"/>
              </v:shape>
            </w:pict>
          </mc:Fallback>
        </mc:AlternateContent>
      </w:r>
    </w:p>
    <w:p w14:paraId="69FBF6B1" w14:textId="7ADAC71B" w:rsidR="008D7F4E" w:rsidRPr="00C865B6" w:rsidRDefault="008D7F4E" w:rsidP="006B204A">
      <w:pPr>
        <w:rPr>
          <w:lang w:val="es-DO"/>
        </w:rPr>
      </w:pPr>
    </w:p>
    <w:p w14:paraId="0233C915" w14:textId="77777777" w:rsidR="008D7F4E" w:rsidRPr="00C865B6" w:rsidRDefault="008D7F4E" w:rsidP="006B204A">
      <w:pPr>
        <w:rPr>
          <w:lang w:val="es-DO"/>
        </w:rPr>
      </w:pPr>
    </w:p>
    <w:p w14:paraId="274DCED8" w14:textId="29760130" w:rsidR="004F2DD5" w:rsidRPr="00C865B6" w:rsidRDefault="00E7088E" w:rsidP="006B204A">
      <w:r w:rsidRPr="00C865B6">
        <w:rPr>
          <w:noProof/>
        </w:rPr>
        <mc:AlternateContent>
          <mc:Choice Requires="wps">
            <w:drawing>
              <wp:anchor distT="4294967295" distB="4294967295" distL="114300" distR="114300" simplePos="0" relativeHeight="251658248" behindDoc="0" locked="0" layoutInCell="1" allowOverlap="1" wp14:anchorId="209AF3DE" wp14:editId="6524D345">
                <wp:simplePos x="0" y="0"/>
                <wp:positionH relativeFrom="margin">
                  <wp:posOffset>2266950</wp:posOffset>
                </wp:positionH>
                <wp:positionV relativeFrom="paragraph">
                  <wp:posOffset>1550508</wp:posOffset>
                </wp:positionV>
                <wp:extent cx="463550" cy="0"/>
                <wp:effectExtent l="0" t="19050" r="31750" b="19050"/>
                <wp:wrapNone/>
                <wp:docPr id="9" name="Conector recto 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0A120E7" id="Conector recto 9" o:spid="_x0000_s1026" style="position:absolute;z-index:251658249;visibility:visible;mso-wrap-style:square;mso-width-percent:0;mso-height-percent:0;mso-wrap-distance-left:9pt;mso-wrap-distance-top:-3e-5mm;mso-wrap-distance-right:9pt;mso-wrap-distance-bottom:-3e-5mm;mso-position-horizontal:absolute;mso-position-horizontal-relative:margin;mso-position-vertical:absolute;mso-position-vertical-relative:text;mso-width-percent:0;mso-height-percent:0;mso-width-relative:page;mso-height-relative:page" from="178.5pt,122.1pt" to="215pt,1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" strokecolor="#c8b688" strokeweight="2.25pt">
                <v:stroke joinstyle="miter"/>
                <o:lock v:ext="edit" shapetype="f"/>
                <w10:wrap anchorx="margin"/>
              </v:line>
            </w:pict>
          </mc:Fallback>
        </mc:AlternateContent>
      </w:r>
      <w:r w:rsidR="00DA6C2F" w:rsidRPr="00C865B6">
        <w:rPr>
          <w:noProof/>
        </w:rPr>
        <mc:AlternateContent>
          <mc:Choice Requires="wps">
            <w:drawing>
              <wp:anchor distT="0" distB="0" distL="114300" distR="114300" simplePos="0" relativeHeight="251658243" behindDoc="0" locked="0" layoutInCell="1" allowOverlap="1" wp14:anchorId="6B2EB822" wp14:editId="7FBDA475">
                <wp:simplePos x="0" y="0"/>
                <wp:positionH relativeFrom="margin">
                  <wp:align>center</wp:align>
                </wp:positionH>
                <wp:positionV relativeFrom="paragraph">
                  <wp:posOffset>1739900</wp:posOffset>
                </wp:positionV>
                <wp:extent cx="3070747" cy="390496"/>
                <wp:effectExtent l="0" t="0" r="0" b="0"/>
                <wp:wrapNone/>
                <wp:docPr id="5" name="Cuadro de texto 5"/>
                <wp:cNvGraphicFramePr/>
                <a:graphic xmlns:a="http://schemas.openxmlformats.org/drawingml/2006/main">
                  <a:graphicData uri="http://schemas.microsoft.com/office/word/2010/wordprocessingShape">
                    <wps:wsp>
                      <wps:cNvSpPr txBox="1"/>
                      <wps:spPr>
                        <a:xfrm>
                          <a:off x="0" y="0"/>
                          <a:ext cx="3070747" cy="390496"/>
                        </a:xfrm>
                        <a:prstGeom prst="rect">
                          <a:avLst/>
                        </a:prstGeom>
                      </wps:spPr>
                      <wps:txbx>
                        <w:txbxContent>
                          <w:p w14:paraId="50ABDE0F" w14:textId="2C1B9E46" w:rsidR="008D7F4E" w:rsidRPr="00F36012" w:rsidRDefault="008D7F4E" w:rsidP="00151607">
                            <w:pPr>
                              <w:spacing w:before="20"/>
                              <w:ind w:left="14"/>
                              <w:jc w:val="center"/>
                              <w:rPr>
                                <w:b/>
                                <w:bCs/>
                                <w:color w:val="D5B788"/>
                                <w:spacing w:val="74"/>
                                <w:kern w:val="24"/>
                                <w:sz w:val="28"/>
                                <w:szCs w:val="28"/>
                              </w:rPr>
                            </w:pPr>
                            <w:r w:rsidRPr="00F36012">
                              <w:rPr>
                                <w:b/>
                                <w:bCs/>
                                <w:color w:val="D5B788"/>
                                <w:spacing w:val="74"/>
                                <w:kern w:val="24"/>
                                <w:sz w:val="28"/>
                                <w:szCs w:val="28"/>
                              </w:rPr>
                              <w:t>A</w:t>
                            </w:r>
                            <w:r w:rsidR="00AA7013">
                              <w:rPr>
                                <w:b/>
                                <w:bCs/>
                                <w:color w:val="D5B788"/>
                                <w:spacing w:val="74"/>
                                <w:kern w:val="24"/>
                                <w:sz w:val="28"/>
                                <w:szCs w:val="28"/>
                              </w:rPr>
                              <w:t>ño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7C5C5D">
                              <w:rPr>
                                <w:b/>
                                <w:bCs/>
                                <w:color w:val="D5B788"/>
                                <w:spacing w:val="28"/>
                                <w:kern w:val="24"/>
                                <w:sz w:val="28"/>
                                <w:szCs w:val="28"/>
                              </w:rPr>
                              <w:t>3</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B2EB822" id="Cuadro de texto 5" o:spid="_x0000_s1027" type="#_x0000_t202" style="position:absolute;margin-left:0;margin-top:137pt;width:241.8pt;height:30.75pt;z-index:251658243;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" filled="f" stroked="f">
                <v:textbox inset="0,1pt,0,0">
                  <w:txbxContent>
                    <w:p w14:paraId="50ABDE0F" w14:textId="2C1B9E46" w:rsidR="008D7F4E" w:rsidRPr="00F36012" w:rsidRDefault="008D7F4E" w:rsidP="00151607">
                      <w:pPr>
                        <w:spacing w:before="20"/>
                        <w:ind w:left="14"/>
                        <w:jc w:val="center"/>
                        <w:rPr>
                          <w:b/>
                          <w:bCs/>
                          <w:color w:val="D5B788"/>
                          <w:spacing w:val="74"/>
                          <w:kern w:val="24"/>
                          <w:sz w:val="28"/>
                          <w:szCs w:val="28"/>
                        </w:rPr>
                      </w:pPr>
                      <w:r w:rsidRPr="00F36012">
                        <w:rPr>
                          <w:b/>
                          <w:bCs/>
                          <w:color w:val="D5B788"/>
                          <w:spacing w:val="74"/>
                          <w:kern w:val="24"/>
                          <w:sz w:val="28"/>
                          <w:szCs w:val="28"/>
                        </w:rPr>
                        <w:t>A</w:t>
                      </w:r>
                      <w:r w:rsidR="00AA7013">
                        <w:rPr>
                          <w:b/>
                          <w:bCs/>
                          <w:color w:val="D5B788"/>
                          <w:spacing w:val="74"/>
                          <w:kern w:val="24"/>
                          <w:sz w:val="28"/>
                          <w:szCs w:val="28"/>
                        </w:rPr>
                        <w:t>ño</w:t>
                      </w:r>
                      <w:r w:rsidRPr="00F36012">
                        <w:rPr>
                          <w:b/>
                          <w:bCs/>
                          <w:color w:val="D5B788"/>
                          <w:spacing w:val="74"/>
                          <w:kern w:val="24"/>
                          <w:sz w:val="28"/>
                          <w:szCs w:val="28"/>
                        </w:rPr>
                        <w:t xml:space="preserve"> </w:t>
                      </w:r>
                      <w:r w:rsidRPr="00F36012">
                        <w:rPr>
                          <w:b/>
                          <w:bCs/>
                          <w:color w:val="D5B788"/>
                          <w:spacing w:val="68"/>
                          <w:kern w:val="24"/>
                          <w:sz w:val="28"/>
                          <w:szCs w:val="28"/>
                        </w:rPr>
                        <w:t>2</w:t>
                      </w:r>
                      <w:r w:rsidRPr="00F36012">
                        <w:rPr>
                          <w:b/>
                          <w:bCs/>
                          <w:color w:val="D5B788"/>
                          <w:spacing w:val="28"/>
                          <w:kern w:val="24"/>
                          <w:sz w:val="28"/>
                          <w:szCs w:val="28"/>
                        </w:rPr>
                        <w:t>0</w:t>
                      </w:r>
                      <w:r w:rsidRPr="00F36012">
                        <w:rPr>
                          <w:b/>
                          <w:bCs/>
                          <w:color w:val="D5B788"/>
                          <w:spacing w:val="-23"/>
                          <w:kern w:val="24"/>
                          <w:sz w:val="28"/>
                          <w:szCs w:val="28"/>
                        </w:rPr>
                        <w:t xml:space="preserve"> </w:t>
                      </w:r>
                      <w:r w:rsidRPr="00F36012">
                        <w:rPr>
                          <w:b/>
                          <w:bCs/>
                          <w:color w:val="D5B788"/>
                          <w:spacing w:val="68"/>
                          <w:kern w:val="24"/>
                          <w:sz w:val="28"/>
                          <w:szCs w:val="28"/>
                        </w:rPr>
                        <w:t>2</w:t>
                      </w:r>
                      <w:r w:rsidR="007C5C5D">
                        <w:rPr>
                          <w:b/>
                          <w:bCs/>
                          <w:color w:val="D5B788"/>
                          <w:spacing w:val="28"/>
                          <w:kern w:val="24"/>
                          <w:sz w:val="28"/>
                          <w:szCs w:val="28"/>
                        </w:rPr>
                        <w:t>3</w:t>
                      </w:r>
                    </w:p>
                  </w:txbxContent>
                </v:textbox>
                <w10:wrap anchorx="margin"/>
              </v:shape>
            </w:pict>
          </mc:Fallback>
        </mc:AlternateContent>
      </w:r>
      <w:r w:rsidR="00DA6C2F" w:rsidRPr="00C865B6">
        <w:rPr>
          <w:noProof/>
        </w:rPr>
        <mc:AlternateContent>
          <mc:Choice Requires="wps">
            <w:drawing>
              <wp:anchor distT="0" distB="0" distL="114300" distR="114300" simplePos="0" relativeHeight="251658242" behindDoc="0" locked="0" layoutInCell="1" allowOverlap="1" wp14:anchorId="0C109D41" wp14:editId="7BC62140">
                <wp:simplePos x="0" y="0"/>
                <wp:positionH relativeFrom="margin">
                  <wp:align>center</wp:align>
                </wp:positionH>
                <wp:positionV relativeFrom="paragraph">
                  <wp:posOffset>511810</wp:posOffset>
                </wp:positionV>
                <wp:extent cx="5758815" cy="985651"/>
                <wp:effectExtent l="0" t="0" r="0" b="0"/>
                <wp:wrapNone/>
                <wp:docPr id="4" name="Cuadro de texto 4"/>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0C109D41" id="Cuadro de texto 4" o:spid="_x0000_s1028" type="#_x0000_t202" style="position:absolute;margin-left:0;margin-top:40.3pt;width:453.45pt;height:77.6pt;z-index:251658242;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" filled="f" stroked="f">
                <v:textbox inset="0,1.35pt,0,0">
                  <w:txbxContent>
                    <w:p w14:paraId="31112306"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9797032"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0C3AA7DD" w14:textId="4D898DC8" w:rsidR="008D7F4E" w:rsidRPr="008D7F4E" w:rsidRDefault="008D7F4E" w:rsidP="008D7F4E">
                      <w:pPr>
                        <w:spacing w:after="0"/>
                        <w:jc w:val="center"/>
                        <w:rPr>
                          <w:b/>
                          <w:bCs/>
                          <w:color w:val="D5B788"/>
                          <w:spacing w:val="60"/>
                          <w:kern w:val="24"/>
                          <w:sz w:val="56"/>
                          <w:szCs w:val="56"/>
                          <w:lang w:val="es-DO"/>
                        </w:rPr>
                      </w:pPr>
                    </w:p>
                  </w:txbxContent>
                </v:textbox>
                <w10:wrap anchorx="margin"/>
              </v:shape>
            </w:pict>
          </mc:Fallback>
        </mc:AlternateContent>
      </w:r>
      <w:r w:rsidR="006160B6" w:rsidRPr="00C865B6">
        <w:rPr>
          <w:noProof/>
        </w:rPr>
        <mc:AlternateContent>
          <mc:Choice Requires="wps">
            <w:drawing>
              <wp:anchor distT="0" distB="0" distL="114300" distR="114300" simplePos="0" relativeHeight="251658247" behindDoc="0" locked="0" layoutInCell="1" allowOverlap="1" wp14:anchorId="4B9C2ACC" wp14:editId="6230B0DD">
                <wp:simplePos x="0" y="0"/>
                <wp:positionH relativeFrom="column">
                  <wp:posOffset>4719955</wp:posOffset>
                </wp:positionH>
                <wp:positionV relativeFrom="paragraph">
                  <wp:posOffset>8886825</wp:posOffset>
                </wp:positionV>
                <wp:extent cx="542925" cy="509270"/>
                <wp:effectExtent l="0" t="0" r="9525" b="5080"/>
                <wp:wrapNone/>
                <wp:docPr id="44" name="Forma libre: forma 44"/>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542925" cy="509270"/>
                        </a:xfrm>
                        <a:custGeom>
                          <a:avLst/>
                          <a:gdLst/>
                          <a:ahLst/>
                          <a:cxnLst/>
                          <a:rect l="l" t="t" r="r" b="b"/>
                          <a:pathLst>
                            <a:path w="542925" h="509270">
                              <a:moveTo>
                                <a:pt x="469493" y="480745"/>
                              </a:moveTo>
                              <a:lnTo>
                                <a:pt x="443026" y="420751"/>
                              </a:lnTo>
                              <a:lnTo>
                                <a:pt x="411670" y="394119"/>
                              </a:lnTo>
                              <a:lnTo>
                                <a:pt x="345376" y="367334"/>
                              </a:lnTo>
                              <a:lnTo>
                                <a:pt x="301078" y="358165"/>
                              </a:lnTo>
                              <a:lnTo>
                                <a:pt x="246227" y="353021"/>
                              </a:lnTo>
                              <a:lnTo>
                                <a:pt x="178435" y="352831"/>
                              </a:lnTo>
                              <a:lnTo>
                                <a:pt x="95364" y="358508"/>
                              </a:lnTo>
                              <a:lnTo>
                                <a:pt x="247738" y="379996"/>
                              </a:lnTo>
                              <a:lnTo>
                                <a:pt x="335800" y="402526"/>
                              </a:lnTo>
                              <a:lnTo>
                                <a:pt x="393103" y="439928"/>
                              </a:lnTo>
                              <a:lnTo>
                                <a:pt x="453174" y="506006"/>
                              </a:lnTo>
                              <a:lnTo>
                                <a:pt x="454482" y="507199"/>
                              </a:lnTo>
                              <a:lnTo>
                                <a:pt x="457822" y="508825"/>
                              </a:lnTo>
                              <a:lnTo>
                                <a:pt x="462343" y="507949"/>
                              </a:lnTo>
                              <a:lnTo>
                                <a:pt x="467156" y="501599"/>
                              </a:lnTo>
                              <a:lnTo>
                                <a:pt x="469493" y="480745"/>
                              </a:lnTo>
                              <a:close/>
                            </a:path>
                            <a:path w="542925" h="509270">
                              <a:moveTo>
                                <a:pt x="521449" y="422846"/>
                              </a:moveTo>
                              <a:lnTo>
                                <a:pt x="487654" y="346379"/>
                              </a:lnTo>
                              <a:lnTo>
                                <a:pt x="430403" y="305701"/>
                              </a:lnTo>
                              <a:lnTo>
                                <a:pt x="392887" y="290309"/>
                              </a:lnTo>
                              <a:lnTo>
                                <a:pt x="322529" y="272478"/>
                              </a:lnTo>
                              <a:lnTo>
                                <a:pt x="274904" y="265658"/>
                              </a:lnTo>
                              <a:lnTo>
                                <a:pt x="218884" y="261848"/>
                              </a:lnTo>
                              <a:lnTo>
                                <a:pt x="154432" y="262255"/>
                              </a:lnTo>
                              <a:lnTo>
                                <a:pt x="81495" y="268097"/>
                              </a:lnTo>
                              <a:lnTo>
                                <a:pt x="0" y="280555"/>
                              </a:lnTo>
                              <a:lnTo>
                                <a:pt x="241833" y="283540"/>
                              </a:lnTo>
                              <a:lnTo>
                                <a:pt x="374916" y="302133"/>
                              </a:lnTo>
                              <a:lnTo>
                                <a:pt x="446468" y="352209"/>
                              </a:lnTo>
                              <a:lnTo>
                                <a:pt x="503732" y="449592"/>
                              </a:lnTo>
                              <a:lnTo>
                                <a:pt x="505193" y="451142"/>
                              </a:lnTo>
                              <a:lnTo>
                                <a:pt x="508774" y="453580"/>
                              </a:lnTo>
                              <a:lnTo>
                                <a:pt x="513181" y="453669"/>
                              </a:lnTo>
                              <a:lnTo>
                                <a:pt x="517182" y="448132"/>
                              </a:lnTo>
                              <a:lnTo>
                                <a:pt x="521449" y="422846"/>
                              </a:lnTo>
                              <a:close/>
                            </a:path>
                            <a:path w="542925" h="509270">
                              <a:moveTo>
                                <a:pt x="542658" y="361467"/>
                              </a:moveTo>
                              <a:lnTo>
                                <a:pt x="539229" y="301866"/>
                              </a:lnTo>
                              <a:lnTo>
                                <a:pt x="527697" y="269087"/>
                              </a:lnTo>
                              <a:lnTo>
                                <a:pt x="498741" y="251523"/>
                              </a:lnTo>
                              <a:lnTo>
                                <a:pt x="443001" y="237540"/>
                              </a:lnTo>
                              <a:lnTo>
                                <a:pt x="453275" y="232930"/>
                              </a:lnTo>
                              <a:lnTo>
                                <a:pt x="476542" y="216649"/>
                              </a:lnTo>
                              <a:lnTo>
                                <a:pt x="501421" y="185026"/>
                              </a:lnTo>
                              <a:lnTo>
                                <a:pt x="516547" y="134416"/>
                              </a:lnTo>
                              <a:lnTo>
                                <a:pt x="508228" y="82753"/>
                              </a:lnTo>
                              <a:lnTo>
                                <a:pt x="483108" y="44183"/>
                              </a:lnTo>
                              <a:lnTo>
                                <a:pt x="447649" y="18046"/>
                              </a:lnTo>
                              <a:lnTo>
                                <a:pt x="408343" y="3632"/>
                              </a:lnTo>
                              <a:lnTo>
                                <a:pt x="359117" y="0"/>
                              </a:lnTo>
                              <a:lnTo>
                                <a:pt x="172377" y="241"/>
                              </a:lnTo>
                              <a:lnTo>
                                <a:pt x="172288" y="165176"/>
                              </a:lnTo>
                              <a:lnTo>
                                <a:pt x="172542" y="206806"/>
                              </a:lnTo>
                              <a:lnTo>
                                <a:pt x="199491" y="209765"/>
                              </a:lnTo>
                              <a:lnTo>
                                <a:pt x="218147" y="212483"/>
                              </a:lnTo>
                              <a:lnTo>
                                <a:pt x="237210" y="216535"/>
                              </a:lnTo>
                              <a:lnTo>
                                <a:pt x="265417" y="223469"/>
                              </a:lnTo>
                              <a:lnTo>
                                <a:pt x="265417" y="77266"/>
                              </a:lnTo>
                              <a:lnTo>
                                <a:pt x="338963" y="77343"/>
                              </a:lnTo>
                              <a:lnTo>
                                <a:pt x="371525" y="83299"/>
                              </a:lnTo>
                              <a:lnTo>
                                <a:pt x="403936" y="103695"/>
                              </a:lnTo>
                              <a:lnTo>
                                <a:pt x="418338" y="147142"/>
                              </a:lnTo>
                              <a:lnTo>
                                <a:pt x="415925" y="194195"/>
                              </a:lnTo>
                              <a:lnTo>
                                <a:pt x="402196" y="218440"/>
                              </a:lnTo>
                              <a:lnTo>
                                <a:pt x="365506" y="227584"/>
                              </a:lnTo>
                              <a:lnTo>
                                <a:pt x="294233" y="229336"/>
                              </a:lnTo>
                              <a:lnTo>
                                <a:pt x="321665" y="235572"/>
                              </a:lnTo>
                              <a:lnTo>
                                <a:pt x="388099" y="256959"/>
                              </a:lnTo>
                              <a:lnTo>
                                <a:pt x="469709" y="297573"/>
                              </a:lnTo>
                              <a:lnTo>
                                <a:pt x="542658" y="361467"/>
                              </a:lnTo>
                              <a:close/>
                            </a:path>
                          </a:pathLst>
                        </a:custGeom>
                        <a:solidFill>
                          <a:srgbClr val="D5B788"/>
                        </a:solidFill>
                      </wps:spPr>
                      <wps:bodyPr wrap="square" lIns="0" tIns="0" rIns="0" bIns="0" rtlCol="0"/>
                    </wps:wsp>
                  </a:graphicData>
                </a:graphic>
                <wp14:sizeRelH relativeFrom="margin">
                  <wp14:pctWidth>0</wp14:pctWidth>
                </wp14:sizeRelH>
                <wp14:sizeRelV relativeFrom="margin">
                  <wp14:pctHeight>0</wp14:pctHeight>
                </wp14:sizeRelV>
              </wp:anchor>
            </w:drawing>
          </mc:Choice>
          <mc:Fallback xmlns:w16du="http://schemas.microsoft.com/office/word/2023/wordml/word16du" xmlns:arto="http://schemas.microsoft.com/office/word/2006/arto">
            <w:pict>
              <v:shape w14:anchorId="6A1DA4F6" id="Forma libre: forma 44" o:spid="_x0000_s1026" style="position:absolute;margin-left:371.65pt;margin-top:699.75pt;width:42.75pt;height:40.1pt;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542925,50927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" path="m469493,480745l443026,420751,411670,394119,345376,367334r-44298,-9169l246227,353021r-67792,-190l95364,358508r152374,21488l335800,402526r57303,37402l453174,506006r1308,1193l457822,508825r4521,-876l467156,501599r2337,-20854xem521449,422846l487654,346379,430403,305701,392887,290309,322529,272478r-47625,-6820l218884,261848r-64452,407l81495,268097,,280555r241833,2985l374916,302133r71552,50076l503732,449592r1461,1550l508774,453580r4407,89l517182,448132r4267,-25286xem542658,361467r-3429,-59601l527697,269087,498741,251523,443001,237540r10274,-4610l476542,216649r24879,-31623l516547,134416,508228,82753,483108,44183,447649,18046,408343,3632,359117,,172377,241r-89,164935l172542,206806r26949,2959l218147,212483r19063,4052l265417,223469r,-146203l338963,77343r32562,5956l403936,103695r14402,43447l415925,194195r-13729,24245l365506,227584r-71273,1752l321665,235572r66434,21387l469709,297573r72949,63894xe" fillcolor="#d5b788" stroked="f">
                <v:path arrowok="t"/>
              </v:shape>
            </w:pict>
          </mc:Fallback>
        </mc:AlternateContent>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8D7F4E" w:rsidRPr="00C865B6">
        <w:rPr>
          <w:lang w:val="es-DO"/>
        </w:rPr>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r w:rsidR="004F2DD5" w:rsidRPr="00C865B6">
        <w:tab/>
      </w:r>
    </w:p>
    <w:p w14:paraId="6F050B88" w14:textId="656207D5" w:rsidR="004F2DD5" w:rsidRPr="00C865B6" w:rsidRDefault="0086267D" w:rsidP="006B204A">
      <w:r w:rsidRPr="00C865B6">
        <w:rPr>
          <w:noProof/>
        </w:rPr>
        <w:drawing>
          <wp:anchor distT="0" distB="0" distL="114300" distR="114300" simplePos="0" relativeHeight="251658259" behindDoc="0" locked="0" layoutInCell="1" allowOverlap="1" wp14:anchorId="3B8AB68D" wp14:editId="6E39DF79">
            <wp:simplePos x="0" y="0"/>
            <wp:positionH relativeFrom="margin">
              <wp:align>right</wp:align>
            </wp:positionH>
            <wp:positionV relativeFrom="paragraph">
              <wp:posOffset>133350</wp:posOffset>
            </wp:positionV>
            <wp:extent cx="2000250" cy="901065"/>
            <wp:effectExtent l="0" t="0" r="0" b="0"/>
            <wp:wrapNone/>
            <wp:docPr id="13" name="Imagen 13"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Logotipo&#10;&#10;Descripción generada automáticamente"/>
                    <pic:cNvPicPr/>
                  </pic:nvPicPr>
                  <pic:blipFill rotWithShape="1">
                    <a:blip r:embed="rId12" cstate="print">
                      <a:extLst>
                        <a:ext uri="{28A0092B-C50C-407E-A947-70E740481C1C}">
                          <a14:useLocalDpi xmlns:a14="http://schemas.microsoft.com/office/drawing/2010/main" val="0"/>
                        </a:ext>
                      </a:extLst>
                    </a:blip>
                    <a:srcRect t="12641"/>
                    <a:stretch/>
                  </pic:blipFill>
                  <pic:spPr bwMode="auto">
                    <a:xfrm>
                      <a:off x="0" y="0"/>
                      <a:ext cx="2000250" cy="90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C865B6">
        <w:rPr>
          <w:noProof/>
        </w:rPr>
        <mc:AlternateContent>
          <mc:Choice Requires="wpg">
            <w:drawing>
              <wp:anchor distT="0" distB="0" distL="114300" distR="114300" simplePos="0" relativeHeight="251658262" behindDoc="0" locked="0" layoutInCell="1" allowOverlap="1" wp14:anchorId="22E2C515" wp14:editId="1B2ED1F8">
                <wp:simplePos x="0" y="0"/>
                <wp:positionH relativeFrom="margin">
                  <wp:align>left</wp:align>
                </wp:positionH>
                <wp:positionV relativeFrom="paragraph">
                  <wp:posOffset>29655</wp:posOffset>
                </wp:positionV>
                <wp:extent cx="2527300" cy="1005840"/>
                <wp:effectExtent l="0" t="0" r="0" b="3810"/>
                <wp:wrapNone/>
                <wp:docPr id="37" name="Grupo 37"/>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8" name="Text Box 38"/>
                        <wps:cNvSpPr txBox="1">
                          <a:spLocks/>
                        </wps:cNvSpPr>
                        <wps:spPr>
                          <a:xfrm>
                            <a:off x="0" y="600075"/>
                            <a:ext cx="2527539" cy="371475"/>
                          </a:xfrm>
                          <a:prstGeom prst="rect">
                            <a:avLst/>
                          </a:prstGeom>
                        </wps:spPr>
                        <wps:txbx>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9" name="Group 39"/>
                        <wpg:cNvGrpSpPr/>
                        <wpg:grpSpPr>
                          <a:xfrm>
                            <a:off x="0" y="0"/>
                            <a:ext cx="612775" cy="1005840"/>
                            <a:chOff x="0" y="0"/>
                            <a:chExt cx="612775" cy="1005840"/>
                          </a:xfrm>
                        </wpg:grpSpPr>
                        <wps:wsp>
                          <wps:cNvPr id="40" name="Freeform: Shape 40"/>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41" name="Picture 41"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22E2C515" id="Grupo 37" o:spid="_x0000_s1029" style="position:absolute;margin-left:0;margin-top:2.35pt;width:199pt;height:79.2pt;z-index:251658262;mso-position-horizontal:left;mso-position-horizontal-relative:margin;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">
                <v:shape id="Text Box 38" o:spid="_x0000_s1030"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" filled="f" stroked="f">
                  <v:textbox inset="0,1.2pt,0,0">
                    <w:txbxContent>
                      <w:p w14:paraId="7D30DA48"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63309FF"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9" o:spid="_x0000_s1031"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shape id="Freeform: Shape 40" o:spid="_x0000_s1032"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" path="m512457,l,,,24256r512457,l512457,xe" fillcolor="#d5b788" stroked="f">
                    <v:path arrowok="t"/>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1" o:spid="_x0000_s1033"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">
                    <v:imagedata r:id="rId14" o:title="Icon&#10;&#10;Description automatically generated"/>
                  </v:shape>
                </v:group>
                <w10:wrap anchorx="margin"/>
              </v:group>
            </w:pict>
          </mc:Fallback>
        </mc:AlternateContent>
      </w:r>
    </w:p>
    <w:p w14:paraId="17B5E9DF" w14:textId="42DB43A4" w:rsidR="008D7F4E" w:rsidRPr="00C865B6" w:rsidRDefault="008D7F4E" w:rsidP="006B204A">
      <w:pPr>
        <w:rPr>
          <w:lang w:val="es-DO"/>
        </w:rPr>
      </w:pP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r w:rsidRPr="00C865B6">
        <w:rPr>
          <w:lang w:val="es-DO"/>
        </w:rPr>
        <w:tab/>
      </w:r>
    </w:p>
    <w:p w14:paraId="38D9CF2E" w14:textId="7585FBF3" w:rsidR="008D7F4E" w:rsidRPr="00C865B6" w:rsidRDefault="008D7F4E" w:rsidP="006B204A">
      <w:pPr>
        <w:rPr>
          <w:lang w:val="es-DO"/>
        </w:rPr>
      </w:pPr>
    </w:p>
    <w:p w14:paraId="16EDE6EA" w14:textId="51136D97" w:rsidR="008D7F4E" w:rsidRPr="00C865B6" w:rsidRDefault="008D7F4E" w:rsidP="006B204A">
      <w:pPr>
        <w:rPr>
          <w:b/>
          <w:bCs/>
          <w:lang w:val="es-DO"/>
        </w:rPr>
      </w:pPr>
    </w:p>
    <w:p w14:paraId="3FC05242" w14:textId="77777777" w:rsidR="008D7F4E" w:rsidRPr="00C865B6" w:rsidRDefault="008D7F4E" w:rsidP="006B204A">
      <w:pPr>
        <w:rPr>
          <w:lang w:val="es-DO"/>
        </w:rPr>
      </w:pPr>
    </w:p>
    <w:p w14:paraId="52109915" w14:textId="77777777" w:rsidR="008D7F4E" w:rsidRPr="00C865B6" w:rsidRDefault="008D7F4E" w:rsidP="006B204A">
      <w:pPr>
        <w:rPr>
          <w:lang w:val="es-DO"/>
        </w:rPr>
      </w:pPr>
    </w:p>
    <w:p w14:paraId="22DD7F53" w14:textId="11B7CA22" w:rsidR="008D7F4E" w:rsidRPr="00C865B6" w:rsidRDefault="008D7F4E" w:rsidP="006B204A">
      <w:pPr>
        <w:rPr>
          <w:lang w:val="es-DO"/>
        </w:rPr>
      </w:pPr>
    </w:p>
    <w:p w14:paraId="266A4AE7" w14:textId="5784A2EE" w:rsidR="008D7F4E" w:rsidRPr="00C865B6" w:rsidRDefault="008D7F4E" w:rsidP="006B204A">
      <w:pPr>
        <w:rPr>
          <w:lang w:val="es-DO"/>
        </w:rPr>
      </w:pPr>
    </w:p>
    <w:p w14:paraId="56C838CA" w14:textId="59180D27" w:rsidR="008D7F4E" w:rsidRPr="00C865B6" w:rsidRDefault="008D7F4E" w:rsidP="006B204A">
      <w:pPr>
        <w:rPr>
          <w:lang w:val="es-DO"/>
        </w:rPr>
      </w:pPr>
    </w:p>
    <w:p w14:paraId="5A37720D" w14:textId="305BC668" w:rsidR="008D7F4E" w:rsidRPr="00C865B6" w:rsidRDefault="008D7F4E" w:rsidP="006B204A">
      <w:pPr>
        <w:rPr>
          <w:lang w:val="es-DO"/>
        </w:rPr>
      </w:pPr>
    </w:p>
    <w:p w14:paraId="1C1F404E" w14:textId="6EBA6B68" w:rsidR="008D7F4E" w:rsidRPr="00C865B6" w:rsidRDefault="00654164" w:rsidP="006B204A">
      <w:pPr>
        <w:rPr>
          <w:lang w:val="es-DO"/>
        </w:rPr>
      </w:pPr>
      <w:r w:rsidRPr="00C865B6">
        <w:rPr>
          <w:noProof/>
        </w:rPr>
        <mc:AlternateContent>
          <mc:Choice Requires="wps">
            <w:drawing>
              <wp:anchor distT="0" distB="0" distL="114300" distR="114300" simplePos="0" relativeHeight="251658241" behindDoc="0" locked="0" layoutInCell="1" allowOverlap="1" wp14:anchorId="611EEDAC" wp14:editId="45529743">
                <wp:simplePos x="0" y="0"/>
                <wp:positionH relativeFrom="margin">
                  <wp:align>center</wp:align>
                </wp:positionH>
                <wp:positionV relativeFrom="paragraph">
                  <wp:posOffset>201930</wp:posOffset>
                </wp:positionV>
                <wp:extent cx="5758815" cy="985651"/>
                <wp:effectExtent l="0" t="0" r="0" b="0"/>
                <wp:wrapNone/>
                <wp:docPr id="7" name="Cuadro de texto 7"/>
                <wp:cNvGraphicFramePr/>
                <a:graphic xmlns:a="http://schemas.openxmlformats.org/drawingml/2006/main">
                  <a:graphicData uri="http://schemas.microsoft.com/office/word/2010/wordprocessingShape">
                    <wps:wsp>
                      <wps:cNvSpPr txBox="1"/>
                      <wps:spPr>
                        <a:xfrm>
                          <a:off x="0" y="0"/>
                          <a:ext cx="5758815" cy="985651"/>
                        </a:xfrm>
                        <a:prstGeom prst="rect">
                          <a:avLst/>
                        </a:prstGeom>
                      </wps:spPr>
                      <wps:txbx>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wps:txbx>
                      <wps:bodyPr vert="horz" wrap="square" lIns="0" tIns="17145" rIns="0" bIns="0" rtlCol="0">
                        <a:noAutofit/>
                      </wps:bodyPr>
                    </wps:wsp>
                  </a:graphicData>
                </a:graphic>
                <wp14:sizeRelH relativeFrom="margin">
                  <wp14:pctWidth>0</wp14:pctWidth>
                </wp14:sizeRelH>
                <wp14:sizeRelV relativeFrom="margin">
                  <wp14:pctHeight>0</wp14:pctHeight>
                </wp14:sizeRelV>
              </wp:anchor>
            </w:drawing>
          </mc:Choice>
          <mc:Fallback>
            <w:pict>
              <v:shape w14:anchorId="611EEDAC" id="Cuadro de texto 7" o:spid="_x0000_s1034" type="#_x0000_t202" style="position:absolute;margin-left:0;margin-top:15.9pt;width:453.45pt;height:77.6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" filled="f" stroked="f">
                <v:textbox inset="0,1.35pt,0,0">
                  <w:txbxContent>
                    <w:p w14:paraId="0D47117C"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 xml:space="preserve">MEMORIA </w:t>
                      </w:r>
                    </w:p>
                    <w:p w14:paraId="7A767047" w14:textId="77777777" w:rsidR="00654164" w:rsidRDefault="00654164" w:rsidP="00654164">
                      <w:pPr>
                        <w:spacing w:after="0"/>
                        <w:jc w:val="center"/>
                        <w:rPr>
                          <w:b/>
                          <w:bCs/>
                          <w:color w:val="D5B788"/>
                          <w:spacing w:val="60"/>
                          <w:kern w:val="24"/>
                          <w:sz w:val="56"/>
                          <w:szCs w:val="56"/>
                          <w:lang w:val="es-DO"/>
                        </w:rPr>
                      </w:pPr>
                      <w:r>
                        <w:rPr>
                          <w:b/>
                          <w:bCs/>
                          <w:color w:val="D5B788"/>
                          <w:spacing w:val="60"/>
                          <w:kern w:val="24"/>
                          <w:sz w:val="56"/>
                          <w:szCs w:val="56"/>
                          <w:lang w:val="es-DO"/>
                        </w:rPr>
                        <w:t>INSTITUCIONAL</w:t>
                      </w:r>
                    </w:p>
                    <w:p w14:paraId="2CBE4766" w14:textId="77777777" w:rsidR="00654164" w:rsidRPr="008D7F4E" w:rsidRDefault="00654164" w:rsidP="00654164">
                      <w:pPr>
                        <w:spacing w:after="0"/>
                        <w:jc w:val="center"/>
                        <w:rPr>
                          <w:b/>
                          <w:bCs/>
                          <w:color w:val="D5B788"/>
                          <w:spacing w:val="60"/>
                          <w:kern w:val="24"/>
                          <w:sz w:val="56"/>
                          <w:szCs w:val="56"/>
                          <w:lang w:val="es-DO"/>
                        </w:rPr>
                      </w:pPr>
                    </w:p>
                  </w:txbxContent>
                </v:textbox>
                <w10:wrap anchorx="margin"/>
              </v:shape>
            </w:pict>
          </mc:Fallback>
        </mc:AlternateContent>
      </w:r>
    </w:p>
    <w:p w14:paraId="75F2B32B" w14:textId="0C1187B8" w:rsidR="008D7F4E" w:rsidRPr="00C865B6" w:rsidRDefault="008D7F4E" w:rsidP="006B204A">
      <w:pPr>
        <w:rPr>
          <w:b/>
          <w:bCs/>
          <w:lang w:val="es-DO"/>
        </w:rPr>
      </w:pPr>
    </w:p>
    <w:p w14:paraId="7AD079B8" w14:textId="0286F320" w:rsidR="008D7F4E" w:rsidRPr="00C865B6" w:rsidRDefault="008D7F4E" w:rsidP="006B204A">
      <w:pPr>
        <w:rPr>
          <w:lang w:val="es-DO"/>
        </w:rPr>
      </w:pPr>
    </w:p>
    <w:p w14:paraId="2ADA86D9" w14:textId="17D9F279" w:rsidR="008D7F4E" w:rsidRPr="00C865B6" w:rsidRDefault="008D7F4E" w:rsidP="006B204A">
      <w:pPr>
        <w:rPr>
          <w:b/>
          <w:bCs/>
          <w:lang w:val="es-DO"/>
        </w:rPr>
      </w:pPr>
    </w:p>
    <w:p w14:paraId="163CEF29" w14:textId="7ADC6695" w:rsidR="00E739F8" w:rsidRPr="00C865B6" w:rsidRDefault="001E07B9" w:rsidP="006B204A">
      <w:pPr>
        <w:rPr>
          <w:b/>
          <w:bCs/>
          <w:lang w:val="es-DO"/>
        </w:rPr>
      </w:pPr>
      <w:r w:rsidRPr="00C865B6">
        <w:rPr>
          <w:noProof/>
        </w:rPr>
        <mc:AlternateContent>
          <mc:Choice Requires="wps">
            <w:drawing>
              <wp:anchor distT="4294967295" distB="4294967295" distL="114300" distR="114300" simplePos="0" relativeHeight="251658249" behindDoc="0" locked="0" layoutInCell="1" allowOverlap="1" wp14:anchorId="4E0C23B7" wp14:editId="1AB958CC">
                <wp:simplePos x="0" y="0"/>
                <wp:positionH relativeFrom="margin">
                  <wp:align>center</wp:align>
                </wp:positionH>
                <wp:positionV relativeFrom="paragraph">
                  <wp:posOffset>131445</wp:posOffset>
                </wp:positionV>
                <wp:extent cx="463550" cy="0"/>
                <wp:effectExtent l="0" t="19050" r="31750" b="19050"/>
                <wp:wrapNone/>
                <wp:docPr id="22" name="Conector recto 2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463550" cy="0"/>
                        </a:xfrm>
                        <a:prstGeom prst="line">
                          <a:avLst/>
                        </a:prstGeom>
                        <a:noFill/>
                        <a:ln w="28575" cap="flat" cmpd="sng" algn="ctr">
                          <a:solidFill>
                            <a:srgbClr val="C8B688"/>
                          </a:solidFill>
                          <a:prstDash val="solid"/>
                          <a:miter lim="800000"/>
                        </a:ln>
                        <a:effec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34B30C94" id="Conector recto 22" o:spid="_x0000_s1026" style="position:absolute;z-index:251658250;visibility:visible;mso-wrap-style:square;mso-width-percent:0;mso-height-percent:0;mso-wrap-distance-left:9pt;mso-wrap-distance-top:-3e-5mm;mso-wrap-distance-right:9pt;mso-wrap-distance-bottom:-3e-5mm;mso-position-horizontal:center;mso-position-horizontal-relative:margin;mso-position-vertical:absolute;mso-position-vertical-relative:text;mso-width-percent:0;mso-height-percent:0;mso-width-relative:page;mso-height-relative:page" from="0,10.35pt" to="36.5pt,10.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" strokecolor="#c8b688" strokeweight="2.25pt">
                <v:stroke joinstyle="miter"/>
                <o:lock v:ext="edit" shapetype="f"/>
                <w10:wrap anchorx="margin"/>
              </v:line>
            </w:pict>
          </mc:Fallback>
        </mc:AlternateContent>
      </w:r>
    </w:p>
    <w:p w14:paraId="3A86A8D9" w14:textId="1EB68358" w:rsidR="00E739F8" w:rsidRPr="00C865B6" w:rsidRDefault="00AA7013" w:rsidP="006B204A">
      <w:pPr>
        <w:rPr>
          <w:b/>
          <w:bCs/>
          <w:lang w:val="es-DO"/>
        </w:rPr>
      </w:pPr>
      <w:r w:rsidRPr="00C865B6">
        <w:rPr>
          <w:noProof/>
        </w:rPr>
        <mc:AlternateContent>
          <mc:Choice Requires="wps">
            <w:drawing>
              <wp:anchor distT="0" distB="0" distL="114300" distR="114300" simplePos="0" relativeHeight="251658245" behindDoc="0" locked="0" layoutInCell="1" allowOverlap="1" wp14:anchorId="65361376" wp14:editId="14A35B62">
                <wp:simplePos x="0" y="0"/>
                <wp:positionH relativeFrom="margin">
                  <wp:align>center</wp:align>
                </wp:positionH>
                <wp:positionV relativeFrom="paragraph">
                  <wp:posOffset>7620</wp:posOffset>
                </wp:positionV>
                <wp:extent cx="3138985" cy="417792"/>
                <wp:effectExtent l="0" t="0" r="0" b="0"/>
                <wp:wrapNone/>
                <wp:docPr id="16" name="Cuadro de texto 16"/>
                <wp:cNvGraphicFramePr/>
                <a:graphic xmlns:a="http://schemas.openxmlformats.org/drawingml/2006/main">
                  <a:graphicData uri="http://schemas.microsoft.com/office/word/2010/wordprocessingShape">
                    <wps:wsp>
                      <wps:cNvSpPr txBox="1"/>
                      <wps:spPr>
                        <a:xfrm>
                          <a:off x="0" y="0"/>
                          <a:ext cx="3138985" cy="417792"/>
                        </a:xfrm>
                        <a:prstGeom prst="rect">
                          <a:avLst/>
                        </a:prstGeom>
                      </wps:spPr>
                      <wps:txbx>
                        <w:txbxContent>
                          <w:p w14:paraId="6B362718" w14:textId="6278D431" w:rsidR="008D7F4E" w:rsidRPr="005805BA" w:rsidRDefault="008D7F4E" w:rsidP="00151607">
                            <w:pPr>
                              <w:spacing w:before="20"/>
                              <w:ind w:left="14"/>
                              <w:jc w:val="center"/>
                              <w:rPr>
                                <w:b/>
                                <w:bCs/>
                                <w:color w:val="D5B788"/>
                                <w:spacing w:val="74"/>
                                <w:kern w:val="24"/>
                                <w:sz w:val="28"/>
                                <w:szCs w:val="28"/>
                              </w:rPr>
                            </w:pPr>
                            <w:r w:rsidRPr="005805BA">
                              <w:rPr>
                                <w:b/>
                                <w:bCs/>
                                <w:color w:val="D5B788"/>
                                <w:spacing w:val="74"/>
                                <w:kern w:val="24"/>
                                <w:sz w:val="28"/>
                                <w:szCs w:val="28"/>
                              </w:rPr>
                              <w:t>A</w:t>
                            </w:r>
                            <w:r w:rsidR="00AA7013">
                              <w:rPr>
                                <w:b/>
                                <w:bCs/>
                                <w:color w:val="D5B788"/>
                                <w:spacing w:val="74"/>
                                <w:kern w:val="24"/>
                                <w:sz w:val="28"/>
                                <w:szCs w:val="28"/>
                              </w:rPr>
                              <w:t>ño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7C5C5D">
                              <w:rPr>
                                <w:b/>
                                <w:bCs/>
                                <w:color w:val="D5B788"/>
                                <w:spacing w:val="28"/>
                                <w:kern w:val="24"/>
                                <w:sz w:val="28"/>
                                <w:szCs w:val="28"/>
                              </w:rPr>
                              <w:t>3</w:t>
                            </w:r>
                          </w:p>
                        </w:txbxContent>
                      </wps:txbx>
                      <wps:bodyPr vert="horz" wrap="square" lIns="0" tIns="12700" rIns="0" bIns="0" rtlCol="0">
                        <a:noAutofit/>
                      </wps:bodyPr>
                    </wps:wsp>
                  </a:graphicData>
                </a:graphic>
                <wp14:sizeRelH relativeFrom="margin">
                  <wp14:pctWidth>0</wp14:pctWidth>
                </wp14:sizeRelH>
                <wp14:sizeRelV relativeFrom="margin">
                  <wp14:pctHeight>0</wp14:pctHeight>
                </wp14:sizeRelV>
              </wp:anchor>
            </w:drawing>
          </mc:Choice>
          <mc:Fallback>
            <w:pict>
              <v:shape w14:anchorId="65361376" id="Cuadro de texto 16" o:spid="_x0000_s1035" type="#_x0000_t202" style="position:absolute;margin-left:0;margin-top:.6pt;width:247.15pt;height:32.9pt;z-index:251658245;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" filled="f" stroked="f">
                <v:textbox inset="0,1pt,0,0">
                  <w:txbxContent>
                    <w:p w14:paraId="6B362718" w14:textId="6278D431" w:rsidR="008D7F4E" w:rsidRPr="005805BA" w:rsidRDefault="008D7F4E" w:rsidP="00151607">
                      <w:pPr>
                        <w:spacing w:before="20"/>
                        <w:ind w:left="14"/>
                        <w:jc w:val="center"/>
                        <w:rPr>
                          <w:b/>
                          <w:bCs/>
                          <w:color w:val="D5B788"/>
                          <w:spacing w:val="74"/>
                          <w:kern w:val="24"/>
                          <w:sz w:val="28"/>
                          <w:szCs w:val="28"/>
                        </w:rPr>
                      </w:pPr>
                      <w:r w:rsidRPr="005805BA">
                        <w:rPr>
                          <w:b/>
                          <w:bCs/>
                          <w:color w:val="D5B788"/>
                          <w:spacing w:val="74"/>
                          <w:kern w:val="24"/>
                          <w:sz w:val="28"/>
                          <w:szCs w:val="28"/>
                        </w:rPr>
                        <w:t>A</w:t>
                      </w:r>
                      <w:r w:rsidR="00AA7013">
                        <w:rPr>
                          <w:b/>
                          <w:bCs/>
                          <w:color w:val="D5B788"/>
                          <w:spacing w:val="74"/>
                          <w:kern w:val="24"/>
                          <w:sz w:val="28"/>
                          <w:szCs w:val="28"/>
                        </w:rPr>
                        <w:t>ño</w:t>
                      </w:r>
                      <w:r w:rsidRPr="005805BA">
                        <w:rPr>
                          <w:b/>
                          <w:bCs/>
                          <w:color w:val="D5B788"/>
                          <w:spacing w:val="74"/>
                          <w:kern w:val="24"/>
                          <w:sz w:val="28"/>
                          <w:szCs w:val="28"/>
                        </w:rPr>
                        <w:t xml:space="preserve"> </w:t>
                      </w:r>
                      <w:r w:rsidRPr="005805BA">
                        <w:rPr>
                          <w:b/>
                          <w:bCs/>
                          <w:color w:val="D5B788"/>
                          <w:spacing w:val="68"/>
                          <w:kern w:val="24"/>
                          <w:sz w:val="28"/>
                          <w:szCs w:val="28"/>
                        </w:rPr>
                        <w:t>2</w:t>
                      </w:r>
                      <w:r w:rsidRPr="005805BA">
                        <w:rPr>
                          <w:b/>
                          <w:bCs/>
                          <w:color w:val="D5B788"/>
                          <w:spacing w:val="28"/>
                          <w:kern w:val="24"/>
                          <w:sz w:val="28"/>
                          <w:szCs w:val="28"/>
                        </w:rPr>
                        <w:t>0</w:t>
                      </w:r>
                      <w:r w:rsidRPr="005805BA">
                        <w:rPr>
                          <w:b/>
                          <w:bCs/>
                          <w:color w:val="D5B788"/>
                          <w:spacing w:val="-23"/>
                          <w:kern w:val="24"/>
                          <w:sz w:val="28"/>
                          <w:szCs w:val="28"/>
                        </w:rPr>
                        <w:t xml:space="preserve"> </w:t>
                      </w:r>
                      <w:r w:rsidRPr="005805BA">
                        <w:rPr>
                          <w:b/>
                          <w:bCs/>
                          <w:color w:val="D5B788"/>
                          <w:spacing w:val="68"/>
                          <w:kern w:val="24"/>
                          <w:sz w:val="28"/>
                          <w:szCs w:val="28"/>
                        </w:rPr>
                        <w:t>2</w:t>
                      </w:r>
                      <w:r w:rsidR="007C5C5D">
                        <w:rPr>
                          <w:b/>
                          <w:bCs/>
                          <w:color w:val="D5B788"/>
                          <w:spacing w:val="28"/>
                          <w:kern w:val="24"/>
                          <w:sz w:val="28"/>
                          <w:szCs w:val="28"/>
                        </w:rPr>
                        <w:t>3</w:t>
                      </w:r>
                    </w:p>
                  </w:txbxContent>
                </v:textbox>
                <w10:wrap anchorx="margin"/>
              </v:shape>
            </w:pict>
          </mc:Fallback>
        </mc:AlternateContent>
      </w:r>
    </w:p>
    <w:p w14:paraId="1C74082E" w14:textId="28C0782E" w:rsidR="008D7F4E" w:rsidRPr="00C865B6" w:rsidRDefault="008D7F4E" w:rsidP="006B204A">
      <w:pPr>
        <w:tabs>
          <w:tab w:val="left" w:pos="5229"/>
        </w:tabs>
        <w:rPr>
          <w:lang w:val="es-DO"/>
        </w:rPr>
      </w:pPr>
      <w:r w:rsidRPr="00C865B6">
        <w:rPr>
          <w:lang w:val="es-DO"/>
        </w:rPr>
        <w:tab/>
      </w:r>
      <w:r w:rsidRPr="00C865B6">
        <w:rPr>
          <w:lang w:val="es-DO"/>
        </w:rPr>
        <w:tab/>
      </w:r>
      <w:r w:rsidRPr="00C865B6">
        <w:rPr>
          <w:lang w:val="es-DO"/>
        </w:rPr>
        <w:tab/>
      </w:r>
    </w:p>
    <w:p w14:paraId="2A6A7BEB" w14:textId="206C2A0C" w:rsidR="008D7F4E" w:rsidRPr="00C865B6" w:rsidRDefault="008D7F4E" w:rsidP="006B204A">
      <w:pPr>
        <w:tabs>
          <w:tab w:val="left" w:pos="5229"/>
        </w:tabs>
        <w:rPr>
          <w:lang w:val="es-DO"/>
        </w:rPr>
      </w:pPr>
    </w:p>
    <w:p w14:paraId="5220AA7B" w14:textId="51FC36EA" w:rsidR="008D7F4E" w:rsidRPr="00C865B6" w:rsidRDefault="008D7F4E" w:rsidP="006B204A">
      <w:pPr>
        <w:tabs>
          <w:tab w:val="left" w:pos="5229"/>
        </w:tabs>
        <w:rPr>
          <w:lang w:val="es-DO"/>
        </w:rPr>
      </w:pPr>
    </w:p>
    <w:p w14:paraId="04CE79E8" w14:textId="4B64C890" w:rsidR="00B45B38" w:rsidRPr="00C865B6" w:rsidRDefault="00B45B38" w:rsidP="006B204A">
      <w:pPr>
        <w:tabs>
          <w:tab w:val="left" w:pos="5229"/>
        </w:tabs>
        <w:rPr>
          <w:lang w:val="es-DO"/>
        </w:rPr>
      </w:pPr>
    </w:p>
    <w:p w14:paraId="3DF5889C" w14:textId="6AA1CE4B" w:rsidR="00E7088E" w:rsidRDefault="00E7088E" w:rsidP="006B204A">
      <w:pPr>
        <w:tabs>
          <w:tab w:val="left" w:pos="5229"/>
        </w:tabs>
        <w:rPr>
          <w:lang w:val="es-DO"/>
        </w:rPr>
      </w:pPr>
    </w:p>
    <w:p w14:paraId="393DE279" w14:textId="77777777" w:rsidR="00E7088E" w:rsidRDefault="00E7088E" w:rsidP="006B204A">
      <w:pPr>
        <w:tabs>
          <w:tab w:val="left" w:pos="5229"/>
        </w:tabs>
        <w:rPr>
          <w:lang w:val="es-DO"/>
        </w:rPr>
      </w:pPr>
    </w:p>
    <w:p w14:paraId="4BDA5EE8" w14:textId="77777777" w:rsidR="00E7088E" w:rsidRDefault="00E7088E" w:rsidP="006B204A">
      <w:pPr>
        <w:tabs>
          <w:tab w:val="left" w:pos="5229"/>
        </w:tabs>
        <w:rPr>
          <w:lang w:val="es-DO"/>
        </w:rPr>
      </w:pPr>
    </w:p>
    <w:p w14:paraId="72DFBF9F" w14:textId="70704E83" w:rsidR="00E7088E" w:rsidRDefault="00E7088E" w:rsidP="006B204A">
      <w:pPr>
        <w:tabs>
          <w:tab w:val="left" w:pos="5229"/>
        </w:tabs>
        <w:rPr>
          <w:lang w:val="es-DO"/>
        </w:rPr>
      </w:pPr>
    </w:p>
    <w:p w14:paraId="529727D6" w14:textId="0CB9DBD2" w:rsidR="00E7088E" w:rsidRPr="00C865B6" w:rsidRDefault="00E7088E" w:rsidP="006B204A">
      <w:pPr>
        <w:tabs>
          <w:tab w:val="left" w:pos="5229"/>
        </w:tabs>
        <w:rPr>
          <w:lang w:val="es-DO"/>
        </w:rPr>
      </w:pPr>
    </w:p>
    <w:p w14:paraId="59F2CBAA" w14:textId="0D69A2B2" w:rsidR="00B45B38" w:rsidRPr="00C865B6" w:rsidRDefault="00E7088E" w:rsidP="006B204A">
      <w:pPr>
        <w:tabs>
          <w:tab w:val="left" w:pos="5229"/>
        </w:tabs>
        <w:jc w:val="center"/>
        <w:rPr>
          <w:lang w:val="es-DO"/>
        </w:rPr>
      </w:pPr>
      <w:r w:rsidRPr="00C865B6">
        <w:rPr>
          <w:noProof/>
        </w:rPr>
        <mc:AlternateContent>
          <mc:Choice Requires="wpg">
            <w:drawing>
              <wp:anchor distT="0" distB="0" distL="114300" distR="114300" simplePos="0" relativeHeight="251658260" behindDoc="0" locked="0" layoutInCell="1" allowOverlap="1" wp14:anchorId="668AD27C" wp14:editId="4FFDEE06">
                <wp:simplePos x="0" y="0"/>
                <wp:positionH relativeFrom="margin">
                  <wp:align>left</wp:align>
                </wp:positionH>
                <wp:positionV relativeFrom="paragraph">
                  <wp:posOffset>181786</wp:posOffset>
                </wp:positionV>
                <wp:extent cx="2527300" cy="1005840"/>
                <wp:effectExtent l="0" t="0" r="0" b="3810"/>
                <wp:wrapNone/>
                <wp:docPr id="29" name="Grupo 29"/>
                <wp:cNvGraphicFramePr/>
                <a:graphic xmlns:a="http://schemas.openxmlformats.org/drawingml/2006/main">
                  <a:graphicData uri="http://schemas.microsoft.com/office/word/2010/wordprocessingGroup">
                    <wpg:wgp>
                      <wpg:cNvGrpSpPr/>
                      <wpg:grpSpPr>
                        <a:xfrm>
                          <a:off x="0" y="0"/>
                          <a:ext cx="2527300" cy="1005840"/>
                          <a:chOff x="0" y="0"/>
                          <a:chExt cx="2527539" cy="1005840"/>
                        </a:xfrm>
                      </wpg:grpSpPr>
                      <wps:wsp>
                        <wps:cNvPr id="30" name="Text Box 30"/>
                        <wps:cNvSpPr txBox="1">
                          <a:spLocks/>
                        </wps:cNvSpPr>
                        <wps:spPr>
                          <a:xfrm>
                            <a:off x="0" y="600075"/>
                            <a:ext cx="2527539" cy="371475"/>
                          </a:xfrm>
                          <a:prstGeom prst="rect">
                            <a:avLst/>
                          </a:prstGeom>
                        </wps:spPr>
                        <wps:txbx>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wps:txbx>
                        <wps:bodyPr vert="horz" wrap="square" lIns="0" tIns="15240" rIns="0" bIns="0" rtlCol="0">
                          <a:noAutofit/>
                        </wps:bodyPr>
                      </wps:wsp>
                      <wpg:grpSp>
                        <wpg:cNvPr id="31" name="Group 31"/>
                        <wpg:cNvGrpSpPr/>
                        <wpg:grpSpPr>
                          <a:xfrm>
                            <a:off x="0" y="0"/>
                            <a:ext cx="612775" cy="1005840"/>
                            <a:chOff x="0" y="0"/>
                            <a:chExt cx="612775" cy="1005840"/>
                          </a:xfrm>
                        </wpg:grpSpPr>
                        <wps:wsp>
                          <wps:cNvPr id="32" name="Freeform: Shape 32"/>
                          <wps:cNvSpPr>
                            <a:spLocks/>
                          </wps:cNvSpPr>
                          <wps:spPr>
                            <a:xfrm>
                              <a:off x="0" y="981075"/>
                              <a:ext cx="513080" cy="24765"/>
                            </a:xfrm>
                            <a:custGeom>
                              <a:avLst/>
                              <a:gdLst/>
                              <a:ahLst/>
                              <a:cxnLst/>
                              <a:rect l="l" t="t" r="r" b="b"/>
                              <a:pathLst>
                                <a:path w="513080" h="24765">
                                  <a:moveTo>
                                    <a:pt x="512457" y="0"/>
                                  </a:moveTo>
                                  <a:lnTo>
                                    <a:pt x="0" y="0"/>
                                  </a:lnTo>
                                  <a:lnTo>
                                    <a:pt x="0" y="24256"/>
                                  </a:lnTo>
                                  <a:lnTo>
                                    <a:pt x="512457" y="24256"/>
                                  </a:lnTo>
                                  <a:lnTo>
                                    <a:pt x="512457" y="0"/>
                                  </a:lnTo>
                                  <a:close/>
                                </a:path>
                              </a:pathLst>
                            </a:custGeom>
                            <a:solidFill>
                              <a:srgbClr val="D5B788"/>
                            </a:solidFill>
                          </wps:spPr>
                          <wps:bodyPr wrap="square" lIns="0" tIns="0" rIns="0" bIns="0" rtlCol="0"/>
                        </wps:wsp>
                        <pic:pic xmlns:pic="http://schemas.openxmlformats.org/drawingml/2006/picture">
                          <pic:nvPicPr>
                            <pic:cNvPr id="36" name="Picture 36" descr="Icon&#10;&#10;Description automatically generated"/>
                            <pic:cNvPicPr>
                              <a:picLocks noChangeAspect="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612775" cy="571500"/>
                            </a:xfrm>
                            <a:prstGeom prst="rect">
                              <a:avLst/>
                            </a:prstGeom>
                          </pic:spPr>
                        </pic:pic>
                      </wpg:grpSp>
                    </wpg:wgp>
                  </a:graphicData>
                </a:graphic>
                <wp14:sizeRelH relativeFrom="margin">
                  <wp14:pctWidth>0</wp14:pctWidth>
                </wp14:sizeRelH>
              </wp:anchor>
            </w:drawing>
          </mc:Choice>
          <mc:Fallback>
            <w:pict>
              <v:group w14:anchorId="668AD27C" id="Grupo 29" o:spid="_x0000_s1036" style="position:absolute;left:0;text-align:left;margin-left:0;margin-top:14.3pt;width:199pt;height:79.2pt;z-index:251658260;mso-position-horizontal:left;mso-position-horizontal-relative:margin;mso-width-relative:margin" coordsize="25275,100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">
                <v:shape id="Text Box 30" o:spid="_x0000_s1037" type="#_x0000_t202" style="position:absolute;top:6000;width:25275;height:37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" filled="f" stroked="f">
                  <v:textbox inset="0,1.2pt,0,0">
                    <w:txbxContent>
                      <w:p w14:paraId="39B79353" w14:textId="77777777" w:rsidR="00544419" w:rsidRPr="003A00CC" w:rsidRDefault="00544419" w:rsidP="00544419">
                        <w:pPr>
                          <w:pStyle w:val="Sinespaciado"/>
                          <w:rPr>
                            <w:rFonts w:ascii="Arial MT" w:hAnsi="Arial MT" w:cs="Arial MT"/>
                            <w:color w:val="D5B788"/>
                            <w:spacing w:val="23"/>
                            <w:kern w:val="24"/>
                            <w:sz w:val="15"/>
                            <w:szCs w:val="15"/>
                          </w:rPr>
                        </w:pPr>
                        <w:r w:rsidRPr="003A00CC">
                          <w:rPr>
                            <w:rFonts w:ascii="Arial MT" w:hAnsi="Arial MT" w:cs="Arial MT"/>
                            <w:color w:val="D5B788"/>
                            <w:spacing w:val="23"/>
                            <w:kern w:val="24"/>
                            <w:sz w:val="15"/>
                            <w:szCs w:val="15"/>
                          </w:rPr>
                          <w:t>GOBIERNO DE LA</w:t>
                        </w:r>
                      </w:p>
                      <w:p w14:paraId="529BA5E7" w14:textId="77777777" w:rsidR="00544419" w:rsidRDefault="00544419" w:rsidP="00544419">
                        <w:pPr>
                          <w:spacing w:before="13"/>
                          <w:ind w:left="14"/>
                          <w:rPr>
                            <w:rFonts w:ascii="Georgia" w:hAnsi="Georgia" w:cs="Georgia"/>
                            <w:b/>
                            <w:bCs/>
                            <w:color w:val="D5B788"/>
                            <w:spacing w:val="18"/>
                            <w:kern w:val="24"/>
                          </w:rPr>
                        </w:pPr>
                        <w:r>
                          <w:rPr>
                            <w:rFonts w:ascii="Georgia" w:hAnsi="Georgia" w:cs="Georgia"/>
                            <w:b/>
                            <w:bCs/>
                            <w:color w:val="D5B788"/>
                            <w:spacing w:val="18"/>
                            <w:kern w:val="24"/>
                          </w:rPr>
                          <w:t>REPÚBLICA</w:t>
                        </w:r>
                        <w:r>
                          <w:rPr>
                            <w:rFonts w:ascii="Georgia" w:hAnsi="Georgia" w:cs="Georgia"/>
                            <w:b/>
                            <w:bCs/>
                            <w:color w:val="D5B788"/>
                            <w:spacing w:val="29"/>
                            <w:kern w:val="24"/>
                          </w:rPr>
                          <w:t xml:space="preserve"> </w:t>
                        </w:r>
                        <w:r>
                          <w:rPr>
                            <w:rFonts w:ascii="Georgia" w:hAnsi="Georgia" w:cs="Georgia"/>
                            <w:b/>
                            <w:bCs/>
                            <w:color w:val="D5B788"/>
                            <w:kern w:val="24"/>
                          </w:rPr>
                          <w:t>DOMINICANA</w:t>
                        </w:r>
                      </w:p>
                    </w:txbxContent>
                  </v:textbox>
                </v:shape>
                <v:group id="Group 31" o:spid="_x0000_s1038" style="position:absolute;width:6127;height:10058" coordsize="6127,100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">
                  <v:shape id="Freeform: Shape 32" o:spid="_x0000_s1039" style="position:absolute;top:9810;width:5130;height:248;visibility:visible;mso-wrap-style:square;v-text-anchor:top" coordsize="513080,247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" path="m512457,l,,,24256r512457,l512457,xe" fillcolor="#d5b788" stroked="f">
                    <v:path arrowok="t"/>
                  </v:shape>
                  <v:shape id="Picture 36" o:spid="_x0000_s1040" type="#_x0000_t75" alt="Icon&#10;&#10;Description automatically generated" style="position:absolute;width:6127;height:571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">
                    <v:imagedata r:id="rId14" o:title="Icon&#10;&#10;Description automatically generated"/>
                  </v:shape>
                </v:group>
                <w10:wrap anchorx="margin"/>
              </v:group>
            </w:pict>
          </mc:Fallback>
        </mc:AlternateContent>
      </w:r>
    </w:p>
    <w:p w14:paraId="6B439D31" w14:textId="5132CA59" w:rsidR="00B45B38" w:rsidRPr="00C865B6" w:rsidRDefault="00E7088E" w:rsidP="006B204A">
      <w:pPr>
        <w:tabs>
          <w:tab w:val="left" w:pos="5229"/>
        </w:tabs>
        <w:rPr>
          <w:lang w:val="es-DO"/>
        </w:rPr>
      </w:pPr>
      <w:r w:rsidRPr="00C865B6">
        <w:rPr>
          <w:noProof/>
        </w:rPr>
        <w:drawing>
          <wp:anchor distT="0" distB="0" distL="114300" distR="114300" simplePos="0" relativeHeight="251658261" behindDoc="0" locked="0" layoutInCell="1" allowOverlap="1" wp14:anchorId="38D28078" wp14:editId="2489A7FA">
            <wp:simplePos x="0" y="0"/>
            <wp:positionH relativeFrom="margin">
              <wp:align>right</wp:align>
            </wp:positionH>
            <wp:positionV relativeFrom="paragraph">
              <wp:posOffset>16970</wp:posOffset>
            </wp:positionV>
            <wp:extent cx="2000250" cy="901065"/>
            <wp:effectExtent l="0" t="0" r="0" b="0"/>
            <wp:wrapNone/>
            <wp:docPr id="17" name="Imagen 17" descr="Imagen que contiene Logoti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n 20" descr="Imagen que contiene Logotipo&#10;&#10;Descripción generada automáticamente"/>
                    <pic:cNvPicPr/>
                  </pic:nvPicPr>
                  <pic:blipFill rotWithShape="1">
                    <a:blip r:embed="rId12" cstate="print">
                      <a:extLst>
                        <a:ext uri="{28A0092B-C50C-407E-A947-70E740481C1C}">
                          <a14:useLocalDpi xmlns:a14="http://schemas.microsoft.com/office/drawing/2010/main" val="0"/>
                        </a:ext>
                      </a:extLst>
                    </a:blip>
                    <a:srcRect t="12641"/>
                    <a:stretch/>
                  </pic:blipFill>
                  <pic:spPr bwMode="auto">
                    <a:xfrm>
                      <a:off x="0" y="0"/>
                      <a:ext cx="2000250" cy="9010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9F960FC" w14:textId="273FCF1C" w:rsidR="008D7F4E" w:rsidRPr="00C865B6" w:rsidRDefault="008D7F4E" w:rsidP="006B204A">
      <w:pPr>
        <w:tabs>
          <w:tab w:val="left" w:pos="5229"/>
        </w:tabs>
        <w:rPr>
          <w:lang w:val="es-DO"/>
        </w:rPr>
      </w:pPr>
    </w:p>
    <w:bookmarkEnd w:id="0"/>
    <w:p w14:paraId="1A3EEBA4" w14:textId="77777777" w:rsidR="00BF7691" w:rsidRPr="00C865B6" w:rsidRDefault="00BF7691" w:rsidP="006B204A">
      <w:pPr>
        <w:rPr>
          <w:sz w:val="22"/>
          <w:szCs w:val="22"/>
          <w:lang w:val="es-DO"/>
        </w:rPr>
      </w:pPr>
    </w:p>
    <w:p w14:paraId="31E2FE32" w14:textId="426937EC" w:rsidR="00545797" w:rsidRPr="00A029EF" w:rsidRDefault="00545797" w:rsidP="006B204A">
      <w:pPr>
        <w:jc w:val="center"/>
        <w:rPr>
          <w:b/>
          <w:sz w:val="28"/>
          <w:lang w:val="es-DO"/>
        </w:rPr>
      </w:pPr>
      <w:r w:rsidRPr="00A029EF">
        <w:rPr>
          <w:b/>
          <w:sz w:val="28"/>
          <w:lang w:val="es-DO"/>
        </w:rPr>
        <w:lastRenderedPageBreak/>
        <w:t>TABLA DE CONTENIDO</w:t>
      </w:r>
    </w:p>
    <w:p w14:paraId="6C3E8713" w14:textId="043AA35F" w:rsidR="00545797" w:rsidRPr="00C865B6" w:rsidRDefault="00545797" w:rsidP="006B204A">
      <w:pPr>
        <w:rPr>
          <w:lang w:val="es-DO"/>
        </w:rPr>
      </w:pPr>
      <w:r w:rsidRPr="00C865B6">
        <w:rPr>
          <w:noProof/>
        </w:rPr>
        <mc:AlternateContent>
          <mc:Choice Requires="wps">
            <w:drawing>
              <wp:anchor distT="0" distB="0" distL="114300" distR="114300" simplePos="0" relativeHeight="251658246" behindDoc="0" locked="0" layoutInCell="1" allowOverlap="1" wp14:anchorId="1E07F231" wp14:editId="50714526">
                <wp:simplePos x="0" y="0"/>
                <wp:positionH relativeFrom="margin">
                  <wp:align>center</wp:align>
                </wp:positionH>
                <wp:positionV relativeFrom="paragraph">
                  <wp:posOffset>87127</wp:posOffset>
                </wp:positionV>
                <wp:extent cx="463550" cy="0"/>
                <wp:effectExtent l="0" t="19050" r="31750" b="19050"/>
                <wp:wrapNone/>
                <wp:docPr id="18" name="Conector recto 1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0E519DC" id="Conector recto 18" o:spid="_x0000_s1026" style="position:absolute;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6.85pt" to="36.5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CThccw2QAAAAUBAAAP&#10;AAAAZHJzL2Rvd25yZXYueG1sTI/NTsMwEITvSLyDtUjcqANFDQ1xKoSExAUohUOP23jzA/E6it0k&#10;vD2LOMBxdlYz3+Sb2XVqpCG0ng1cLhJQxKW3LdcG3t8eLm5AhYhssfNMBr4owKY4Pckxs37iVxp3&#10;sVYSwiFDA02MfaZ1KBtyGBa+Jxav8oPDKHKotR1wknDX6askWWmHLUtDgz3dN1R+7o5Oel+efFqN&#10;j6vruP3Yo11P7XO1Neb8bL67BRVpjn/P8IMv6FAI08Ef2QbVGZAhUa7LFJS46VL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JOFxzDZAAAABQEAAA8AAAAAAAAAAAAA&#10;AAAAIAQAAGRycy9kb3ducmV2LnhtbFBLBQYAAAAABAAEAPMAAAAmBQAAAAA=&#10;" strokecolor="#ee2a24" strokeweight="2.25pt">
                <v:stroke joinstyle="miter"/>
                <w10:wrap anchorx="margin"/>
              </v:line>
            </w:pict>
          </mc:Fallback>
        </mc:AlternateContent>
      </w:r>
    </w:p>
    <w:sdt>
      <w:sdtPr>
        <w:rPr>
          <w:rFonts w:ascii="Times New Roman" w:eastAsiaTheme="minorHAnsi" w:hAnsi="Times New Roman" w:cs="Times New Roman"/>
          <w:color w:val="767171"/>
          <w:sz w:val="24"/>
          <w:szCs w:val="24"/>
        </w:rPr>
        <w:id w:val="-1111128147"/>
        <w:docPartObj>
          <w:docPartGallery w:val="Table of Contents"/>
          <w:docPartUnique/>
        </w:docPartObj>
      </w:sdtPr>
      <w:sdtContent>
        <w:p w14:paraId="13CA098D" w14:textId="2CF4978C" w:rsidR="00A630BC" w:rsidRPr="005D5C92" w:rsidRDefault="00A630BC" w:rsidP="006B204A">
          <w:pPr>
            <w:pStyle w:val="TtuloTDC"/>
            <w:rPr>
              <w:rFonts w:ascii="Times New Roman" w:hAnsi="Times New Roman" w:cs="Times New Roman"/>
              <w:color w:val="767171"/>
              <w:sz w:val="24"/>
              <w:szCs w:val="24"/>
            </w:rPr>
          </w:pPr>
        </w:p>
        <w:p w14:paraId="4389BE63" w14:textId="2358A7E7" w:rsidR="001A74DD" w:rsidRPr="001A74DD" w:rsidRDefault="00A630BC">
          <w:pPr>
            <w:pStyle w:val="TDC1"/>
            <w:tabs>
              <w:tab w:val="left" w:pos="440"/>
              <w:tab w:val="right" w:leader="dot" w:pos="7910"/>
            </w:tabs>
            <w:rPr>
              <w:rFonts w:eastAsiaTheme="minorEastAsia"/>
              <w:noProof/>
              <w:spacing w:val="0"/>
              <w:kern w:val="2"/>
              <w:lang w:val="es-DO" w:eastAsia="es-DO"/>
              <w14:ligatures w14:val="standardContextual"/>
            </w:rPr>
          </w:pPr>
          <w:r w:rsidRPr="005D5C92">
            <w:fldChar w:fldCharType="begin"/>
          </w:r>
          <w:r w:rsidRPr="005D5C92">
            <w:instrText xml:space="preserve"> TOC \o "1-3" \h \z \u </w:instrText>
          </w:r>
          <w:r w:rsidRPr="005D5C92">
            <w:fldChar w:fldCharType="separate"/>
          </w:r>
          <w:hyperlink w:anchor="_Toc155354596" w:history="1">
            <w:r w:rsidR="001A74DD" w:rsidRPr="001A74DD">
              <w:rPr>
                <w:rStyle w:val="Hipervnculo"/>
                <w:rFonts w:eastAsia="Calibri"/>
                <w:noProof/>
                <w:color w:val="767171"/>
                <w:lang w:val="es-DO"/>
              </w:rPr>
              <w:t>I.</w:t>
            </w:r>
            <w:r w:rsidR="001A74DD" w:rsidRPr="001A74DD">
              <w:rPr>
                <w:rFonts w:eastAsiaTheme="minorEastAsia"/>
                <w:noProof/>
                <w:spacing w:val="0"/>
                <w:kern w:val="2"/>
                <w:lang w:val="es-DO" w:eastAsia="es-DO"/>
                <w14:ligatures w14:val="standardContextual"/>
              </w:rPr>
              <w:tab/>
            </w:r>
            <w:r w:rsidR="001A74DD" w:rsidRPr="001A74DD">
              <w:rPr>
                <w:rStyle w:val="Hipervnculo"/>
                <w:rFonts w:eastAsia="Calibri"/>
                <w:noProof/>
                <w:color w:val="767171"/>
                <w:lang w:val="es-DO"/>
              </w:rPr>
              <w:t>RESUMEN EJECUTIVO</w:t>
            </w:r>
            <w:r w:rsidR="001A74DD" w:rsidRPr="001A74DD">
              <w:rPr>
                <w:noProof/>
                <w:webHidden/>
              </w:rPr>
              <w:tab/>
            </w:r>
            <w:r w:rsidR="001A74DD" w:rsidRPr="001A74DD">
              <w:rPr>
                <w:noProof/>
                <w:webHidden/>
              </w:rPr>
              <w:fldChar w:fldCharType="begin"/>
            </w:r>
            <w:r w:rsidR="001A74DD" w:rsidRPr="001A74DD">
              <w:rPr>
                <w:noProof/>
                <w:webHidden/>
              </w:rPr>
              <w:instrText xml:space="preserve"> PAGEREF _Toc155354596 \h </w:instrText>
            </w:r>
            <w:r w:rsidR="001A74DD" w:rsidRPr="001A74DD">
              <w:rPr>
                <w:noProof/>
                <w:webHidden/>
              </w:rPr>
            </w:r>
            <w:r w:rsidR="001A74DD" w:rsidRPr="001A74DD">
              <w:rPr>
                <w:noProof/>
                <w:webHidden/>
              </w:rPr>
              <w:fldChar w:fldCharType="separate"/>
            </w:r>
            <w:r w:rsidR="001A74DD" w:rsidRPr="001A74DD">
              <w:rPr>
                <w:noProof/>
                <w:webHidden/>
              </w:rPr>
              <w:t>1</w:t>
            </w:r>
            <w:r w:rsidR="001A74DD" w:rsidRPr="001A74DD">
              <w:rPr>
                <w:noProof/>
                <w:webHidden/>
              </w:rPr>
              <w:fldChar w:fldCharType="end"/>
            </w:r>
          </w:hyperlink>
        </w:p>
        <w:p w14:paraId="1659A8FE" w14:textId="28E81EE4" w:rsidR="001A74DD" w:rsidRPr="001A74DD" w:rsidRDefault="001A74DD">
          <w:pPr>
            <w:pStyle w:val="TDC2"/>
            <w:rPr>
              <w:rFonts w:eastAsiaTheme="minorEastAsia"/>
              <w:kern w:val="2"/>
              <w14:ligatures w14:val="standardContextual"/>
            </w:rPr>
          </w:pPr>
          <w:hyperlink w:anchor="_Toc155354597" w:history="1">
            <w:r w:rsidRPr="001A74DD">
              <w:rPr>
                <w:rStyle w:val="Hipervnculo"/>
                <w:color w:val="767171"/>
              </w:rPr>
              <w:t xml:space="preserve">Principales logros </w:t>
            </w:r>
            <w:r>
              <w:rPr>
                <w:rStyle w:val="Hipervnculo"/>
                <w:color w:val="767171"/>
              </w:rPr>
              <w:t>a</w:t>
            </w:r>
            <w:r w:rsidRPr="001A74DD">
              <w:rPr>
                <w:rStyle w:val="Hipervnculo"/>
                <w:color w:val="767171"/>
              </w:rPr>
              <w:t>cumulados de la Superintendencia de Bancos desde el periodo 2020 al 2023</w:t>
            </w:r>
            <w:r w:rsidRPr="001A74DD">
              <w:rPr>
                <w:webHidden/>
              </w:rPr>
              <w:tab/>
            </w:r>
            <w:r w:rsidRPr="001A74DD">
              <w:rPr>
                <w:webHidden/>
              </w:rPr>
              <w:fldChar w:fldCharType="begin"/>
            </w:r>
            <w:r w:rsidRPr="001A74DD">
              <w:rPr>
                <w:webHidden/>
              </w:rPr>
              <w:instrText xml:space="preserve"> PAGEREF _Toc155354597 \h </w:instrText>
            </w:r>
            <w:r w:rsidRPr="001A74DD">
              <w:rPr>
                <w:webHidden/>
              </w:rPr>
            </w:r>
            <w:r w:rsidRPr="001A74DD">
              <w:rPr>
                <w:webHidden/>
              </w:rPr>
              <w:fldChar w:fldCharType="separate"/>
            </w:r>
            <w:r w:rsidRPr="001A74DD">
              <w:rPr>
                <w:webHidden/>
              </w:rPr>
              <w:t>6</w:t>
            </w:r>
            <w:r w:rsidRPr="001A74DD">
              <w:rPr>
                <w:webHidden/>
              </w:rPr>
              <w:fldChar w:fldCharType="end"/>
            </w:r>
          </w:hyperlink>
        </w:p>
        <w:p w14:paraId="08B4E7A0" w14:textId="0928E0FD" w:rsidR="001A74DD" w:rsidRPr="001A74DD" w:rsidRDefault="001A74DD">
          <w:pPr>
            <w:pStyle w:val="TDC2"/>
            <w:rPr>
              <w:rFonts w:eastAsiaTheme="minorEastAsia"/>
              <w:kern w:val="2"/>
              <w14:ligatures w14:val="standardContextual"/>
            </w:rPr>
          </w:pPr>
          <w:hyperlink w:anchor="_Toc155354598" w:history="1">
            <w:r w:rsidRPr="001A74DD">
              <w:rPr>
                <w:rStyle w:val="Hipervnculo"/>
                <w:color w:val="767171"/>
              </w:rPr>
              <w:t>Principales logros de la Superintendencia de Bancos durante el periodo 2023</w:t>
            </w:r>
            <w:r w:rsidRPr="001A74DD">
              <w:rPr>
                <w:webHidden/>
              </w:rPr>
              <w:tab/>
            </w:r>
            <w:r w:rsidRPr="001A74DD">
              <w:rPr>
                <w:webHidden/>
              </w:rPr>
              <w:fldChar w:fldCharType="begin"/>
            </w:r>
            <w:r w:rsidRPr="001A74DD">
              <w:rPr>
                <w:webHidden/>
              </w:rPr>
              <w:instrText xml:space="preserve"> PAGEREF _Toc155354598 \h </w:instrText>
            </w:r>
            <w:r w:rsidRPr="001A74DD">
              <w:rPr>
                <w:webHidden/>
              </w:rPr>
            </w:r>
            <w:r w:rsidRPr="001A74DD">
              <w:rPr>
                <w:webHidden/>
              </w:rPr>
              <w:fldChar w:fldCharType="separate"/>
            </w:r>
            <w:r w:rsidRPr="001A74DD">
              <w:rPr>
                <w:webHidden/>
              </w:rPr>
              <w:t>12</w:t>
            </w:r>
            <w:r w:rsidRPr="001A74DD">
              <w:rPr>
                <w:webHidden/>
              </w:rPr>
              <w:fldChar w:fldCharType="end"/>
            </w:r>
          </w:hyperlink>
        </w:p>
        <w:p w14:paraId="1F26A651" w14:textId="7C4AA765" w:rsidR="001A74DD" w:rsidRPr="001A74DD" w:rsidRDefault="001A74DD">
          <w:pPr>
            <w:pStyle w:val="TDC1"/>
            <w:tabs>
              <w:tab w:val="right" w:leader="dot" w:pos="7910"/>
            </w:tabs>
            <w:rPr>
              <w:rFonts w:eastAsiaTheme="minorEastAsia"/>
              <w:noProof/>
              <w:spacing w:val="0"/>
              <w:kern w:val="2"/>
              <w:lang w:val="es-DO" w:eastAsia="es-DO"/>
              <w14:ligatures w14:val="standardContextual"/>
            </w:rPr>
          </w:pPr>
          <w:hyperlink w:anchor="_Toc155354599" w:history="1">
            <w:r w:rsidRPr="001A74DD">
              <w:rPr>
                <w:rStyle w:val="Hipervnculo"/>
                <w:rFonts w:eastAsia="Calibri"/>
                <w:noProof/>
                <w:color w:val="767171"/>
                <w:lang w:val="es-DO"/>
              </w:rPr>
              <w:t>II. INFORMACIÓN INSTITUCIONAL</w:t>
            </w:r>
            <w:r w:rsidRPr="001A74DD">
              <w:rPr>
                <w:noProof/>
                <w:webHidden/>
              </w:rPr>
              <w:tab/>
            </w:r>
            <w:r w:rsidRPr="001A74DD">
              <w:rPr>
                <w:noProof/>
                <w:webHidden/>
              </w:rPr>
              <w:fldChar w:fldCharType="begin"/>
            </w:r>
            <w:r w:rsidRPr="001A74DD">
              <w:rPr>
                <w:noProof/>
                <w:webHidden/>
              </w:rPr>
              <w:instrText xml:space="preserve"> PAGEREF _Toc155354599 \h </w:instrText>
            </w:r>
            <w:r w:rsidRPr="001A74DD">
              <w:rPr>
                <w:noProof/>
                <w:webHidden/>
              </w:rPr>
            </w:r>
            <w:r w:rsidRPr="001A74DD">
              <w:rPr>
                <w:noProof/>
                <w:webHidden/>
              </w:rPr>
              <w:fldChar w:fldCharType="separate"/>
            </w:r>
            <w:r w:rsidRPr="001A74DD">
              <w:rPr>
                <w:noProof/>
                <w:webHidden/>
              </w:rPr>
              <w:t>18</w:t>
            </w:r>
            <w:r w:rsidRPr="001A74DD">
              <w:rPr>
                <w:noProof/>
                <w:webHidden/>
              </w:rPr>
              <w:fldChar w:fldCharType="end"/>
            </w:r>
          </w:hyperlink>
        </w:p>
        <w:p w14:paraId="28C725F4" w14:textId="6DC0714E" w:rsidR="001A74DD" w:rsidRPr="001A74DD" w:rsidRDefault="001A74DD">
          <w:pPr>
            <w:pStyle w:val="TDC2"/>
            <w:rPr>
              <w:rFonts w:eastAsiaTheme="minorEastAsia"/>
              <w:kern w:val="2"/>
              <w14:ligatures w14:val="standardContextual"/>
            </w:rPr>
          </w:pPr>
          <w:hyperlink w:anchor="_Toc155354600" w:history="1">
            <w:r w:rsidRPr="001A74DD">
              <w:rPr>
                <w:rStyle w:val="Hipervnculo"/>
                <w:color w:val="767171"/>
              </w:rPr>
              <w:t>2.1 Marco filosófico institucional</w:t>
            </w:r>
            <w:r w:rsidRPr="001A74DD">
              <w:rPr>
                <w:webHidden/>
              </w:rPr>
              <w:tab/>
            </w:r>
            <w:r w:rsidRPr="001A74DD">
              <w:rPr>
                <w:webHidden/>
              </w:rPr>
              <w:fldChar w:fldCharType="begin"/>
            </w:r>
            <w:r w:rsidRPr="001A74DD">
              <w:rPr>
                <w:webHidden/>
              </w:rPr>
              <w:instrText xml:space="preserve"> PAGEREF _Toc155354600 \h </w:instrText>
            </w:r>
            <w:r w:rsidRPr="001A74DD">
              <w:rPr>
                <w:webHidden/>
              </w:rPr>
            </w:r>
            <w:r w:rsidRPr="001A74DD">
              <w:rPr>
                <w:webHidden/>
              </w:rPr>
              <w:fldChar w:fldCharType="separate"/>
            </w:r>
            <w:r w:rsidRPr="001A74DD">
              <w:rPr>
                <w:webHidden/>
              </w:rPr>
              <w:t>18</w:t>
            </w:r>
            <w:r w:rsidRPr="001A74DD">
              <w:rPr>
                <w:webHidden/>
              </w:rPr>
              <w:fldChar w:fldCharType="end"/>
            </w:r>
          </w:hyperlink>
        </w:p>
        <w:p w14:paraId="7B07C1C7" w14:textId="2ADC1306" w:rsidR="001A74DD" w:rsidRPr="001A74DD" w:rsidRDefault="001A74DD">
          <w:pPr>
            <w:pStyle w:val="TDC3"/>
            <w:tabs>
              <w:tab w:val="right" w:leader="dot" w:pos="7910"/>
            </w:tabs>
            <w:rPr>
              <w:rFonts w:ascii="Times New Roman" w:eastAsiaTheme="minorEastAsia" w:hAnsi="Times New Roman"/>
              <w:noProof/>
              <w:color w:val="767171"/>
              <w:kern w:val="2"/>
              <w:sz w:val="24"/>
              <w:szCs w:val="24"/>
              <w14:ligatures w14:val="standardContextual"/>
            </w:rPr>
          </w:pPr>
          <w:hyperlink w:anchor="_Toc155354601" w:history="1">
            <w:r w:rsidRPr="001A74DD">
              <w:rPr>
                <w:rStyle w:val="Hipervnculo"/>
                <w:rFonts w:ascii="Times New Roman" w:eastAsiaTheme="majorEastAsia" w:hAnsi="Times New Roman"/>
                <w:noProof/>
                <w:color w:val="767171"/>
                <w:spacing w:val="20"/>
                <w:sz w:val="24"/>
                <w:szCs w:val="24"/>
              </w:rPr>
              <w:t xml:space="preserve">A. </w:t>
            </w:r>
            <w:r w:rsidRPr="001A74DD">
              <w:rPr>
                <w:rStyle w:val="Hipervnculo"/>
                <w:rFonts w:ascii="Times New Roman" w:hAnsi="Times New Roman"/>
                <w:noProof/>
                <w:color w:val="767171"/>
                <w:spacing w:val="20"/>
                <w:sz w:val="24"/>
                <w:szCs w:val="24"/>
              </w:rPr>
              <w:t>Misión</w:t>
            </w:r>
            <w:r w:rsidRPr="001A74DD">
              <w:rPr>
                <w:rFonts w:ascii="Times New Roman" w:hAnsi="Times New Roman"/>
                <w:noProof/>
                <w:webHidden/>
                <w:color w:val="767171"/>
                <w:sz w:val="24"/>
                <w:szCs w:val="24"/>
              </w:rPr>
              <w:tab/>
            </w:r>
            <w:r w:rsidRPr="001A74DD">
              <w:rPr>
                <w:rFonts w:ascii="Times New Roman" w:hAnsi="Times New Roman"/>
                <w:noProof/>
                <w:webHidden/>
                <w:color w:val="767171"/>
                <w:sz w:val="24"/>
                <w:szCs w:val="24"/>
              </w:rPr>
              <w:fldChar w:fldCharType="begin"/>
            </w:r>
            <w:r w:rsidRPr="001A74DD">
              <w:rPr>
                <w:rFonts w:ascii="Times New Roman" w:hAnsi="Times New Roman"/>
                <w:noProof/>
                <w:webHidden/>
                <w:color w:val="767171"/>
                <w:sz w:val="24"/>
                <w:szCs w:val="24"/>
              </w:rPr>
              <w:instrText xml:space="preserve"> PAGEREF _Toc155354601 \h </w:instrText>
            </w:r>
            <w:r w:rsidRPr="001A74DD">
              <w:rPr>
                <w:rFonts w:ascii="Times New Roman" w:hAnsi="Times New Roman"/>
                <w:noProof/>
                <w:webHidden/>
                <w:color w:val="767171"/>
                <w:sz w:val="24"/>
                <w:szCs w:val="24"/>
              </w:rPr>
            </w:r>
            <w:r w:rsidRPr="001A74DD">
              <w:rPr>
                <w:rFonts w:ascii="Times New Roman" w:hAnsi="Times New Roman"/>
                <w:noProof/>
                <w:webHidden/>
                <w:color w:val="767171"/>
                <w:sz w:val="24"/>
                <w:szCs w:val="24"/>
              </w:rPr>
              <w:fldChar w:fldCharType="separate"/>
            </w:r>
            <w:r w:rsidRPr="001A74DD">
              <w:rPr>
                <w:rFonts w:ascii="Times New Roman" w:hAnsi="Times New Roman"/>
                <w:noProof/>
                <w:webHidden/>
                <w:color w:val="767171"/>
                <w:sz w:val="24"/>
                <w:szCs w:val="24"/>
              </w:rPr>
              <w:t>18</w:t>
            </w:r>
            <w:r w:rsidRPr="001A74DD">
              <w:rPr>
                <w:rFonts w:ascii="Times New Roman" w:hAnsi="Times New Roman"/>
                <w:noProof/>
                <w:webHidden/>
                <w:color w:val="767171"/>
                <w:sz w:val="24"/>
                <w:szCs w:val="24"/>
              </w:rPr>
              <w:fldChar w:fldCharType="end"/>
            </w:r>
          </w:hyperlink>
        </w:p>
        <w:p w14:paraId="73A1DBB6" w14:textId="4458FF47" w:rsidR="001A74DD" w:rsidRPr="001A74DD" w:rsidRDefault="001A74DD">
          <w:pPr>
            <w:pStyle w:val="TDC3"/>
            <w:tabs>
              <w:tab w:val="right" w:leader="dot" w:pos="7910"/>
            </w:tabs>
            <w:rPr>
              <w:rFonts w:ascii="Times New Roman" w:eastAsiaTheme="minorEastAsia" w:hAnsi="Times New Roman"/>
              <w:noProof/>
              <w:color w:val="767171"/>
              <w:kern w:val="2"/>
              <w:sz w:val="24"/>
              <w:szCs w:val="24"/>
              <w14:ligatures w14:val="standardContextual"/>
            </w:rPr>
          </w:pPr>
          <w:hyperlink w:anchor="_Toc155354602" w:history="1">
            <w:r w:rsidRPr="001A74DD">
              <w:rPr>
                <w:rStyle w:val="Hipervnculo"/>
                <w:rFonts w:ascii="Times New Roman" w:eastAsiaTheme="majorEastAsia" w:hAnsi="Times New Roman"/>
                <w:noProof/>
                <w:color w:val="767171"/>
                <w:spacing w:val="20"/>
                <w:sz w:val="24"/>
                <w:szCs w:val="24"/>
              </w:rPr>
              <w:t>B. Visión</w:t>
            </w:r>
            <w:r w:rsidRPr="001A74DD">
              <w:rPr>
                <w:rFonts w:ascii="Times New Roman" w:hAnsi="Times New Roman"/>
                <w:noProof/>
                <w:webHidden/>
                <w:color w:val="767171"/>
                <w:sz w:val="24"/>
                <w:szCs w:val="24"/>
              </w:rPr>
              <w:tab/>
            </w:r>
            <w:r w:rsidRPr="001A74DD">
              <w:rPr>
                <w:rFonts w:ascii="Times New Roman" w:hAnsi="Times New Roman"/>
                <w:noProof/>
                <w:webHidden/>
                <w:color w:val="767171"/>
                <w:sz w:val="24"/>
                <w:szCs w:val="24"/>
              </w:rPr>
              <w:fldChar w:fldCharType="begin"/>
            </w:r>
            <w:r w:rsidRPr="001A74DD">
              <w:rPr>
                <w:rFonts w:ascii="Times New Roman" w:hAnsi="Times New Roman"/>
                <w:noProof/>
                <w:webHidden/>
                <w:color w:val="767171"/>
                <w:sz w:val="24"/>
                <w:szCs w:val="24"/>
              </w:rPr>
              <w:instrText xml:space="preserve"> PAGEREF _Toc155354602 \h </w:instrText>
            </w:r>
            <w:r w:rsidRPr="001A74DD">
              <w:rPr>
                <w:rFonts w:ascii="Times New Roman" w:hAnsi="Times New Roman"/>
                <w:noProof/>
                <w:webHidden/>
                <w:color w:val="767171"/>
                <w:sz w:val="24"/>
                <w:szCs w:val="24"/>
              </w:rPr>
            </w:r>
            <w:r w:rsidRPr="001A74DD">
              <w:rPr>
                <w:rFonts w:ascii="Times New Roman" w:hAnsi="Times New Roman"/>
                <w:noProof/>
                <w:webHidden/>
                <w:color w:val="767171"/>
                <w:sz w:val="24"/>
                <w:szCs w:val="24"/>
              </w:rPr>
              <w:fldChar w:fldCharType="separate"/>
            </w:r>
            <w:r w:rsidRPr="001A74DD">
              <w:rPr>
                <w:rFonts w:ascii="Times New Roman" w:hAnsi="Times New Roman"/>
                <w:noProof/>
                <w:webHidden/>
                <w:color w:val="767171"/>
                <w:sz w:val="24"/>
                <w:szCs w:val="24"/>
              </w:rPr>
              <w:t>18</w:t>
            </w:r>
            <w:r w:rsidRPr="001A74DD">
              <w:rPr>
                <w:rFonts w:ascii="Times New Roman" w:hAnsi="Times New Roman"/>
                <w:noProof/>
                <w:webHidden/>
                <w:color w:val="767171"/>
                <w:sz w:val="24"/>
                <w:szCs w:val="24"/>
              </w:rPr>
              <w:fldChar w:fldCharType="end"/>
            </w:r>
          </w:hyperlink>
        </w:p>
        <w:p w14:paraId="2376CF07" w14:textId="0DB52028" w:rsidR="001A74DD" w:rsidRPr="001A74DD" w:rsidRDefault="001A74DD">
          <w:pPr>
            <w:pStyle w:val="TDC3"/>
            <w:tabs>
              <w:tab w:val="right" w:leader="dot" w:pos="7910"/>
            </w:tabs>
            <w:rPr>
              <w:rFonts w:ascii="Times New Roman" w:eastAsiaTheme="minorEastAsia" w:hAnsi="Times New Roman"/>
              <w:noProof/>
              <w:color w:val="767171"/>
              <w:kern w:val="2"/>
              <w:sz w:val="24"/>
              <w:szCs w:val="24"/>
              <w14:ligatures w14:val="standardContextual"/>
            </w:rPr>
          </w:pPr>
          <w:hyperlink w:anchor="_Toc155354603" w:history="1">
            <w:r w:rsidRPr="001A74DD">
              <w:rPr>
                <w:rStyle w:val="Hipervnculo"/>
                <w:rFonts w:ascii="Times New Roman" w:eastAsiaTheme="majorEastAsia" w:hAnsi="Times New Roman"/>
                <w:noProof/>
                <w:color w:val="767171"/>
                <w:spacing w:val="20"/>
                <w:sz w:val="24"/>
                <w:szCs w:val="24"/>
              </w:rPr>
              <w:t>C. Valores</w:t>
            </w:r>
            <w:r w:rsidRPr="001A74DD">
              <w:rPr>
                <w:rFonts w:ascii="Times New Roman" w:hAnsi="Times New Roman"/>
                <w:noProof/>
                <w:webHidden/>
                <w:color w:val="767171"/>
                <w:sz w:val="24"/>
                <w:szCs w:val="24"/>
              </w:rPr>
              <w:tab/>
            </w:r>
            <w:r w:rsidRPr="001A74DD">
              <w:rPr>
                <w:rFonts w:ascii="Times New Roman" w:hAnsi="Times New Roman"/>
                <w:noProof/>
                <w:webHidden/>
                <w:color w:val="767171"/>
                <w:sz w:val="24"/>
                <w:szCs w:val="24"/>
              </w:rPr>
              <w:fldChar w:fldCharType="begin"/>
            </w:r>
            <w:r w:rsidRPr="001A74DD">
              <w:rPr>
                <w:rFonts w:ascii="Times New Roman" w:hAnsi="Times New Roman"/>
                <w:noProof/>
                <w:webHidden/>
                <w:color w:val="767171"/>
                <w:sz w:val="24"/>
                <w:szCs w:val="24"/>
              </w:rPr>
              <w:instrText xml:space="preserve"> PAGEREF _Toc155354603 \h </w:instrText>
            </w:r>
            <w:r w:rsidRPr="001A74DD">
              <w:rPr>
                <w:rFonts w:ascii="Times New Roman" w:hAnsi="Times New Roman"/>
                <w:noProof/>
                <w:webHidden/>
                <w:color w:val="767171"/>
                <w:sz w:val="24"/>
                <w:szCs w:val="24"/>
              </w:rPr>
            </w:r>
            <w:r w:rsidRPr="001A74DD">
              <w:rPr>
                <w:rFonts w:ascii="Times New Roman" w:hAnsi="Times New Roman"/>
                <w:noProof/>
                <w:webHidden/>
                <w:color w:val="767171"/>
                <w:sz w:val="24"/>
                <w:szCs w:val="24"/>
              </w:rPr>
              <w:fldChar w:fldCharType="separate"/>
            </w:r>
            <w:r w:rsidRPr="001A74DD">
              <w:rPr>
                <w:rFonts w:ascii="Times New Roman" w:hAnsi="Times New Roman"/>
                <w:noProof/>
                <w:webHidden/>
                <w:color w:val="767171"/>
                <w:sz w:val="24"/>
                <w:szCs w:val="24"/>
              </w:rPr>
              <w:t>18</w:t>
            </w:r>
            <w:r w:rsidRPr="001A74DD">
              <w:rPr>
                <w:rFonts w:ascii="Times New Roman" w:hAnsi="Times New Roman"/>
                <w:noProof/>
                <w:webHidden/>
                <w:color w:val="767171"/>
                <w:sz w:val="24"/>
                <w:szCs w:val="24"/>
              </w:rPr>
              <w:fldChar w:fldCharType="end"/>
            </w:r>
          </w:hyperlink>
        </w:p>
        <w:p w14:paraId="1FF10767" w14:textId="14F9F2CE" w:rsidR="001A74DD" w:rsidRPr="001A74DD" w:rsidRDefault="001A74DD">
          <w:pPr>
            <w:pStyle w:val="TDC2"/>
            <w:rPr>
              <w:rFonts w:eastAsiaTheme="minorEastAsia"/>
              <w:kern w:val="2"/>
              <w14:ligatures w14:val="standardContextual"/>
            </w:rPr>
          </w:pPr>
          <w:hyperlink w:anchor="_Toc155354604" w:history="1">
            <w:r w:rsidRPr="001A74DD">
              <w:rPr>
                <w:rStyle w:val="Hipervnculo"/>
                <w:color w:val="767171"/>
              </w:rPr>
              <w:t>2.2 Base legal</w:t>
            </w:r>
            <w:r w:rsidRPr="001A74DD">
              <w:rPr>
                <w:webHidden/>
              </w:rPr>
              <w:tab/>
            </w:r>
            <w:r w:rsidRPr="001A74DD">
              <w:rPr>
                <w:webHidden/>
              </w:rPr>
              <w:fldChar w:fldCharType="begin"/>
            </w:r>
            <w:r w:rsidRPr="001A74DD">
              <w:rPr>
                <w:webHidden/>
              </w:rPr>
              <w:instrText xml:space="preserve"> PAGEREF _Toc155354604 \h </w:instrText>
            </w:r>
            <w:r w:rsidRPr="001A74DD">
              <w:rPr>
                <w:webHidden/>
              </w:rPr>
            </w:r>
            <w:r w:rsidRPr="001A74DD">
              <w:rPr>
                <w:webHidden/>
              </w:rPr>
              <w:fldChar w:fldCharType="separate"/>
            </w:r>
            <w:r w:rsidRPr="001A74DD">
              <w:rPr>
                <w:webHidden/>
              </w:rPr>
              <w:t>19</w:t>
            </w:r>
            <w:r w:rsidRPr="001A74DD">
              <w:rPr>
                <w:webHidden/>
              </w:rPr>
              <w:fldChar w:fldCharType="end"/>
            </w:r>
          </w:hyperlink>
        </w:p>
        <w:p w14:paraId="7CB5B54F" w14:textId="7FCC975E" w:rsidR="001A74DD" w:rsidRPr="001A74DD" w:rsidRDefault="001A74DD">
          <w:pPr>
            <w:pStyle w:val="TDC2"/>
            <w:rPr>
              <w:rFonts w:eastAsiaTheme="minorEastAsia"/>
              <w:kern w:val="2"/>
              <w14:ligatures w14:val="standardContextual"/>
            </w:rPr>
          </w:pPr>
          <w:hyperlink w:anchor="_Toc155354605" w:history="1">
            <w:r w:rsidRPr="001A74DD">
              <w:rPr>
                <w:rStyle w:val="Hipervnculo"/>
                <w:color w:val="767171"/>
              </w:rPr>
              <w:t>2.3 Estructura Organizativa</w:t>
            </w:r>
            <w:r w:rsidRPr="001A74DD">
              <w:rPr>
                <w:webHidden/>
              </w:rPr>
              <w:tab/>
            </w:r>
            <w:r w:rsidRPr="001A74DD">
              <w:rPr>
                <w:webHidden/>
              </w:rPr>
              <w:fldChar w:fldCharType="begin"/>
            </w:r>
            <w:r w:rsidRPr="001A74DD">
              <w:rPr>
                <w:webHidden/>
              </w:rPr>
              <w:instrText xml:space="preserve"> PAGEREF _Toc155354605 \h </w:instrText>
            </w:r>
            <w:r w:rsidRPr="001A74DD">
              <w:rPr>
                <w:webHidden/>
              </w:rPr>
            </w:r>
            <w:r w:rsidRPr="001A74DD">
              <w:rPr>
                <w:webHidden/>
              </w:rPr>
              <w:fldChar w:fldCharType="separate"/>
            </w:r>
            <w:r w:rsidRPr="001A74DD">
              <w:rPr>
                <w:webHidden/>
              </w:rPr>
              <w:t>20</w:t>
            </w:r>
            <w:r w:rsidRPr="001A74DD">
              <w:rPr>
                <w:webHidden/>
              </w:rPr>
              <w:fldChar w:fldCharType="end"/>
            </w:r>
          </w:hyperlink>
        </w:p>
        <w:p w14:paraId="61F98F0F" w14:textId="06724E83" w:rsidR="001A74DD" w:rsidRPr="001A74DD" w:rsidRDefault="001A74DD">
          <w:pPr>
            <w:pStyle w:val="TDC2"/>
            <w:rPr>
              <w:rFonts w:eastAsiaTheme="minorEastAsia"/>
              <w:kern w:val="2"/>
              <w14:ligatures w14:val="standardContextual"/>
            </w:rPr>
          </w:pPr>
          <w:hyperlink w:anchor="_Toc155354606" w:history="1">
            <w:r w:rsidRPr="001A74DD">
              <w:rPr>
                <w:rStyle w:val="Hipervnculo"/>
                <w:color w:val="767171"/>
              </w:rPr>
              <w:t>2.4 Planificación Estratégica Institucional</w:t>
            </w:r>
            <w:r w:rsidRPr="001A74DD">
              <w:rPr>
                <w:webHidden/>
              </w:rPr>
              <w:tab/>
            </w:r>
            <w:r w:rsidRPr="001A74DD">
              <w:rPr>
                <w:webHidden/>
              </w:rPr>
              <w:fldChar w:fldCharType="begin"/>
            </w:r>
            <w:r w:rsidRPr="001A74DD">
              <w:rPr>
                <w:webHidden/>
              </w:rPr>
              <w:instrText xml:space="preserve"> PAGEREF _Toc155354606 \h </w:instrText>
            </w:r>
            <w:r w:rsidRPr="001A74DD">
              <w:rPr>
                <w:webHidden/>
              </w:rPr>
            </w:r>
            <w:r w:rsidRPr="001A74DD">
              <w:rPr>
                <w:webHidden/>
              </w:rPr>
              <w:fldChar w:fldCharType="separate"/>
            </w:r>
            <w:r w:rsidRPr="001A74DD">
              <w:rPr>
                <w:webHidden/>
              </w:rPr>
              <w:t>20</w:t>
            </w:r>
            <w:r w:rsidRPr="001A74DD">
              <w:rPr>
                <w:webHidden/>
              </w:rPr>
              <w:fldChar w:fldCharType="end"/>
            </w:r>
          </w:hyperlink>
        </w:p>
        <w:p w14:paraId="3DF219ED" w14:textId="6A370086" w:rsidR="001A74DD" w:rsidRPr="001A74DD" w:rsidRDefault="001A74DD">
          <w:pPr>
            <w:pStyle w:val="TDC1"/>
            <w:tabs>
              <w:tab w:val="right" w:leader="dot" w:pos="7910"/>
            </w:tabs>
            <w:rPr>
              <w:rFonts w:eastAsiaTheme="minorEastAsia"/>
              <w:noProof/>
              <w:spacing w:val="0"/>
              <w:kern w:val="2"/>
              <w:lang w:val="es-DO" w:eastAsia="es-DO"/>
              <w14:ligatures w14:val="standardContextual"/>
            </w:rPr>
          </w:pPr>
          <w:hyperlink w:anchor="_Toc155354607" w:history="1">
            <w:r w:rsidRPr="001A74DD">
              <w:rPr>
                <w:rStyle w:val="Hipervnculo"/>
                <w:rFonts w:eastAsia="Calibri"/>
                <w:noProof/>
                <w:color w:val="767171"/>
                <w:lang w:val="es-DO"/>
              </w:rPr>
              <w:t>III. RESULTADOS MISIONALES</w:t>
            </w:r>
            <w:r w:rsidRPr="001A74DD">
              <w:rPr>
                <w:noProof/>
                <w:webHidden/>
              </w:rPr>
              <w:tab/>
            </w:r>
            <w:r w:rsidRPr="001A74DD">
              <w:rPr>
                <w:noProof/>
                <w:webHidden/>
              </w:rPr>
              <w:fldChar w:fldCharType="begin"/>
            </w:r>
            <w:r w:rsidRPr="001A74DD">
              <w:rPr>
                <w:noProof/>
                <w:webHidden/>
              </w:rPr>
              <w:instrText xml:space="preserve"> PAGEREF _Toc155354607 \h </w:instrText>
            </w:r>
            <w:r w:rsidRPr="001A74DD">
              <w:rPr>
                <w:noProof/>
                <w:webHidden/>
              </w:rPr>
            </w:r>
            <w:r w:rsidRPr="001A74DD">
              <w:rPr>
                <w:noProof/>
                <w:webHidden/>
              </w:rPr>
              <w:fldChar w:fldCharType="separate"/>
            </w:r>
            <w:r w:rsidRPr="001A74DD">
              <w:rPr>
                <w:noProof/>
                <w:webHidden/>
              </w:rPr>
              <w:t>23</w:t>
            </w:r>
            <w:r w:rsidRPr="001A74DD">
              <w:rPr>
                <w:noProof/>
                <w:webHidden/>
              </w:rPr>
              <w:fldChar w:fldCharType="end"/>
            </w:r>
          </w:hyperlink>
        </w:p>
        <w:p w14:paraId="0BD96D05" w14:textId="5C437756" w:rsidR="001A74DD" w:rsidRPr="001A74DD" w:rsidRDefault="001A74DD">
          <w:pPr>
            <w:pStyle w:val="TDC2"/>
            <w:rPr>
              <w:rFonts w:eastAsiaTheme="minorEastAsia"/>
              <w:kern w:val="2"/>
              <w14:ligatures w14:val="standardContextual"/>
            </w:rPr>
          </w:pPr>
          <w:hyperlink w:anchor="_Toc155354608" w:history="1">
            <w:r w:rsidRPr="001A74DD">
              <w:rPr>
                <w:rStyle w:val="Hipervnculo"/>
                <w:color w:val="767171"/>
              </w:rPr>
              <w:t>3.1 Desempeño del sector financiero</w:t>
            </w:r>
            <w:r w:rsidRPr="001A74DD">
              <w:rPr>
                <w:webHidden/>
              </w:rPr>
              <w:tab/>
            </w:r>
            <w:r w:rsidRPr="001A74DD">
              <w:rPr>
                <w:webHidden/>
              </w:rPr>
              <w:fldChar w:fldCharType="begin"/>
            </w:r>
            <w:r w:rsidRPr="001A74DD">
              <w:rPr>
                <w:webHidden/>
              </w:rPr>
              <w:instrText xml:space="preserve"> PAGEREF _Toc155354608 \h </w:instrText>
            </w:r>
            <w:r w:rsidRPr="001A74DD">
              <w:rPr>
                <w:webHidden/>
              </w:rPr>
            </w:r>
            <w:r w:rsidRPr="001A74DD">
              <w:rPr>
                <w:webHidden/>
              </w:rPr>
              <w:fldChar w:fldCharType="separate"/>
            </w:r>
            <w:r w:rsidRPr="001A74DD">
              <w:rPr>
                <w:webHidden/>
              </w:rPr>
              <w:t>23</w:t>
            </w:r>
            <w:r w:rsidRPr="001A74DD">
              <w:rPr>
                <w:webHidden/>
              </w:rPr>
              <w:fldChar w:fldCharType="end"/>
            </w:r>
          </w:hyperlink>
        </w:p>
        <w:p w14:paraId="2F381D14" w14:textId="51560C41" w:rsidR="001A74DD" w:rsidRPr="001A74DD" w:rsidRDefault="001A74DD">
          <w:pPr>
            <w:pStyle w:val="TDC2"/>
            <w:rPr>
              <w:rFonts w:eastAsiaTheme="minorEastAsia"/>
              <w:kern w:val="2"/>
              <w14:ligatures w14:val="standardContextual"/>
            </w:rPr>
          </w:pPr>
          <w:hyperlink w:anchor="_Toc155354609" w:history="1">
            <w:r w:rsidRPr="001A74DD">
              <w:rPr>
                <w:rStyle w:val="Hipervnculo"/>
                <w:color w:val="767171"/>
              </w:rPr>
              <w:t>3.2 Supervisión de entidades de intermediación financiera y cambiarias</w:t>
            </w:r>
            <w:r w:rsidRPr="001A74DD">
              <w:rPr>
                <w:webHidden/>
              </w:rPr>
              <w:tab/>
            </w:r>
            <w:r w:rsidRPr="001A74DD">
              <w:rPr>
                <w:webHidden/>
              </w:rPr>
              <w:fldChar w:fldCharType="begin"/>
            </w:r>
            <w:r w:rsidRPr="001A74DD">
              <w:rPr>
                <w:webHidden/>
              </w:rPr>
              <w:instrText xml:space="preserve"> PAGEREF _Toc155354609 \h </w:instrText>
            </w:r>
            <w:r w:rsidRPr="001A74DD">
              <w:rPr>
                <w:webHidden/>
              </w:rPr>
            </w:r>
            <w:r w:rsidRPr="001A74DD">
              <w:rPr>
                <w:webHidden/>
              </w:rPr>
              <w:fldChar w:fldCharType="separate"/>
            </w:r>
            <w:r w:rsidRPr="001A74DD">
              <w:rPr>
                <w:webHidden/>
              </w:rPr>
              <w:t>27</w:t>
            </w:r>
            <w:r w:rsidRPr="001A74DD">
              <w:rPr>
                <w:webHidden/>
              </w:rPr>
              <w:fldChar w:fldCharType="end"/>
            </w:r>
          </w:hyperlink>
        </w:p>
        <w:p w14:paraId="16C04DF4" w14:textId="237362F6" w:rsidR="001A74DD" w:rsidRPr="001A74DD" w:rsidRDefault="001A74DD">
          <w:pPr>
            <w:pStyle w:val="TDC2"/>
            <w:rPr>
              <w:rFonts w:eastAsiaTheme="minorEastAsia"/>
              <w:kern w:val="2"/>
              <w14:ligatures w14:val="standardContextual"/>
            </w:rPr>
          </w:pPr>
          <w:hyperlink w:anchor="_Toc155354610" w:history="1">
            <w:r w:rsidRPr="001A74DD">
              <w:rPr>
                <w:rStyle w:val="Hipervnculo"/>
                <w:color w:val="767171"/>
              </w:rPr>
              <w:t>3.3 Monitoreo de riesgos</w:t>
            </w:r>
            <w:r w:rsidRPr="001A74DD">
              <w:rPr>
                <w:webHidden/>
              </w:rPr>
              <w:tab/>
            </w:r>
            <w:r w:rsidRPr="001A74DD">
              <w:rPr>
                <w:webHidden/>
              </w:rPr>
              <w:fldChar w:fldCharType="begin"/>
            </w:r>
            <w:r w:rsidRPr="001A74DD">
              <w:rPr>
                <w:webHidden/>
              </w:rPr>
              <w:instrText xml:space="preserve"> PAGEREF _Toc155354610 \h </w:instrText>
            </w:r>
            <w:r w:rsidRPr="001A74DD">
              <w:rPr>
                <w:webHidden/>
              </w:rPr>
            </w:r>
            <w:r w:rsidRPr="001A74DD">
              <w:rPr>
                <w:webHidden/>
              </w:rPr>
              <w:fldChar w:fldCharType="separate"/>
            </w:r>
            <w:r w:rsidRPr="001A74DD">
              <w:rPr>
                <w:webHidden/>
              </w:rPr>
              <w:t>30</w:t>
            </w:r>
            <w:r w:rsidRPr="001A74DD">
              <w:rPr>
                <w:webHidden/>
              </w:rPr>
              <w:fldChar w:fldCharType="end"/>
            </w:r>
          </w:hyperlink>
        </w:p>
        <w:p w14:paraId="6A7B3A44" w14:textId="7EDBBFF5" w:rsidR="001A74DD" w:rsidRPr="001A74DD" w:rsidRDefault="001A74DD">
          <w:pPr>
            <w:pStyle w:val="TDC2"/>
            <w:rPr>
              <w:rFonts w:eastAsiaTheme="minorEastAsia"/>
              <w:kern w:val="2"/>
              <w14:ligatures w14:val="standardContextual"/>
            </w:rPr>
          </w:pPr>
          <w:hyperlink w:anchor="_Toc155354611" w:history="1">
            <w:r w:rsidRPr="001A74DD">
              <w:rPr>
                <w:rStyle w:val="Hipervnculo"/>
                <w:color w:val="767171"/>
              </w:rPr>
              <w:t>3.4 Supervisión de Prevención del Lavado de Activos y Financiamiento al Terrorismo (PLAFT)</w:t>
            </w:r>
            <w:r w:rsidRPr="001A74DD">
              <w:rPr>
                <w:webHidden/>
              </w:rPr>
              <w:tab/>
            </w:r>
            <w:r w:rsidRPr="001A74DD">
              <w:rPr>
                <w:webHidden/>
              </w:rPr>
              <w:fldChar w:fldCharType="begin"/>
            </w:r>
            <w:r w:rsidRPr="001A74DD">
              <w:rPr>
                <w:webHidden/>
              </w:rPr>
              <w:instrText xml:space="preserve"> PAGEREF _Toc155354611 \h </w:instrText>
            </w:r>
            <w:r w:rsidRPr="001A74DD">
              <w:rPr>
                <w:webHidden/>
              </w:rPr>
            </w:r>
            <w:r w:rsidRPr="001A74DD">
              <w:rPr>
                <w:webHidden/>
              </w:rPr>
              <w:fldChar w:fldCharType="separate"/>
            </w:r>
            <w:r w:rsidRPr="001A74DD">
              <w:rPr>
                <w:webHidden/>
              </w:rPr>
              <w:t>32</w:t>
            </w:r>
            <w:r w:rsidRPr="001A74DD">
              <w:rPr>
                <w:webHidden/>
              </w:rPr>
              <w:fldChar w:fldCharType="end"/>
            </w:r>
          </w:hyperlink>
        </w:p>
        <w:p w14:paraId="14773E7D" w14:textId="36A06091" w:rsidR="001A74DD" w:rsidRPr="001A74DD" w:rsidRDefault="001A74DD">
          <w:pPr>
            <w:pStyle w:val="TDC2"/>
            <w:rPr>
              <w:rFonts w:eastAsiaTheme="minorEastAsia"/>
              <w:kern w:val="2"/>
              <w14:ligatures w14:val="standardContextual"/>
            </w:rPr>
          </w:pPr>
          <w:hyperlink w:anchor="_Toc155354612" w:history="1">
            <w:r w:rsidRPr="001A74DD">
              <w:rPr>
                <w:rStyle w:val="Hipervnculo"/>
                <w:color w:val="767171"/>
              </w:rPr>
              <w:t>3.5 Procesos Sancionadores</w:t>
            </w:r>
            <w:r w:rsidRPr="001A74DD">
              <w:rPr>
                <w:webHidden/>
              </w:rPr>
              <w:tab/>
            </w:r>
            <w:r w:rsidRPr="001A74DD">
              <w:rPr>
                <w:webHidden/>
              </w:rPr>
              <w:fldChar w:fldCharType="begin"/>
            </w:r>
            <w:r w:rsidRPr="001A74DD">
              <w:rPr>
                <w:webHidden/>
              </w:rPr>
              <w:instrText xml:space="preserve"> PAGEREF _Toc155354612 \h </w:instrText>
            </w:r>
            <w:r w:rsidRPr="001A74DD">
              <w:rPr>
                <w:webHidden/>
              </w:rPr>
            </w:r>
            <w:r w:rsidRPr="001A74DD">
              <w:rPr>
                <w:webHidden/>
              </w:rPr>
              <w:fldChar w:fldCharType="separate"/>
            </w:r>
            <w:r w:rsidRPr="001A74DD">
              <w:rPr>
                <w:webHidden/>
              </w:rPr>
              <w:t>35</w:t>
            </w:r>
            <w:r w:rsidRPr="001A74DD">
              <w:rPr>
                <w:webHidden/>
              </w:rPr>
              <w:fldChar w:fldCharType="end"/>
            </w:r>
          </w:hyperlink>
        </w:p>
        <w:p w14:paraId="3DA4F795" w14:textId="04961091" w:rsidR="001A74DD" w:rsidRPr="001A74DD" w:rsidRDefault="001A74DD">
          <w:pPr>
            <w:pStyle w:val="TDC2"/>
            <w:rPr>
              <w:rFonts w:eastAsiaTheme="minorEastAsia"/>
              <w:kern w:val="2"/>
              <w14:ligatures w14:val="standardContextual"/>
            </w:rPr>
          </w:pPr>
          <w:hyperlink w:anchor="_Toc155354613" w:history="1">
            <w:r w:rsidRPr="001A74DD">
              <w:rPr>
                <w:rStyle w:val="Hipervnculo"/>
                <w:color w:val="767171"/>
              </w:rPr>
              <w:t>3.6 Regulación</w:t>
            </w:r>
            <w:r w:rsidRPr="001A74DD">
              <w:rPr>
                <w:webHidden/>
              </w:rPr>
              <w:tab/>
            </w:r>
            <w:r w:rsidRPr="001A74DD">
              <w:rPr>
                <w:webHidden/>
              </w:rPr>
              <w:fldChar w:fldCharType="begin"/>
            </w:r>
            <w:r w:rsidRPr="001A74DD">
              <w:rPr>
                <w:webHidden/>
              </w:rPr>
              <w:instrText xml:space="preserve"> PAGEREF _Toc155354613 \h </w:instrText>
            </w:r>
            <w:r w:rsidRPr="001A74DD">
              <w:rPr>
                <w:webHidden/>
              </w:rPr>
            </w:r>
            <w:r w:rsidRPr="001A74DD">
              <w:rPr>
                <w:webHidden/>
              </w:rPr>
              <w:fldChar w:fldCharType="separate"/>
            </w:r>
            <w:r w:rsidRPr="001A74DD">
              <w:rPr>
                <w:webHidden/>
              </w:rPr>
              <w:t>38</w:t>
            </w:r>
            <w:r w:rsidRPr="001A74DD">
              <w:rPr>
                <w:webHidden/>
              </w:rPr>
              <w:fldChar w:fldCharType="end"/>
            </w:r>
          </w:hyperlink>
        </w:p>
        <w:p w14:paraId="7CBAF57A" w14:textId="675746A8" w:rsidR="001A74DD" w:rsidRPr="001A74DD" w:rsidRDefault="001A74DD">
          <w:pPr>
            <w:pStyle w:val="TDC2"/>
            <w:rPr>
              <w:rFonts w:eastAsiaTheme="minorEastAsia"/>
              <w:kern w:val="2"/>
              <w14:ligatures w14:val="standardContextual"/>
            </w:rPr>
          </w:pPr>
          <w:hyperlink w:anchor="_Toc155354614" w:history="1">
            <w:r w:rsidRPr="001A74DD">
              <w:rPr>
                <w:rStyle w:val="Hipervnculo"/>
                <w:color w:val="767171"/>
              </w:rPr>
              <w:t>3.7 Promoción de la Innovación Financiera</w:t>
            </w:r>
            <w:r w:rsidRPr="001A74DD">
              <w:rPr>
                <w:webHidden/>
              </w:rPr>
              <w:tab/>
            </w:r>
            <w:r w:rsidRPr="001A74DD">
              <w:rPr>
                <w:webHidden/>
              </w:rPr>
              <w:fldChar w:fldCharType="begin"/>
            </w:r>
            <w:r w:rsidRPr="001A74DD">
              <w:rPr>
                <w:webHidden/>
              </w:rPr>
              <w:instrText xml:space="preserve"> PAGEREF _Toc155354614 \h </w:instrText>
            </w:r>
            <w:r w:rsidRPr="001A74DD">
              <w:rPr>
                <w:webHidden/>
              </w:rPr>
            </w:r>
            <w:r w:rsidRPr="001A74DD">
              <w:rPr>
                <w:webHidden/>
              </w:rPr>
              <w:fldChar w:fldCharType="separate"/>
            </w:r>
            <w:r w:rsidRPr="001A74DD">
              <w:rPr>
                <w:webHidden/>
              </w:rPr>
              <w:t>50</w:t>
            </w:r>
            <w:r w:rsidRPr="001A74DD">
              <w:rPr>
                <w:webHidden/>
              </w:rPr>
              <w:fldChar w:fldCharType="end"/>
            </w:r>
          </w:hyperlink>
        </w:p>
        <w:p w14:paraId="2B684E2B" w14:textId="6B2A28C2" w:rsidR="001A74DD" w:rsidRPr="001A74DD" w:rsidRDefault="001A74DD">
          <w:pPr>
            <w:pStyle w:val="TDC2"/>
            <w:rPr>
              <w:rFonts w:eastAsiaTheme="minorEastAsia"/>
              <w:kern w:val="2"/>
              <w14:ligatures w14:val="standardContextual"/>
            </w:rPr>
          </w:pPr>
          <w:hyperlink w:anchor="_Toc155354615" w:history="1">
            <w:r w:rsidRPr="001A74DD">
              <w:rPr>
                <w:rStyle w:val="Hipervnculo"/>
                <w:color w:val="767171"/>
              </w:rPr>
              <w:t>3.8 Protección y Atención al Usuario Financiero</w:t>
            </w:r>
            <w:r w:rsidRPr="001A74DD">
              <w:rPr>
                <w:webHidden/>
              </w:rPr>
              <w:tab/>
            </w:r>
            <w:r w:rsidRPr="001A74DD">
              <w:rPr>
                <w:webHidden/>
              </w:rPr>
              <w:fldChar w:fldCharType="begin"/>
            </w:r>
            <w:r w:rsidRPr="001A74DD">
              <w:rPr>
                <w:webHidden/>
              </w:rPr>
              <w:instrText xml:space="preserve"> PAGEREF _Toc155354615 \h </w:instrText>
            </w:r>
            <w:r w:rsidRPr="001A74DD">
              <w:rPr>
                <w:webHidden/>
              </w:rPr>
            </w:r>
            <w:r w:rsidRPr="001A74DD">
              <w:rPr>
                <w:webHidden/>
              </w:rPr>
              <w:fldChar w:fldCharType="separate"/>
            </w:r>
            <w:r w:rsidRPr="001A74DD">
              <w:rPr>
                <w:webHidden/>
              </w:rPr>
              <w:t>54</w:t>
            </w:r>
            <w:r w:rsidRPr="001A74DD">
              <w:rPr>
                <w:webHidden/>
              </w:rPr>
              <w:fldChar w:fldCharType="end"/>
            </w:r>
          </w:hyperlink>
        </w:p>
        <w:p w14:paraId="5B8BA368" w14:textId="4EA6B19E" w:rsidR="001A74DD" w:rsidRPr="001A74DD" w:rsidRDefault="001A74DD">
          <w:pPr>
            <w:pStyle w:val="TDC2"/>
            <w:rPr>
              <w:rFonts w:eastAsiaTheme="minorEastAsia"/>
              <w:kern w:val="2"/>
              <w14:ligatures w14:val="standardContextual"/>
            </w:rPr>
          </w:pPr>
          <w:hyperlink w:anchor="_Toc155354616" w:history="1">
            <w:r w:rsidRPr="001A74DD">
              <w:rPr>
                <w:rStyle w:val="Hipervnculo"/>
                <w:color w:val="767171"/>
              </w:rPr>
              <w:t>3.9 Atención a Ahorristas de Instituciones Financieras Intervenidas y en Liquidación</w:t>
            </w:r>
            <w:r w:rsidRPr="001A74DD">
              <w:rPr>
                <w:webHidden/>
              </w:rPr>
              <w:tab/>
            </w:r>
            <w:r w:rsidRPr="001A74DD">
              <w:rPr>
                <w:webHidden/>
              </w:rPr>
              <w:fldChar w:fldCharType="begin"/>
            </w:r>
            <w:r w:rsidRPr="001A74DD">
              <w:rPr>
                <w:webHidden/>
              </w:rPr>
              <w:instrText xml:space="preserve"> PAGEREF _Toc155354616 \h </w:instrText>
            </w:r>
            <w:r w:rsidRPr="001A74DD">
              <w:rPr>
                <w:webHidden/>
              </w:rPr>
            </w:r>
            <w:r w:rsidRPr="001A74DD">
              <w:rPr>
                <w:webHidden/>
              </w:rPr>
              <w:fldChar w:fldCharType="separate"/>
            </w:r>
            <w:r w:rsidRPr="001A74DD">
              <w:rPr>
                <w:webHidden/>
              </w:rPr>
              <w:t>60</w:t>
            </w:r>
            <w:r w:rsidRPr="001A74DD">
              <w:rPr>
                <w:webHidden/>
              </w:rPr>
              <w:fldChar w:fldCharType="end"/>
            </w:r>
          </w:hyperlink>
        </w:p>
        <w:p w14:paraId="1708BA2E" w14:textId="440718ED" w:rsidR="001A74DD" w:rsidRPr="001A74DD" w:rsidRDefault="001A74DD">
          <w:pPr>
            <w:pStyle w:val="TDC2"/>
            <w:rPr>
              <w:rFonts w:eastAsiaTheme="minorEastAsia"/>
              <w:kern w:val="2"/>
              <w14:ligatures w14:val="standardContextual"/>
            </w:rPr>
          </w:pPr>
          <w:hyperlink w:anchor="_Toc155354617" w:history="1">
            <w:r w:rsidRPr="001A74DD">
              <w:rPr>
                <w:rStyle w:val="Hipervnculo"/>
                <w:color w:val="767171"/>
              </w:rPr>
              <w:t>3.10 Estudios Económicos</w:t>
            </w:r>
            <w:r w:rsidRPr="001A74DD">
              <w:rPr>
                <w:webHidden/>
              </w:rPr>
              <w:tab/>
            </w:r>
            <w:r w:rsidRPr="001A74DD">
              <w:rPr>
                <w:webHidden/>
              </w:rPr>
              <w:fldChar w:fldCharType="begin"/>
            </w:r>
            <w:r w:rsidRPr="001A74DD">
              <w:rPr>
                <w:webHidden/>
              </w:rPr>
              <w:instrText xml:space="preserve"> PAGEREF _Toc155354617 \h </w:instrText>
            </w:r>
            <w:r w:rsidRPr="001A74DD">
              <w:rPr>
                <w:webHidden/>
              </w:rPr>
            </w:r>
            <w:r w:rsidRPr="001A74DD">
              <w:rPr>
                <w:webHidden/>
              </w:rPr>
              <w:fldChar w:fldCharType="separate"/>
            </w:r>
            <w:r w:rsidRPr="001A74DD">
              <w:rPr>
                <w:webHidden/>
              </w:rPr>
              <w:t>61</w:t>
            </w:r>
            <w:r w:rsidRPr="001A74DD">
              <w:rPr>
                <w:webHidden/>
              </w:rPr>
              <w:fldChar w:fldCharType="end"/>
            </w:r>
          </w:hyperlink>
        </w:p>
        <w:p w14:paraId="44DB31AE" w14:textId="39391A15" w:rsidR="001A74DD" w:rsidRPr="001A74DD" w:rsidRDefault="001A74DD">
          <w:pPr>
            <w:pStyle w:val="TDC1"/>
            <w:tabs>
              <w:tab w:val="right" w:leader="dot" w:pos="7910"/>
            </w:tabs>
            <w:rPr>
              <w:rFonts w:eastAsiaTheme="minorEastAsia"/>
              <w:noProof/>
              <w:spacing w:val="0"/>
              <w:kern w:val="2"/>
              <w:lang w:val="es-DO" w:eastAsia="es-DO"/>
              <w14:ligatures w14:val="standardContextual"/>
            </w:rPr>
          </w:pPr>
          <w:hyperlink w:anchor="_Toc155354618" w:history="1">
            <w:r w:rsidRPr="001A74DD">
              <w:rPr>
                <w:rStyle w:val="Hipervnculo"/>
                <w:rFonts w:eastAsia="Calibri"/>
                <w:noProof/>
                <w:color w:val="767171"/>
                <w:lang w:val="es-DO"/>
              </w:rPr>
              <w:t>IV.RESULTADOS ÁREAS TRANSVERSALES Y DE APOYO</w:t>
            </w:r>
            <w:r w:rsidRPr="001A74DD">
              <w:rPr>
                <w:noProof/>
                <w:webHidden/>
              </w:rPr>
              <w:tab/>
            </w:r>
            <w:r w:rsidRPr="001A74DD">
              <w:rPr>
                <w:noProof/>
                <w:webHidden/>
              </w:rPr>
              <w:fldChar w:fldCharType="begin"/>
            </w:r>
            <w:r w:rsidRPr="001A74DD">
              <w:rPr>
                <w:noProof/>
                <w:webHidden/>
              </w:rPr>
              <w:instrText xml:space="preserve"> PAGEREF _Toc155354618 \h </w:instrText>
            </w:r>
            <w:r w:rsidRPr="001A74DD">
              <w:rPr>
                <w:noProof/>
                <w:webHidden/>
              </w:rPr>
            </w:r>
            <w:r w:rsidRPr="001A74DD">
              <w:rPr>
                <w:noProof/>
                <w:webHidden/>
              </w:rPr>
              <w:fldChar w:fldCharType="separate"/>
            </w:r>
            <w:r w:rsidRPr="001A74DD">
              <w:rPr>
                <w:noProof/>
                <w:webHidden/>
              </w:rPr>
              <w:t>63</w:t>
            </w:r>
            <w:r w:rsidRPr="001A74DD">
              <w:rPr>
                <w:noProof/>
                <w:webHidden/>
              </w:rPr>
              <w:fldChar w:fldCharType="end"/>
            </w:r>
          </w:hyperlink>
        </w:p>
        <w:p w14:paraId="280DB82E" w14:textId="4B236206" w:rsidR="001A74DD" w:rsidRPr="001A74DD" w:rsidRDefault="001A74DD">
          <w:pPr>
            <w:pStyle w:val="TDC2"/>
            <w:rPr>
              <w:rFonts w:eastAsiaTheme="minorEastAsia"/>
              <w:kern w:val="2"/>
              <w14:ligatures w14:val="standardContextual"/>
            </w:rPr>
          </w:pPr>
          <w:hyperlink w:anchor="_Toc155354619" w:history="1">
            <w:r w:rsidRPr="001A74DD">
              <w:rPr>
                <w:rStyle w:val="Hipervnculo"/>
                <w:color w:val="767171"/>
              </w:rPr>
              <w:t>4.1 Desempeño Administrativo y Financiero</w:t>
            </w:r>
            <w:r w:rsidRPr="001A74DD">
              <w:rPr>
                <w:webHidden/>
              </w:rPr>
              <w:tab/>
            </w:r>
            <w:r w:rsidRPr="001A74DD">
              <w:rPr>
                <w:webHidden/>
              </w:rPr>
              <w:fldChar w:fldCharType="begin"/>
            </w:r>
            <w:r w:rsidRPr="001A74DD">
              <w:rPr>
                <w:webHidden/>
              </w:rPr>
              <w:instrText xml:space="preserve"> PAGEREF _Toc155354619 \h </w:instrText>
            </w:r>
            <w:r w:rsidRPr="001A74DD">
              <w:rPr>
                <w:webHidden/>
              </w:rPr>
            </w:r>
            <w:r w:rsidRPr="001A74DD">
              <w:rPr>
                <w:webHidden/>
              </w:rPr>
              <w:fldChar w:fldCharType="separate"/>
            </w:r>
            <w:r w:rsidRPr="001A74DD">
              <w:rPr>
                <w:webHidden/>
              </w:rPr>
              <w:t>63</w:t>
            </w:r>
            <w:r w:rsidRPr="001A74DD">
              <w:rPr>
                <w:webHidden/>
              </w:rPr>
              <w:fldChar w:fldCharType="end"/>
            </w:r>
          </w:hyperlink>
        </w:p>
        <w:p w14:paraId="315F79A1" w14:textId="382C66C7" w:rsidR="001A74DD" w:rsidRPr="001A74DD" w:rsidRDefault="001A74DD">
          <w:pPr>
            <w:pStyle w:val="TDC2"/>
            <w:rPr>
              <w:rFonts w:eastAsiaTheme="minorEastAsia"/>
              <w:kern w:val="2"/>
              <w14:ligatures w14:val="standardContextual"/>
            </w:rPr>
          </w:pPr>
          <w:hyperlink w:anchor="_Toc155354620" w:history="1">
            <w:r w:rsidRPr="001A74DD">
              <w:rPr>
                <w:rStyle w:val="Hipervnculo"/>
                <w:color w:val="767171"/>
              </w:rPr>
              <w:t>4.2 Desempeño de los Recursos Humanos</w:t>
            </w:r>
            <w:r w:rsidRPr="001A74DD">
              <w:rPr>
                <w:webHidden/>
              </w:rPr>
              <w:tab/>
            </w:r>
            <w:r w:rsidRPr="001A74DD">
              <w:rPr>
                <w:webHidden/>
              </w:rPr>
              <w:fldChar w:fldCharType="begin"/>
            </w:r>
            <w:r w:rsidRPr="001A74DD">
              <w:rPr>
                <w:webHidden/>
              </w:rPr>
              <w:instrText xml:space="preserve"> PAGEREF _Toc155354620 \h </w:instrText>
            </w:r>
            <w:r w:rsidRPr="001A74DD">
              <w:rPr>
                <w:webHidden/>
              </w:rPr>
            </w:r>
            <w:r w:rsidRPr="001A74DD">
              <w:rPr>
                <w:webHidden/>
              </w:rPr>
              <w:fldChar w:fldCharType="separate"/>
            </w:r>
            <w:r w:rsidRPr="001A74DD">
              <w:rPr>
                <w:webHidden/>
              </w:rPr>
              <w:t>68</w:t>
            </w:r>
            <w:r w:rsidRPr="001A74DD">
              <w:rPr>
                <w:webHidden/>
              </w:rPr>
              <w:fldChar w:fldCharType="end"/>
            </w:r>
          </w:hyperlink>
        </w:p>
        <w:p w14:paraId="36C9E2D1" w14:textId="4C1372B6" w:rsidR="001A74DD" w:rsidRPr="001A74DD" w:rsidRDefault="001A74DD">
          <w:pPr>
            <w:pStyle w:val="TDC2"/>
            <w:rPr>
              <w:rFonts w:eastAsiaTheme="minorEastAsia"/>
              <w:kern w:val="2"/>
              <w14:ligatures w14:val="standardContextual"/>
            </w:rPr>
          </w:pPr>
          <w:hyperlink w:anchor="_Toc155354621" w:history="1">
            <w:r w:rsidRPr="001A74DD">
              <w:rPr>
                <w:rStyle w:val="Hipervnculo"/>
                <w:color w:val="767171"/>
              </w:rPr>
              <w:t>4.3 Fortalecimiento de los Procesos Jurídicos</w:t>
            </w:r>
            <w:r w:rsidRPr="001A74DD">
              <w:rPr>
                <w:webHidden/>
              </w:rPr>
              <w:tab/>
            </w:r>
            <w:r w:rsidRPr="001A74DD">
              <w:rPr>
                <w:webHidden/>
              </w:rPr>
              <w:fldChar w:fldCharType="begin"/>
            </w:r>
            <w:r w:rsidRPr="001A74DD">
              <w:rPr>
                <w:webHidden/>
              </w:rPr>
              <w:instrText xml:space="preserve"> PAGEREF _Toc155354621 \h </w:instrText>
            </w:r>
            <w:r w:rsidRPr="001A74DD">
              <w:rPr>
                <w:webHidden/>
              </w:rPr>
            </w:r>
            <w:r w:rsidRPr="001A74DD">
              <w:rPr>
                <w:webHidden/>
              </w:rPr>
              <w:fldChar w:fldCharType="separate"/>
            </w:r>
            <w:r w:rsidRPr="001A74DD">
              <w:rPr>
                <w:webHidden/>
              </w:rPr>
              <w:t>73</w:t>
            </w:r>
            <w:r w:rsidRPr="001A74DD">
              <w:rPr>
                <w:webHidden/>
              </w:rPr>
              <w:fldChar w:fldCharType="end"/>
            </w:r>
          </w:hyperlink>
        </w:p>
        <w:p w14:paraId="7A0F30C8" w14:textId="1342FCDE" w:rsidR="001A74DD" w:rsidRPr="001A74DD" w:rsidRDefault="001A74DD">
          <w:pPr>
            <w:pStyle w:val="TDC2"/>
            <w:rPr>
              <w:rFonts w:eastAsiaTheme="minorEastAsia"/>
              <w:kern w:val="2"/>
              <w14:ligatures w14:val="standardContextual"/>
            </w:rPr>
          </w:pPr>
          <w:hyperlink w:anchor="_Toc155354622" w:history="1">
            <w:r w:rsidRPr="001A74DD">
              <w:rPr>
                <w:rStyle w:val="Hipervnculo"/>
                <w:color w:val="767171"/>
              </w:rPr>
              <w:t>4.4 Desempeño de la Tecnología</w:t>
            </w:r>
            <w:r w:rsidRPr="001A74DD">
              <w:rPr>
                <w:webHidden/>
              </w:rPr>
              <w:tab/>
            </w:r>
            <w:r w:rsidRPr="001A74DD">
              <w:rPr>
                <w:webHidden/>
              </w:rPr>
              <w:fldChar w:fldCharType="begin"/>
            </w:r>
            <w:r w:rsidRPr="001A74DD">
              <w:rPr>
                <w:webHidden/>
              </w:rPr>
              <w:instrText xml:space="preserve"> PAGEREF _Toc155354622 \h </w:instrText>
            </w:r>
            <w:r w:rsidRPr="001A74DD">
              <w:rPr>
                <w:webHidden/>
              </w:rPr>
            </w:r>
            <w:r w:rsidRPr="001A74DD">
              <w:rPr>
                <w:webHidden/>
              </w:rPr>
              <w:fldChar w:fldCharType="separate"/>
            </w:r>
            <w:r w:rsidRPr="001A74DD">
              <w:rPr>
                <w:webHidden/>
              </w:rPr>
              <w:t>78</w:t>
            </w:r>
            <w:r w:rsidRPr="001A74DD">
              <w:rPr>
                <w:webHidden/>
              </w:rPr>
              <w:fldChar w:fldCharType="end"/>
            </w:r>
          </w:hyperlink>
        </w:p>
        <w:p w14:paraId="33CF6616" w14:textId="655B0FBE" w:rsidR="001A74DD" w:rsidRPr="001A74DD" w:rsidRDefault="001A74DD">
          <w:pPr>
            <w:pStyle w:val="TDC2"/>
            <w:rPr>
              <w:rFonts w:eastAsiaTheme="minorEastAsia"/>
              <w:kern w:val="2"/>
              <w14:ligatures w14:val="standardContextual"/>
            </w:rPr>
          </w:pPr>
          <w:hyperlink w:anchor="_Toc155354623" w:history="1">
            <w:r w:rsidRPr="001A74DD">
              <w:rPr>
                <w:rStyle w:val="Hipervnculo"/>
                <w:color w:val="767171"/>
              </w:rPr>
              <w:t>4.5 Desempeño del Sistema de Planificación y Desarrollo Institucional</w:t>
            </w:r>
            <w:r w:rsidRPr="001A74DD">
              <w:rPr>
                <w:webHidden/>
              </w:rPr>
              <w:tab/>
            </w:r>
            <w:r w:rsidRPr="001A74DD">
              <w:rPr>
                <w:webHidden/>
              </w:rPr>
              <w:fldChar w:fldCharType="begin"/>
            </w:r>
            <w:r w:rsidRPr="001A74DD">
              <w:rPr>
                <w:webHidden/>
              </w:rPr>
              <w:instrText xml:space="preserve"> PAGEREF _Toc155354623 \h </w:instrText>
            </w:r>
            <w:r w:rsidRPr="001A74DD">
              <w:rPr>
                <w:webHidden/>
              </w:rPr>
            </w:r>
            <w:r w:rsidRPr="001A74DD">
              <w:rPr>
                <w:webHidden/>
              </w:rPr>
              <w:fldChar w:fldCharType="separate"/>
            </w:r>
            <w:r w:rsidRPr="001A74DD">
              <w:rPr>
                <w:webHidden/>
              </w:rPr>
              <w:t>79</w:t>
            </w:r>
            <w:r w:rsidRPr="001A74DD">
              <w:rPr>
                <w:webHidden/>
              </w:rPr>
              <w:fldChar w:fldCharType="end"/>
            </w:r>
          </w:hyperlink>
        </w:p>
        <w:p w14:paraId="368C3688" w14:textId="1EF392A9" w:rsidR="001A74DD" w:rsidRPr="001A74DD" w:rsidRDefault="001A74DD">
          <w:pPr>
            <w:pStyle w:val="TDC2"/>
            <w:rPr>
              <w:rFonts w:eastAsiaTheme="minorEastAsia"/>
              <w:kern w:val="2"/>
              <w14:ligatures w14:val="standardContextual"/>
            </w:rPr>
          </w:pPr>
          <w:hyperlink w:anchor="_Toc155354624" w:history="1">
            <w:r w:rsidRPr="001A74DD">
              <w:rPr>
                <w:rStyle w:val="Hipervnculo"/>
                <w:color w:val="767171"/>
              </w:rPr>
              <w:t>4.6 Desempeño en Materia Comunicacional</w:t>
            </w:r>
            <w:r w:rsidRPr="001A74DD">
              <w:rPr>
                <w:webHidden/>
              </w:rPr>
              <w:tab/>
            </w:r>
            <w:r w:rsidRPr="001A74DD">
              <w:rPr>
                <w:webHidden/>
              </w:rPr>
              <w:fldChar w:fldCharType="begin"/>
            </w:r>
            <w:r w:rsidRPr="001A74DD">
              <w:rPr>
                <w:webHidden/>
              </w:rPr>
              <w:instrText xml:space="preserve"> PAGEREF _Toc155354624 \h </w:instrText>
            </w:r>
            <w:r w:rsidRPr="001A74DD">
              <w:rPr>
                <w:webHidden/>
              </w:rPr>
            </w:r>
            <w:r w:rsidRPr="001A74DD">
              <w:rPr>
                <w:webHidden/>
              </w:rPr>
              <w:fldChar w:fldCharType="separate"/>
            </w:r>
            <w:r w:rsidRPr="001A74DD">
              <w:rPr>
                <w:webHidden/>
              </w:rPr>
              <w:t>83</w:t>
            </w:r>
            <w:r w:rsidRPr="001A74DD">
              <w:rPr>
                <w:webHidden/>
              </w:rPr>
              <w:fldChar w:fldCharType="end"/>
            </w:r>
          </w:hyperlink>
        </w:p>
        <w:p w14:paraId="3C14BF65" w14:textId="2DF7E982" w:rsidR="001A74DD" w:rsidRPr="001A74DD" w:rsidRDefault="001A74DD">
          <w:pPr>
            <w:pStyle w:val="TDC1"/>
            <w:tabs>
              <w:tab w:val="right" w:leader="dot" w:pos="7910"/>
            </w:tabs>
            <w:rPr>
              <w:rFonts w:eastAsiaTheme="minorEastAsia"/>
              <w:noProof/>
              <w:spacing w:val="0"/>
              <w:kern w:val="2"/>
              <w:lang w:val="es-DO" w:eastAsia="es-DO"/>
              <w14:ligatures w14:val="standardContextual"/>
            </w:rPr>
          </w:pPr>
          <w:hyperlink w:anchor="_Toc155354625" w:history="1">
            <w:r w:rsidRPr="001A74DD">
              <w:rPr>
                <w:rStyle w:val="Hipervnculo"/>
                <w:noProof/>
                <w:color w:val="767171"/>
              </w:rPr>
              <w:t>V. SERVICIO AL CIUDADANO Y ACCESO A LA INFORMACIÓN</w:t>
            </w:r>
            <w:r w:rsidRPr="001A74DD">
              <w:rPr>
                <w:noProof/>
                <w:webHidden/>
              </w:rPr>
              <w:tab/>
            </w:r>
            <w:r w:rsidRPr="001A74DD">
              <w:rPr>
                <w:noProof/>
                <w:webHidden/>
              </w:rPr>
              <w:fldChar w:fldCharType="begin"/>
            </w:r>
            <w:r w:rsidRPr="001A74DD">
              <w:rPr>
                <w:noProof/>
                <w:webHidden/>
              </w:rPr>
              <w:instrText xml:space="preserve"> PAGEREF _Toc155354625 \h </w:instrText>
            </w:r>
            <w:r w:rsidRPr="001A74DD">
              <w:rPr>
                <w:noProof/>
                <w:webHidden/>
              </w:rPr>
            </w:r>
            <w:r w:rsidRPr="001A74DD">
              <w:rPr>
                <w:noProof/>
                <w:webHidden/>
              </w:rPr>
              <w:fldChar w:fldCharType="separate"/>
            </w:r>
            <w:r w:rsidRPr="001A74DD">
              <w:rPr>
                <w:noProof/>
                <w:webHidden/>
              </w:rPr>
              <w:t>85</w:t>
            </w:r>
            <w:r w:rsidRPr="001A74DD">
              <w:rPr>
                <w:noProof/>
                <w:webHidden/>
              </w:rPr>
              <w:fldChar w:fldCharType="end"/>
            </w:r>
          </w:hyperlink>
        </w:p>
        <w:p w14:paraId="02FF642E" w14:textId="36C40A9C" w:rsidR="001A74DD" w:rsidRPr="001A74DD" w:rsidRDefault="001A74DD">
          <w:pPr>
            <w:pStyle w:val="TDC2"/>
            <w:tabs>
              <w:tab w:val="left" w:pos="660"/>
            </w:tabs>
            <w:rPr>
              <w:rFonts w:eastAsiaTheme="minorEastAsia"/>
              <w:kern w:val="2"/>
              <w14:ligatures w14:val="standardContextual"/>
            </w:rPr>
          </w:pPr>
          <w:hyperlink w:anchor="_Toc155354626" w:history="1">
            <w:r w:rsidRPr="001A74DD">
              <w:rPr>
                <w:rStyle w:val="Hipervnculo"/>
                <w:color w:val="767171"/>
              </w:rPr>
              <w:t>1.</w:t>
            </w:r>
            <w:r w:rsidRPr="001A74DD">
              <w:rPr>
                <w:rFonts w:eastAsiaTheme="minorEastAsia"/>
                <w:kern w:val="2"/>
                <w14:ligatures w14:val="standardContextual"/>
              </w:rPr>
              <w:tab/>
            </w:r>
            <w:r w:rsidRPr="001A74DD">
              <w:rPr>
                <w:rStyle w:val="Hipervnculo"/>
                <w:color w:val="767171"/>
              </w:rPr>
              <w:t>Nivel de cumplimiento acceso a la información</w:t>
            </w:r>
            <w:r w:rsidRPr="001A74DD">
              <w:rPr>
                <w:webHidden/>
              </w:rPr>
              <w:tab/>
            </w:r>
            <w:r w:rsidRPr="001A74DD">
              <w:rPr>
                <w:webHidden/>
              </w:rPr>
              <w:fldChar w:fldCharType="begin"/>
            </w:r>
            <w:r w:rsidRPr="001A74DD">
              <w:rPr>
                <w:webHidden/>
              </w:rPr>
              <w:instrText xml:space="preserve"> PAGEREF _Toc155354626 \h </w:instrText>
            </w:r>
            <w:r w:rsidRPr="001A74DD">
              <w:rPr>
                <w:webHidden/>
              </w:rPr>
            </w:r>
            <w:r w:rsidRPr="001A74DD">
              <w:rPr>
                <w:webHidden/>
              </w:rPr>
              <w:fldChar w:fldCharType="separate"/>
            </w:r>
            <w:r w:rsidRPr="001A74DD">
              <w:rPr>
                <w:webHidden/>
              </w:rPr>
              <w:t>85</w:t>
            </w:r>
            <w:r w:rsidRPr="001A74DD">
              <w:rPr>
                <w:webHidden/>
              </w:rPr>
              <w:fldChar w:fldCharType="end"/>
            </w:r>
          </w:hyperlink>
        </w:p>
        <w:p w14:paraId="1AB2EE10" w14:textId="0976EC43" w:rsidR="001A74DD" w:rsidRPr="001A74DD" w:rsidRDefault="001A74DD">
          <w:pPr>
            <w:pStyle w:val="TDC2"/>
            <w:tabs>
              <w:tab w:val="left" w:pos="660"/>
            </w:tabs>
            <w:rPr>
              <w:rFonts w:eastAsiaTheme="minorEastAsia"/>
              <w:kern w:val="2"/>
              <w14:ligatures w14:val="standardContextual"/>
            </w:rPr>
          </w:pPr>
          <w:hyperlink w:anchor="_Toc155354627" w:history="1">
            <w:r w:rsidRPr="001A74DD">
              <w:rPr>
                <w:rStyle w:val="Hipervnculo"/>
                <w:rFonts w:eastAsiaTheme="minorHAnsi"/>
                <w:color w:val="767171"/>
              </w:rPr>
              <w:t>2.</w:t>
            </w:r>
            <w:r w:rsidRPr="001A74DD">
              <w:rPr>
                <w:rFonts w:eastAsiaTheme="minorEastAsia"/>
                <w:kern w:val="2"/>
                <w14:ligatures w14:val="standardContextual"/>
              </w:rPr>
              <w:tab/>
            </w:r>
            <w:r w:rsidRPr="001A74DD">
              <w:rPr>
                <w:rStyle w:val="Hipervnculo"/>
                <w:rFonts w:eastAsiaTheme="minorHAnsi"/>
                <w:color w:val="767171"/>
              </w:rPr>
              <w:t>Resultados sistema de quejas, reclamos y sugerencias</w:t>
            </w:r>
            <w:r w:rsidRPr="001A74DD">
              <w:rPr>
                <w:webHidden/>
              </w:rPr>
              <w:tab/>
            </w:r>
            <w:r w:rsidRPr="001A74DD">
              <w:rPr>
                <w:webHidden/>
              </w:rPr>
              <w:fldChar w:fldCharType="begin"/>
            </w:r>
            <w:r w:rsidRPr="001A74DD">
              <w:rPr>
                <w:webHidden/>
              </w:rPr>
              <w:instrText xml:space="preserve"> PAGEREF _Toc155354627 \h </w:instrText>
            </w:r>
            <w:r w:rsidRPr="001A74DD">
              <w:rPr>
                <w:webHidden/>
              </w:rPr>
            </w:r>
            <w:r w:rsidRPr="001A74DD">
              <w:rPr>
                <w:webHidden/>
              </w:rPr>
              <w:fldChar w:fldCharType="separate"/>
            </w:r>
            <w:r w:rsidRPr="001A74DD">
              <w:rPr>
                <w:webHidden/>
              </w:rPr>
              <w:t>85</w:t>
            </w:r>
            <w:r w:rsidRPr="001A74DD">
              <w:rPr>
                <w:webHidden/>
              </w:rPr>
              <w:fldChar w:fldCharType="end"/>
            </w:r>
          </w:hyperlink>
        </w:p>
        <w:p w14:paraId="5D639BE1" w14:textId="244873DF" w:rsidR="001A74DD" w:rsidRPr="001A74DD" w:rsidRDefault="001A74DD">
          <w:pPr>
            <w:pStyle w:val="TDC2"/>
            <w:tabs>
              <w:tab w:val="left" w:pos="660"/>
            </w:tabs>
            <w:rPr>
              <w:rFonts w:eastAsiaTheme="minorEastAsia"/>
              <w:kern w:val="2"/>
              <w14:ligatures w14:val="standardContextual"/>
            </w:rPr>
          </w:pPr>
          <w:hyperlink w:anchor="_Toc155354628" w:history="1">
            <w:r w:rsidRPr="001A74DD">
              <w:rPr>
                <w:rStyle w:val="Hipervnculo"/>
                <w:rFonts w:eastAsiaTheme="minorHAnsi"/>
                <w:color w:val="767171"/>
              </w:rPr>
              <w:t>3.</w:t>
            </w:r>
            <w:r w:rsidRPr="001A74DD">
              <w:rPr>
                <w:rFonts w:eastAsiaTheme="minorEastAsia"/>
                <w:kern w:val="2"/>
                <w14:ligatures w14:val="standardContextual"/>
              </w:rPr>
              <w:tab/>
            </w:r>
            <w:r w:rsidRPr="001A74DD">
              <w:rPr>
                <w:rStyle w:val="Hipervnculo"/>
                <w:rFonts w:eastAsiaTheme="minorHAnsi"/>
                <w:color w:val="767171"/>
              </w:rPr>
              <w:t>Resultados de las mediciones del portal de transparencia</w:t>
            </w:r>
            <w:r w:rsidRPr="001A74DD">
              <w:rPr>
                <w:webHidden/>
              </w:rPr>
              <w:tab/>
            </w:r>
            <w:r w:rsidRPr="001A74DD">
              <w:rPr>
                <w:webHidden/>
              </w:rPr>
              <w:fldChar w:fldCharType="begin"/>
            </w:r>
            <w:r w:rsidRPr="001A74DD">
              <w:rPr>
                <w:webHidden/>
              </w:rPr>
              <w:instrText xml:space="preserve"> PAGEREF _Toc155354628 \h </w:instrText>
            </w:r>
            <w:r w:rsidRPr="001A74DD">
              <w:rPr>
                <w:webHidden/>
              </w:rPr>
            </w:r>
            <w:r w:rsidRPr="001A74DD">
              <w:rPr>
                <w:webHidden/>
              </w:rPr>
              <w:fldChar w:fldCharType="separate"/>
            </w:r>
            <w:r w:rsidRPr="001A74DD">
              <w:rPr>
                <w:webHidden/>
              </w:rPr>
              <w:t>85</w:t>
            </w:r>
            <w:r w:rsidRPr="001A74DD">
              <w:rPr>
                <w:webHidden/>
              </w:rPr>
              <w:fldChar w:fldCharType="end"/>
            </w:r>
          </w:hyperlink>
        </w:p>
        <w:p w14:paraId="515FDCD5" w14:textId="1CE0DE45" w:rsidR="001A74DD" w:rsidRPr="001A74DD" w:rsidRDefault="001A74DD">
          <w:pPr>
            <w:pStyle w:val="TDC1"/>
            <w:tabs>
              <w:tab w:val="right" w:leader="dot" w:pos="7910"/>
            </w:tabs>
            <w:rPr>
              <w:rFonts w:eastAsiaTheme="minorEastAsia"/>
              <w:noProof/>
              <w:spacing w:val="0"/>
              <w:kern w:val="2"/>
              <w:lang w:val="es-DO" w:eastAsia="es-DO"/>
              <w14:ligatures w14:val="standardContextual"/>
            </w:rPr>
          </w:pPr>
          <w:hyperlink w:anchor="_Toc155354629" w:history="1">
            <w:r w:rsidRPr="001A74DD">
              <w:rPr>
                <w:rStyle w:val="Hipervnculo"/>
                <w:noProof/>
                <w:color w:val="767171"/>
              </w:rPr>
              <w:t>VI. PROYECCIONES AL PRÓXIMO AÑO</w:t>
            </w:r>
            <w:r w:rsidRPr="001A74DD">
              <w:rPr>
                <w:noProof/>
                <w:webHidden/>
              </w:rPr>
              <w:tab/>
            </w:r>
            <w:r w:rsidRPr="001A74DD">
              <w:rPr>
                <w:noProof/>
                <w:webHidden/>
              </w:rPr>
              <w:fldChar w:fldCharType="begin"/>
            </w:r>
            <w:r w:rsidRPr="001A74DD">
              <w:rPr>
                <w:noProof/>
                <w:webHidden/>
              </w:rPr>
              <w:instrText xml:space="preserve"> PAGEREF _Toc155354629 \h </w:instrText>
            </w:r>
            <w:r w:rsidRPr="001A74DD">
              <w:rPr>
                <w:noProof/>
                <w:webHidden/>
              </w:rPr>
            </w:r>
            <w:r w:rsidRPr="001A74DD">
              <w:rPr>
                <w:noProof/>
                <w:webHidden/>
              </w:rPr>
              <w:fldChar w:fldCharType="separate"/>
            </w:r>
            <w:r w:rsidRPr="001A74DD">
              <w:rPr>
                <w:noProof/>
                <w:webHidden/>
              </w:rPr>
              <w:t>86</w:t>
            </w:r>
            <w:r w:rsidRPr="001A74DD">
              <w:rPr>
                <w:noProof/>
                <w:webHidden/>
              </w:rPr>
              <w:fldChar w:fldCharType="end"/>
            </w:r>
          </w:hyperlink>
        </w:p>
        <w:p w14:paraId="65A7A5E7" w14:textId="33AC70EC" w:rsidR="001A74DD" w:rsidRDefault="001A74DD">
          <w:pPr>
            <w:pStyle w:val="TDC1"/>
            <w:tabs>
              <w:tab w:val="right" w:leader="dot" w:pos="7910"/>
            </w:tabs>
            <w:rPr>
              <w:rFonts w:asciiTheme="minorHAnsi" w:eastAsiaTheme="minorEastAsia" w:hAnsiTheme="minorHAnsi" w:cstheme="minorBidi"/>
              <w:noProof/>
              <w:color w:val="auto"/>
              <w:spacing w:val="0"/>
              <w:kern w:val="2"/>
              <w:sz w:val="22"/>
              <w:szCs w:val="22"/>
              <w:lang w:val="es-DO" w:eastAsia="es-DO"/>
              <w14:ligatures w14:val="standardContextual"/>
            </w:rPr>
          </w:pPr>
          <w:hyperlink w:anchor="_Toc155354630" w:history="1">
            <w:r w:rsidRPr="001A74DD">
              <w:rPr>
                <w:rStyle w:val="Hipervnculo"/>
                <w:rFonts w:eastAsia="Calibri"/>
                <w:noProof/>
                <w:color w:val="767171"/>
                <w:lang w:val="es-DO"/>
              </w:rPr>
              <w:t>VII. ANEXOS</w:t>
            </w:r>
            <w:r w:rsidRPr="001A74DD">
              <w:rPr>
                <w:noProof/>
                <w:webHidden/>
              </w:rPr>
              <w:tab/>
            </w:r>
            <w:r w:rsidRPr="001A74DD">
              <w:rPr>
                <w:noProof/>
                <w:webHidden/>
              </w:rPr>
              <w:fldChar w:fldCharType="begin"/>
            </w:r>
            <w:r w:rsidRPr="001A74DD">
              <w:rPr>
                <w:noProof/>
                <w:webHidden/>
              </w:rPr>
              <w:instrText xml:space="preserve"> PAGEREF _Toc155354630 \h </w:instrText>
            </w:r>
            <w:r w:rsidRPr="001A74DD">
              <w:rPr>
                <w:noProof/>
                <w:webHidden/>
              </w:rPr>
            </w:r>
            <w:r w:rsidRPr="001A74DD">
              <w:rPr>
                <w:noProof/>
                <w:webHidden/>
              </w:rPr>
              <w:fldChar w:fldCharType="separate"/>
            </w:r>
            <w:r w:rsidRPr="001A74DD">
              <w:rPr>
                <w:noProof/>
                <w:webHidden/>
              </w:rPr>
              <w:t>88</w:t>
            </w:r>
            <w:r w:rsidRPr="001A74DD">
              <w:rPr>
                <w:noProof/>
                <w:webHidden/>
              </w:rPr>
              <w:fldChar w:fldCharType="end"/>
            </w:r>
          </w:hyperlink>
        </w:p>
        <w:p w14:paraId="573DD07B" w14:textId="6B94768B" w:rsidR="001240D0" w:rsidRPr="00C865B6" w:rsidRDefault="00A630BC" w:rsidP="006B204A">
          <w:r w:rsidRPr="005D5C92">
            <w:fldChar w:fldCharType="end"/>
          </w:r>
        </w:p>
      </w:sdtContent>
    </w:sdt>
    <w:p w14:paraId="1DBDA006" w14:textId="4D806799" w:rsidR="001240D0" w:rsidRPr="00C865B6" w:rsidRDefault="001240D0" w:rsidP="006B204A">
      <w:pPr>
        <w:rPr>
          <w:lang w:val="es-DO"/>
        </w:rPr>
        <w:sectPr w:rsidR="001240D0" w:rsidRPr="00C865B6" w:rsidSect="00DA6C2F">
          <w:headerReference w:type="default" r:id="rId15"/>
          <w:footerReference w:type="first" r:id="rId16"/>
          <w:pgSz w:w="12240" w:h="15840"/>
          <w:pgMar w:top="1701" w:right="2160" w:bottom="1701" w:left="2160" w:header="720" w:footer="720" w:gutter="0"/>
          <w:cols w:space="720"/>
          <w:docGrid w:linePitch="360"/>
        </w:sectPr>
      </w:pPr>
    </w:p>
    <w:p w14:paraId="649D29AD" w14:textId="1A65CC96" w:rsidR="001240D0" w:rsidRPr="00C865B6" w:rsidRDefault="001240D0" w:rsidP="006B204A">
      <w:pPr>
        <w:pStyle w:val="Ttulo1"/>
        <w:numPr>
          <w:ilvl w:val="0"/>
          <w:numId w:val="1"/>
        </w:numPr>
        <w:jc w:val="left"/>
        <w:rPr>
          <w:rStyle w:val="EstiloTItulosMemoriasCar"/>
          <w:rFonts w:eastAsia="Calibri" w:cs="Times New Roman"/>
        </w:rPr>
      </w:pPr>
      <w:bookmarkStart w:id="2" w:name="_Hlk86403204"/>
      <w:bookmarkStart w:id="3" w:name="_Toc155354596"/>
      <w:r w:rsidRPr="00C865B6">
        <w:rPr>
          <w:rStyle w:val="EstiloTItulosMemoriasCar"/>
          <w:rFonts w:eastAsia="Calibri" w:cs="Times New Roman"/>
        </w:rPr>
        <w:lastRenderedPageBreak/>
        <w:t>RESUMEN EJECUTIVO</w:t>
      </w:r>
      <w:bookmarkEnd w:id="3"/>
    </w:p>
    <w:p w14:paraId="15B8E2BC" w14:textId="5DFF8325" w:rsidR="00AA7013" w:rsidRDefault="00125D46" w:rsidP="006B204A">
      <w:pPr>
        <w:jc w:val="both"/>
        <w:rPr>
          <w:rFonts w:eastAsia="Calibri"/>
          <w:sz w:val="18"/>
          <w:lang w:val="es-DO"/>
        </w:rPr>
      </w:pPr>
      <w:r w:rsidRPr="00C865B6">
        <w:rPr>
          <w:rFonts w:eastAsia="Calibri"/>
          <w:noProof/>
          <w:sz w:val="18"/>
        </w:rPr>
        <mc:AlternateContent>
          <mc:Choice Requires="wps">
            <w:drawing>
              <wp:anchor distT="0" distB="0" distL="114300" distR="114300" simplePos="0" relativeHeight="251658240" behindDoc="0" locked="0" layoutInCell="1" allowOverlap="1" wp14:anchorId="5383067F" wp14:editId="2476AB7B">
                <wp:simplePos x="0" y="0"/>
                <wp:positionH relativeFrom="margin">
                  <wp:align>center</wp:align>
                </wp:positionH>
                <wp:positionV relativeFrom="paragraph">
                  <wp:posOffset>100625</wp:posOffset>
                </wp:positionV>
                <wp:extent cx="463550" cy="0"/>
                <wp:effectExtent l="0" t="19050" r="31750" b="19050"/>
                <wp:wrapNone/>
                <wp:docPr id="21" name="Conector recto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34AC1D04" id="Conector recto 21" o:spid="_x0000_s1026" style="position:absolute;z-index:25165824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7.9pt" to="36.5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" strokecolor="#ee2a24" strokeweight="2.25pt">
                <v:stroke joinstyle="miter"/>
                <w10:wrap anchorx="margin"/>
              </v:line>
            </w:pict>
          </mc:Fallback>
        </mc:AlternateContent>
      </w:r>
    </w:p>
    <w:p w14:paraId="5AD9BF29" w14:textId="77777777" w:rsidR="001104A9" w:rsidRPr="001104A9" w:rsidRDefault="001104A9" w:rsidP="006B204A">
      <w:pPr>
        <w:jc w:val="both"/>
        <w:rPr>
          <w:rFonts w:eastAsia="Calibri"/>
          <w:sz w:val="18"/>
          <w:lang w:val="es-DO"/>
        </w:rPr>
      </w:pPr>
    </w:p>
    <w:p w14:paraId="258CAD57" w14:textId="2027ADCF" w:rsidR="00292E97" w:rsidRPr="00292E97" w:rsidRDefault="00292E97" w:rsidP="006B204A">
      <w:pPr>
        <w:spacing w:line="360" w:lineRule="auto"/>
        <w:jc w:val="both"/>
        <w:rPr>
          <w:rFonts w:eastAsia="Calibri"/>
          <w:lang w:val="es-DO"/>
        </w:rPr>
      </w:pPr>
      <w:r w:rsidRPr="00292E97">
        <w:rPr>
          <w:rFonts w:eastAsia="Calibri"/>
          <w:lang w:val="es-DO"/>
        </w:rPr>
        <w:t>La Superintendencia de Bancos (SB), ente supervisor del Sistema Financiero y Cambiario, en atención a dar cumplimiento a lo dispuesto por el literal B del artículo 20 de la Ley Monetaria y Financiera No. 183-02, tiene a bien presentar su memoria de rendición de cuentas correspondiente al año 2023. En esta, se exponen los principales logros desarrollados por la institución, en consonancia con la referida ley, el Plan Estratégico Institucional 2021-2024, la Ley No. 01-12 de Estrategia Nacional de Desarrollo (END 2030), y demás metas y compromisos nacionales e internacionales asumidos.</w:t>
      </w:r>
    </w:p>
    <w:p w14:paraId="3278D4B6" w14:textId="085E0ECB" w:rsidR="00292E97" w:rsidRPr="00292E97" w:rsidRDefault="00292E97" w:rsidP="006B204A">
      <w:pPr>
        <w:spacing w:line="360" w:lineRule="auto"/>
        <w:jc w:val="both"/>
        <w:rPr>
          <w:rFonts w:eastAsia="Calibri"/>
          <w:lang w:val="es-DO"/>
        </w:rPr>
      </w:pPr>
      <w:r w:rsidRPr="00292E97">
        <w:rPr>
          <w:rFonts w:eastAsia="Calibri"/>
          <w:lang w:val="es-DO"/>
        </w:rPr>
        <w:t>Durante el 2023, el sector bancario de la República Dominicana mantuvo indicadores de desempeño saludables y presento niveles de rentabilidad, solvencia y liquidez adecuadas para responder oportunamente a los cambios en las condiciones de mercado y la situación económica.</w:t>
      </w:r>
    </w:p>
    <w:p w14:paraId="6E48851B" w14:textId="1B6A30FE" w:rsidR="00292E97" w:rsidRPr="00292E97" w:rsidRDefault="00292E97" w:rsidP="006B204A">
      <w:pPr>
        <w:spacing w:line="360" w:lineRule="auto"/>
        <w:jc w:val="both"/>
        <w:rPr>
          <w:rFonts w:eastAsia="Calibri"/>
          <w:lang w:val="es-DO"/>
        </w:rPr>
      </w:pPr>
      <w:r w:rsidRPr="00292E97">
        <w:rPr>
          <w:rFonts w:eastAsia="Calibri"/>
          <w:lang w:val="es-DO"/>
        </w:rPr>
        <w:t>Con el objetivo de preservar el adecuado funcionamiento de las entidades de intermediación financieras y cambiarias, en el período comprendido entre enero y diciembre de 2023, la Superintendencia de Bancos de la República Dominicana realizó sesenta y ocho (68) inspecciones in-situ y extra-situ, de las cuales veintiuno (21) fueron realizadas en Bancos de Servicios Múltiples, nueve (9) en Asociaciones de Ahorros y Préstamos, catorce (14) en Bancos de Ahorro y Crédito, cuatro (4) en Corporaciones de Crédito, dos (2) en Entidades Estatales y dieciocho (18) en Entidades Cambiarias y Remesadoras.</w:t>
      </w:r>
    </w:p>
    <w:p w14:paraId="320E7A83" w14:textId="275B737D" w:rsidR="00292E97" w:rsidRPr="00292E97" w:rsidRDefault="00292E97" w:rsidP="006B204A">
      <w:pPr>
        <w:spacing w:line="360" w:lineRule="auto"/>
        <w:jc w:val="both"/>
        <w:rPr>
          <w:rFonts w:eastAsia="Calibri"/>
          <w:lang w:val="es-DO"/>
        </w:rPr>
      </w:pPr>
      <w:r w:rsidRPr="00292E97">
        <w:rPr>
          <w:rFonts w:eastAsia="Calibri"/>
          <w:lang w:val="es-DO"/>
        </w:rPr>
        <w:lastRenderedPageBreak/>
        <w:t>En términos de normativa, se han implementado las circulares emitidas para medidas contra la intermediación financiera y cambiaria no autorizada, y actividades financieras fraudulentas (Circular SB: No. 016/22); para promover mayor transparencia y protección a los usuarios de servicios del sector, estableciendo lineamientos con respecto al tratamiento de los datos biométricos de los usuarios (Circular SB: Núm. 017/22); y para estandarizar el registro de las reclamaciones realizadas por los clientes (Circular SB: Núm. 002/23). Igualmente, fue implementada la normativa para mejorar la calidad de las auditorías externas en las Entidades de Intermediación Financiera, con el objeto de fomentar el cumplimiento de los estándares internacionales, contribuyendo a una mayor transparencia y la eficacia de la supervisión con el instructivo para la Revisión de la Calidad de las Auditorías Externas (Circular SB: Núm. 014/22)</w:t>
      </w:r>
      <w:r w:rsidR="000D2A1B">
        <w:rPr>
          <w:rFonts w:eastAsia="Calibri"/>
          <w:lang w:val="es-DO"/>
        </w:rPr>
        <w:t xml:space="preserve"> y f</w:t>
      </w:r>
      <w:r w:rsidRPr="00292E97">
        <w:rPr>
          <w:rFonts w:eastAsia="Calibri"/>
          <w:lang w:val="es-DO"/>
        </w:rPr>
        <w:t>ue actualizado el Instructivo para la Elaboración y Preparación de los Planes Estratégicos (Circular SB: No. 020/22).</w:t>
      </w:r>
    </w:p>
    <w:p w14:paraId="4BCF844E" w14:textId="7A6A538E" w:rsidR="00292E97" w:rsidRPr="00292E97" w:rsidRDefault="00292E97" w:rsidP="006B204A">
      <w:pPr>
        <w:spacing w:line="360" w:lineRule="auto"/>
        <w:jc w:val="both"/>
        <w:rPr>
          <w:rFonts w:eastAsia="Calibri"/>
          <w:lang w:val="es-DO"/>
        </w:rPr>
      </w:pPr>
      <w:r w:rsidRPr="00292E97">
        <w:rPr>
          <w:rFonts w:eastAsia="Calibri"/>
          <w:lang w:val="es-DO"/>
        </w:rPr>
        <w:t xml:space="preserve">Así mismo, como parte de las acciones realizadas por la institución en consonancia con el eje estratégico que promueve la Estabilidad Financiera y Macro-Prudencial y la implementación del Marco de Supervisión Basado en Riesgos, la Superintendencia de Bancos recibió la asistencia técnica del Toronto Centre (TC) con el fin de robustecer el Marco y las prácticas de supervisión. Entre las actividades concluidas con dicho organismo se destacan: Desarrollo de estrategia de capacitación para </w:t>
      </w:r>
      <w:r w:rsidR="000D2A1B">
        <w:rPr>
          <w:rFonts w:eastAsia="Calibri"/>
          <w:lang w:val="es-DO"/>
        </w:rPr>
        <w:t>fortalecer</w:t>
      </w:r>
      <w:r w:rsidRPr="00292E97">
        <w:rPr>
          <w:rFonts w:eastAsia="Calibri"/>
          <w:lang w:val="es-DO"/>
        </w:rPr>
        <w:t xml:space="preserve"> el conocimiento sobre Supervisión Basada en Riesgos en los supervisores; </w:t>
      </w:r>
      <w:r w:rsidR="000D2A1B">
        <w:rPr>
          <w:rFonts w:eastAsia="Calibri"/>
          <w:lang w:val="es-DO"/>
        </w:rPr>
        <w:t>r</w:t>
      </w:r>
      <w:r w:rsidRPr="00292E97">
        <w:rPr>
          <w:rFonts w:eastAsia="Calibri"/>
          <w:lang w:val="es-DO"/>
        </w:rPr>
        <w:t xml:space="preserve">evisión de los criterios de evaluación y guías de las funciones de control de gestión de riesgos (FCGR); </w:t>
      </w:r>
      <w:r w:rsidR="000D2A1B">
        <w:rPr>
          <w:rFonts w:eastAsia="Calibri"/>
          <w:lang w:val="es-DO"/>
        </w:rPr>
        <w:t>r</w:t>
      </w:r>
      <w:r w:rsidRPr="00292E97">
        <w:rPr>
          <w:rFonts w:eastAsia="Calibri"/>
          <w:lang w:val="es-DO"/>
        </w:rPr>
        <w:t xml:space="preserve">evisión de los criterios de evaluación de la calificación de riesgo neto global y riesgo compuesto; </w:t>
      </w:r>
      <w:r w:rsidR="000D2A1B">
        <w:rPr>
          <w:rFonts w:eastAsia="Calibri"/>
          <w:lang w:val="es-DO"/>
        </w:rPr>
        <w:t>e</w:t>
      </w:r>
      <w:r w:rsidRPr="00292E97">
        <w:rPr>
          <w:rFonts w:eastAsia="Calibri"/>
          <w:lang w:val="es-DO"/>
        </w:rPr>
        <w:t>laboración de un modelo de actividades de supervisión; entre otras.</w:t>
      </w:r>
    </w:p>
    <w:p w14:paraId="4E2CD266" w14:textId="5C1463EC" w:rsidR="00292E97" w:rsidRPr="00292E97" w:rsidRDefault="00292E97" w:rsidP="006B204A">
      <w:pPr>
        <w:spacing w:line="360" w:lineRule="auto"/>
        <w:jc w:val="both"/>
        <w:rPr>
          <w:rFonts w:eastAsia="Calibri"/>
          <w:lang w:val="es-DO"/>
        </w:rPr>
      </w:pPr>
      <w:r w:rsidRPr="00292E97">
        <w:rPr>
          <w:rFonts w:eastAsia="Calibri"/>
          <w:lang w:val="es-DO"/>
        </w:rPr>
        <w:lastRenderedPageBreak/>
        <w:t>En otro orden, fueron desarrolladas 12 actividades de capacitación sobre el uso adecuado de las herramientas de remisión de reportes regulatorios donde se han beneficiado más de 500 colaboradores de las entidades de intermediación financiera y cambiaria, sobre temas asociados a riesgos, conforme el Manual de Requerimientos de Información de la Administración Monetaria y Financiera (MRI AMF), recalcando la importancia sobre la calidad de los datos.</w:t>
      </w:r>
    </w:p>
    <w:p w14:paraId="47975FE6" w14:textId="154A3FF6" w:rsidR="00292E97" w:rsidRPr="00292E97" w:rsidRDefault="00292E97" w:rsidP="006B204A">
      <w:pPr>
        <w:spacing w:line="360" w:lineRule="auto"/>
        <w:jc w:val="both"/>
        <w:rPr>
          <w:rFonts w:eastAsia="Calibri"/>
          <w:lang w:val="es-DO"/>
        </w:rPr>
      </w:pPr>
      <w:r w:rsidRPr="00292E97">
        <w:rPr>
          <w:rFonts w:eastAsia="Calibri"/>
          <w:lang w:val="es-DO"/>
        </w:rPr>
        <w:t>Así mismo, se llevó a cabo la publicación del “Instructivo sobre el Proceso de Evaluación de Adecuación del Capital Interno (ICAAP)” cuyo objetivo es brindar a las entidades los principios, lineamientos básicos y componentes fundamentales, para el proceso de evaluación interna del capital, así como establecer el formato para la remisión del Informe de Autoevaluación de Capital (IAC).</w:t>
      </w:r>
    </w:p>
    <w:p w14:paraId="586EC273" w14:textId="5C847112" w:rsidR="00292E97" w:rsidRPr="00292E97" w:rsidRDefault="00292E97" w:rsidP="006B204A">
      <w:pPr>
        <w:spacing w:line="360" w:lineRule="auto"/>
        <w:jc w:val="both"/>
        <w:rPr>
          <w:rFonts w:eastAsia="Calibri"/>
          <w:lang w:val="es-DO"/>
        </w:rPr>
      </w:pPr>
      <w:r w:rsidRPr="00292E97">
        <w:rPr>
          <w:rFonts w:eastAsia="Calibri"/>
          <w:lang w:val="es-DO"/>
        </w:rPr>
        <w:t>La Superintendencia de Bancos (SB), como autoridad competente en las funciones de prevención y sanción de delitos financieros en los ámbitos de su jurisdicción, se encargó de ejecutar supervisiones in situ y extra situ con enfoque basado en riesgo (EBR), a fin de dar cumplimiento a la Ley 155-17 contra el Lavado de Activos y el Financiamiento del Terrorismo y sus normas complementarias. Al respecto, durante el período 2023, se realizaron dieciséis (16) inspecciones a sujetos obligados. Dichas inspecciones se enfocaron en la evaluación de la gestión de riesgos realizadas por las entidades para la prevención de lavado de activos, financiamiento del terrorismo y de la proliferación de armas de destrucción masiva (PLAFTPADM).</w:t>
      </w:r>
    </w:p>
    <w:p w14:paraId="607CD9C1" w14:textId="5FF29BED" w:rsidR="00292E97" w:rsidRPr="00292E97" w:rsidRDefault="00292E97" w:rsidP="006B204A">
      <w:pPr>
        <w:spacing w:line="360" w:lineRule="auto"/>
        <w:jc w:val="both"/>
        <w:rPr>
          <w:rFonts w:eastAsia="Calibri"/>
          <w:lang w:val="es-DO"/>
        </w:rPr>
      </w:pPr>
      <w:r w:rsidRPr="00292E97">
        <w:rPr>
          <w:rFonts w:eastAsia="Calibri"/>
          <w:lang w:val="es-DO"/>
        </w:rPr>
        <w:t xml:space="preserve">En cuanto a los registros y autorizaciones que se realizan, se han emitido un total de 300 respuestas a solicitudes de opiniones técnicas realizadas por los sujetos obligados relacionadas a cumplimiento regulatorio. Dicho monto, representa un aumento de productividad de </w:t>
      </w:r>
      <w:r w:rsidRPr="00292E97">
        <w:rPr>
          <w:rFonts w:eastAsia="Calibri"/>
          <w:lang w:val="es-DO"/>
        </w:rPr>
        <w:lastRenderedPageBreak/>
        <w:t>más del 63% con relación al año 2022. Asimismo, fueron atendidas 225 consultas vinculantes sometidas por las entidades reguladas y supervisadas, representando un aumento de productividad de más de 400% con relación al año 2022.</w:t>
      </w:r>
    </w:p>
    <w:p w14:paraId="06665FCF" w14:textId="7954AB83" w:rsidR="00292E97" w:rsidRPr="00292E97" w:rsidRDefault="00292E97" w:rsidP="006B204A">
      <w:pPr>
        <w:spacing w:line="360" w:lineRule="auto"/>
        <w:jc w:val="both"/>
        <w:rPr>
          <w:rFonts w:eastAsia="Calibri"/>
          <w:lang w:val="es-DO"/>
        </w:rPr>
      </w:pPr>
      <w:r w:rsidRPr="00292E97">
        <w:rPr>
          <w:rFonts w:eastAsia="Calibri"/>
          <w:lang w:val="es-DO"/>
        </w:rPr>
        <w:t>Fue puesta en marcha el “Módulo de Solicitud Financiera” a través de la “SB Interactivo”, el cual, junto a la utilización de las firmas electrónicas, permiten un intercambio más ágil y seguro de las informaciones solicitadas por organismos competentes en materia de LAFTPADM. Durante el año 2023 las solicitudes recibidas superaron las tres mil (3,000), de las cuales dos mil novecientos ocho (2,908) corresponden a solicitudes de información financiera, certificaciones de transacciones, cheques y/o documentos; setenta y cinco (75) a congelamientos o inmovilización de cuentas, y cincuenta y siete (57) a descongelamientos. Esto representa un incremento aproximado del 40% respecto del año 2022.</w:t>
      </w:r>
    </w:p>
    <w:p w14:paraId="750414B0" w14:textId="4044A751" w:rsidR="00292E97" w:rsidRPr="00292E97" w:rsidRDefault="00292E97" w:rsidP="006B204A">
      <w:pPr>
        <w:spacing w:line="360" w:lineRule="auto"/>
        <w:jc w:val="both"/>
        <w:rPr>
          <w:rFonts w:eastAsia="Calibri"/>
          <w:lang w:val="es-DO"/>
        </w:rPr>
      </w:pPr>
      <w:r w:rsidRPr="00292E97">
        <w:rPr>
          <w:rFonts w:eastAsia="Calibri"/>
          <w:lang w:val="es-DO"/>
        </w:rPr>
        <w:t>En el año 2023, la Superintendencia de Bancos realizo profundas transformaciones institucionales en lo que respecta al procedimiento administrativo sancionador con el objetivo principal de establecer el respeto al debido proceso administrativo y a las garantías fundamentales que protegen a los administrados. Es por ello por lo que se procesaron 118 incumplimientos detectados, así también, se realizó la elaboración de pliegos y tramitación de 71 procedimientos sancionadores y la aplicación de sanciones por un monto de RD$ 34.26 millones.</w:t>
      </w:r>
    </w:p>
    <w:p w14:paraId="1BEEB4FD" w14:textId="46607C84" w:rsidR="00292E97" w:rsidRPr="00292E97" w:rsidRDefault="00292E97" w:rsidP="006B204A">
      <w:pPr>
        <w:spacing w:line="360" w:lineRule="auto"/>
        <w:jc w:val="both"/>
        <w:rPr>
          <w:rFonts w:eastAsia="Calibri"/>
          <w:lang w:val="es-DO"/>
        </w:rPr>
      </w:pPr>
      <w:r w:rsidRPr="00292E97">
        <w:rPr>
          <w:rFonts w:eastAsia="Calibri"/>
          <w:lang w:val="es-DO"/>
        </w:rPr>
        <w:t xml:space="preserve">La Superintendencia de Bancos a través de ProUsuario, han registrado ciento sesenta y cinco mil ciento treinta y ocho (165,138) contactos con usuarios, representando un incremento de un 28.25% con relación al mismo período del año 2022, 45% fueron realizados a través de los canales presenciales y alternos (oficinas, teléfono, </w:t>
      </w:r>
      <w:r w:rsidRPr="00292E97">
        <w:rPr>
          <w:rFonts w:eastAsia="Calibri"/>
          <w:lang w:val="es-DO"/>
        </w:rPr>
        <w:lastRenderedPageBreak/>
        <w:t>correo electrónico, redes sociales, APP ProUsuario, WhatsApp, atención virtual y chat) mientras que un 55% fueron realizados a través de nuestros canales de autoservicio (Sistema de IVR, ChatBot Lucía: web), representando una mejora significativa en el uso de la tecnología y mejoras en los procesos de servicios electrónicos, lo cual ha significado un promedio mensual de satisfacción de 93%. Esto, según lo indicado por las dieciocho mil doscientas ochenta (18,280) encuestas completadas por usuarios, luego de recibir nuestros servicios en los canales de atención.</w:t>
      </w:r>
    </w:p>
    <w:p w14:paraId="7632D817" w14:textId="4E61801E" w:rsidR="00292E97" w:rsidRPr="00292E97" w:rsidRDefault="00292E97" w:rsidP="006B204A">
      <w:pPr>
        <w:spacing w:line="360" w:lineRule="auto"/>
        <w:jc w:val="both"/>
        <w:rPr>
          <w:rFonts w:eastAsia="Calibri"/>
          <w:lang w:val="es-DO"/>
        </w:rPr>
      </w:pPr>
      <w:r w:rsidRPr="00292E97">
        <w:rPr>
          <w:rFonts w:eastAsia="Calibri"/>
          <w:lang w:val="es-DO"/>
        </w:rPr>
        <w:t>A su vez, se incorporaron dos funcionalidades nuevas en la aplicación ProUsuario uno de ellos es el comparativo de indicadores y el mapa bancario, el cual permite a los usuarios explorar las ubicaciones y horarios de todas las sucursales, cajeros automáticos y subagentes bancarios.</w:t>
      </w:r>
    </w:p>
    <w:p w14:paraId="5DEFFE5A" w14:textId="5FB64FD7" w:rsidR="00292E97" w:rsidRPr="00292E97" w:rsidRDefault="00292E97" w:rsidP="006B204A">
      <w:pPr>
        <w:spacing w:line="360" w:lineRule="auto"/>
        <w:jc w:val="both"/>
        <w:rPr>
          <w:rFonts w:eastAsia="Calibri"/>
          <w:lang w:val="es-DO"/>
        </w:rPr>
      </w:pPr>
      <w:r w:rsidRPr="00292E97">
        <w:rPr>
          <w:rFonts w:eastAsia="Calibri"/>
          <w:lang w:val="es-DO"/>
        </w:rPr>
        <w:t>Además, se presentó el libro “Guía Básica de Finanzas para Jóvenes”. Esta publicación digital e impresa invita al lector a tomar decisiones informadas sobre sus finanzas.</w:t>
      </w:r>
    </w:p>
    <w:p w14:paraId="4EF21F5D" w14:textId="0D7CDA8A" w:rsidR="00292E97" w:rsidRPr="00292E97" w:rsidRDefault="00292E97" w:rsidP="006B204A">
      <w:pPr>
        <w:spacing w:line="360" w:lineRule="auto"/>
        <w:jc w:val="both"/>
        <w:rPr>
          <w:rFonts w:eastAsia="Calibri"/>
          <w:lang w:val="es-DO"/>
        </w:rPr>
      </w:pPr>
      <w:r w:rsidRPr="00292E97">
        <w:rPr>
          <w:rFonts w:eastAsia="Calibri"/>
          <w:lang w:val="es-DO"/>
        </w:rPr>
        <w:t>En otro orden, la Superintendencia de Bancos, a través de su Programa de Entidades Financieras Intervenidas y en Liquidación (IFIL), al 2023, se han realizados pagos a favor de 1,668 ahorristas por un valor ascendente a Ciento cuarenta y seis millones dos mil quinientos cinco pesos (RD$146.002.505).</w:t>
      </w:r>
    </w:p>
    <w:p w14:paraId="2028CC73" w14:textId="706CCFB4" w:rsidR="000C7BBE" w:rsidRDefault="00116A35" w:rsidP="006B204A">
      <w:pPr>
        <w:spacing w:line="360" w:lineRule="auto"/>
        <w:jc w:val="both"/>
        <w:rPr>
          <w:rFonts w:eastAsia="Calibri"/>
          <w:lang w:val="es-DO"/>
        </w:rPr>
      </w:pPr>
      <w:r w:rsidRPr="00292E97">
        <w:rPr>
          <w:rFonts w:eastAsia="Calibri"/>
          <w:lang w:val="es-DO"/>
        </w:rPr>
        <w:t>Por último, pero no menos importante</w:t>
      </w:r>
      <w:r>
        <w:rPr>
          <w:rFonts w:eastAsia="Calibri"/>
          <w:lang w:val="es-DO"/>
        </w:rPr>
        <w:t xml:space="preserve">, con miras a </w:t>
      </w:r>
      <w:r w:rsidR="00292E97" w:rsidRPr="00292E97">
        <w:rPr>
          <w:rFonts w:eastAsia="Calibri"/>
          <w:lang w:val="es-DO"/>
        </w:rPr>
        <w:t xml:space="preserve">alcanzar estándares internaciones en aspectos como cumplimiento normativo, antisoborno, continuidad de negocios, gobernanza de TI, equidad de género, seguridad de la información, seguridad y salud laboral y medio ambiente. En esta última categoría se resaltar la obtención de la certificación medioambiental 3R, nivel Oro, en junio del año 2023. </w:t>
      </w:r>
    </w:p>
    <w:p w14:paraId="196436A2" w14:textId="15354075" w:rsidR="00274E67" w:rsidRPr="00274E67" w:rsidRDefault="001A74DD" w:rsidP="00274E67">
      <w:pPr>
        <w:pStyle w:val="Estilo3"/>
        <w:rPr>
          <w:rFonts w:eastAsia="Calibri"/>
          <w:b/>
          <w:szCs w:val="24"/>
        </w:rPr>
      </w:pPr>
      <w:bookmarkStart w:id="4" w:name="_Toc155354597"/>
      <w:r>
        <w:rPr>
          <w:rFonts w:eastAsia="Calibri"/>
          <w:b/>
          <w:szCs w:val="24"/>
        </w:rPr>
        <w:lastRenderedPageBreak/>
        <w:t>Principales l</w:t>
      </w:r>
      <w:r w:rsidR="00274E67" w:rsidRPr="00274E67">
        <w:rPr>
          <w:rFonts w:eastAsia="Calibri"/>
          <w:b/>
          <w:szCs w:val="24"/>
        </w:rPr>
        <w:t xml:space="preserve">ogros </w:t>
      </w:r>
      <w:r>
        <w:rPr>
          <w:rFonts w:eastAsia="Calibri"/>
          <w:b/>
          <w:szCs w:val="24"/>
        </w:rPr>
        <w:t>a</w:t>
      </w:r>
      <w:r w:rsidR="00274E67">
        <w:rPr>
          <w:rFonts w:eastAsia="Calibri"/>
          <w:b/>
          <w:szCs w:val="24"/>
        </w:rPr>
        <w:t xml:space="preserve">cumulados </w:t>
      </w:r>
      <w:r w:rsidR="00274E67" w:rsidRPr="00274E67">
        <w:rPr>
          <w:rFonts w:eastAsia="Calibri"/>
          <w:b/>
          <w:szCs w:val="24"/>
        </w:rPr>
        <w:t>de la Superintendencia de Bancos</w:t>
      </w:r>
      <w:r w:rsidR="00274E67">
        <w:rPr>
          <w:rFonts w:eastAsia="Calibri"/>
          <w:b/>
          <w:szCs w:val="24"/>
        </w:rPr>
        <w:t xml:space="preserve"> desde el periodo 2020 al </w:t>
      </w:r>
      <w:r w:rsidR="00274E67" w:rsidRPr="00274E67">
        <w:rPr>
          <w:rFonts w:eastAsia="Calibri"/>
          <w:b/>
          <w:szCs w:val="24"/>
        </w:rPr>
        <w:t>2023</w:t>
      </w:r>
      <w:bookmarkEnd w:id="4"/>
    </w:p>
    <w:p w14:paraId="3490B301" w14:textId="16BCA73F" w:rsidR="00274E67" w:rsidRDefault="00274E67" w:rsidP="00274E67">
      <w:pPr>
        <w:jc w:val="both"/>
        <w:rPr>
          <w:rFonts w:eastAsia="Calibri"/>
          <w:sz w:val="18"/>
          <w:lang w:val="es-DO"/>
        </w:rPr>
      </w:pPr>
      <w:r w:rsidRPr="00274E67">
        <w:rPr>
          <w:rFonts w:eastAsia="Calibri"/>
          <w:b/>
        </w:rPr>
        <mc:AlternateContent>
          <mc:Choice Requires="wps">
            <w:drawing>
              <wp:anchor distT="0" distB="0" distL="114300" distR="114300" simplePos="0" relativeHeight="251660311" behindDoc="0" locked="0" layoutInCell="1" allowOverlap="1" wp14:anchorId="03D5F6A5" wp14:editId="6EFE886E">
                <wp:simplePos x="0" y="0"/>
                <wp:positionH relativeFrom="margin">
                  <wp:posOffset>2266950</wp:posOffset>
                </wp:positionH>
                <wp:positionV relativeFrom="paragraph">
                  <wp:posOffset>158750</wp:posOffset>
                </wp:positionV>
                <wp:extent cx="463550" cy="0"/>
                <wp:effectExtent l="0" t="19050" r="31750" b="19050"/>
                <wp:wrapNone/>
                <wp:docPr id="228727125" name="Conector recto 22872712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1DF42E0D" id="Conector recto 228727125" o:spid="_x0000_s1026" style="position:absolute;z-index:251660311;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12.5pt" to="2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" strokecolor="#ee2a24" strokeweight="2.25pt">
                <v:stroke joinstyle="miter"/>
                <w10:wrap anchorx="margin"/>
              </v:line>
            </w:pict>
          </mc:Fallback>
        </mc:AlternateContent>
      </w:r>
    </w:p>
    <w:p w14:paraId="596BE1D4" w14:textId="77777777" w:rsidR="00274E67" w:rsidRDefault="00274E67" w:rsidP="00274E67">
      <w:pPr>
        <w:spacing w:after="0" w:line="360" w:lineRule="auto"/>
        <w:jc w:val="both"/>
        <w:rPr>
          <w:lang w:val="es-DO"/>
        </w:rPr>
      </w:pPr>
    </w:p>
    <w:p w14:paraId="2E2FF226" w14:textId="5A4D5FF6" w:rsidR="00274E67" w:rsidRPr="00DB34CC" w:rsidRDefault="00274E67" w:rsidP="00274E67">
      <w:pPr>
        <w:spacing w:line="360" w:lineRule="auto"/>
        <w:jc w:val="both"/>
        <w:rPr>
          <w:lang w:val="es-DO"/>
        </w:rPr>
      </w:pPr>
      <w:r w:rsidRPr="00DB34CC">
        <w:rPr>
          <w:lang w:val="es-DO"/>
        </w:rPr>
        <w:t xml:space="preserve">A continuación, se describe los principales logros realizados por la Superintendencia de Bancos de la República Dominicana, en miras al cumplimiento de sus objetivos estratégicos </w:t>
      </w:r>
      <w:r w:rsidR="00D17D99">
        <w:rPr>
          <w:lang w:val="es-DO"/>
        </w:rPr>
        <w:t xml:space="preserve">desde el 2020 hasta el </w:t>
      </w:r>
      <w:r w:rsidRPr="00DB34CC">
        <w:rPr>
          <w:lang w:val="es-DO"/>
        </w:rPr>
        <w:t>2023, mostrando cuales fueron los</w:t>
      </w:r>
      <w:r w:rsidR="00D17D99">
        <w:rPr>
          <w:lang w:val="es-DO"/>
        </w:rPr>
        <w:t xml:space="preserve"> principales objetivos</w:t>
      </w:r>
      <w:r w:rsidRPr="00DB34CC">
        <w:rPr>
          <w:lang w:val="es-DO"/>
        </w:rPr>
        <w:t xml:space="preserve"> </w:t>
      </w:r>
      <w:r>
        <w:rPr>
          <w:lang w:val="es-DO"/>
        </w:rPr>
        <w:t>alcanzad</w:t>
      </w:r>
      <w:r w:rsidR="00D17D99">
        <w:rPr>
          <w:lang w:val="es-DO"/>
        </w:rPr>
        <w:t>os</w:t>
      </w:r>
      <w:r w:rsidRPr="00DB34CC">
        <w:rPr>
          <w:lang w:val="es-DO"/>
        </w:rPr>
        <w:t xml:space="preserve"> sobre la base del compromiso y las acciones realizadas.</w:t>
      </w:r>
    </w:p>
    <w:p w14:paraId="3A3966ED" w14:textId="216100F8" w:rsidR="00E832EC" w:rsidRDefault="00E832EC" w:rsidP="00274E67">
      <w:pPr>
        <w:spacing w:line="360" w:lineRule="auto"/>
        <w:jc w:val="both"/>
        <w:rPr>
          <w:b/>
          <w:bCs/>
          <w:lang w:val="es-DO"/>
        </w:rPr>
      </w:pPr>
      <w:r>
        <w:rPr>
          <w:b/>
          <w:bCs/>
          <w:lang w:val="es-DO"/>
        </w:rPr>
        <w:t>F</w:t>
      </w:r>
      <w:r w:rsidRPr="00E832EC">
        <w:rPr>
          <w:b/>
          <w:bCs/>
          <w:lang w:val="es-DO"/>
        </w:rPr>
        <w:t>ortalecimiento de la oficina de PROUSUARIO</w:t>
      </w:r>
    </w:p>
    <w:p w14:paraId="26AC669C" w14:textId="579F9611" w:rsidR="00274E67" w:rsidRPr="00E832EC" w:rsidRDefault="00E832EC" w:rsidP="00E832EC">
      <w:pPr>
        <w:spacing w:line="360" w:lineRule="auto"/>
        <w:jc w:val="both"/>
        <w:rPr>
          <w:lang w:val="es-DO"/>
        </w:rPr>
      </w:pPr>
      <w:r>
        <w:rPr>
          <w:lang w:val="es-DO"/>
        </w:rPr>
        <w:t>A</w:t>
      </w:r>
      <w:r w:rsidRPr="00E832EC">
        <w:rPr>
          <w:lang w:val="es-DO"/>
        </w:rPr>
        <w:t xml:space="preserve"> partir de agosto de 2020 se instauró un intenso proceso de</w:t>
      </w:r>
      <w:r>
        <w:rPr>
          <w:lang w:val="es-DO"/>
        </w:rPr>
        <w:t xml:space="preserve"> </w:t>
      </w:r>
      <w:r w:rsidRPr="00E832EC">
        <w:rPr>
          <w:lang w:val="es-DO"/>
        </w:rPr>
        <w:t>transformación y fortalecimiento de la oficina de PROUSUARIO, principalmente</w:t>
      </w:r>
      <w:r>
        <w:rPr>
          <w:lang w:val="es-DO"/>
        </w:rPr>
        <w:t xml:space="preserve"> </w:t>
      </w:r>
      <w:r w:rsidRPr="00E832EC">
        <w:rPr>
          <w:lang w:val="es-DO"/>
        </w:rPr>
        <w:t>enfocado en aspectos como la diversificación de los canales de servicio y la capacidad de</w:t>
      </w:r>
      <w:r>
        <w:rPr>
          <w:lang w:val="es-DO"/>
        </w:rPr>
        <w:t xml:space="preserve"> </w:t>
      </w:r>
      <w:r w:rsidRPr="00E832EC">
        <w:rPr>
          <w:lang w:val="es-DO"/>
        </w:rPr>
        <w:t>atención. En noviembre de 2020, se puso a disposición de los usuarios un portal web</w:t>
      </w:r>
      <w:r>
        <w:rPr>
          <w:lang w:val="es-DO"/>
        </w:rPr>
        <w:t xml:space="preserve"> </w:t>
      </w:r>
      <w:r w:rsidRPr="00E832EC">
        <w:rPr>
          <w:lang w:val="es-DO"/>
        </w:rPr>
        <w:t>independiente para</w:t>
      </w:r>
      <w:r>
        <w:rPr>
          <w:lang w:val="es-DO"/>
        </w:rPr>
        <w:t xml:space="preserve"> </w:t>
      </w:r>
      <w:r w:rsidRPr="00E832EC">
        <w:rPr>
          <w:lang w:val="es-DO"/>
        </w:rPr>
        <w:t>PROUSUARIO mediante las cual los usuarios tienen un mayor acceso</w:t>
      </w:r>
      <w:r>
        <w:rPr>
          <w:lang w:val="es-DO"/>
        </w:rPr>
        <w:t xml:space="preserve"> </w:t>
      </w:r>
      <w:r w:rsidRPr="00E832EC">
        <w:rPr>
          <w:lang w:val="es-DO"/>
        </w:rPr>
        <w:t>a los servicios de orientación y de atención de reclamaciones y denuncias. Además, se</w:t>
      </w:r>
      <w:r>
        <w:rPr>
          <w:lang w:val="es-DO"/>
        </w:rPr>
        <w:t xml:space="preserve"> </w:t>
      </w:r>
      <w:r w:rsidRPr="00E832EC">
        <w:rPr>
          <w:lang w:val="es-DO"/>
        </w:rPr>
        <w:t>adecuaron los canales actuales de servicio, estructurando un centro de contacto (</w:t>
      </w:r>
      <w:proofErr w:type="spellStart"/>
      <w:proofErr w:type="gramStart"/>
      <w:r w:rsidRPr="00E832EC">
        <w:rPr>
          <w:lang w:val="es-DO"/>
        </w:rPr>
        <w:t>call</w:t>
      </w:r>
      <w:proofErr w:type="spellEnd"/>
      <w:r>
        <w:rPr>
          <w:lang w:val="es-DO"/>
        </w:rPr>
        <w:t xml:space="preserve"> </w:t>
      </w:r>
      <w:r w:rsidRPr="00E832EC">
        <w:rPr>
          <w:lang w:val="es-DO"/>
        </w:rPr>
        <w:t>center</w:t>
      </w:r>
      <w:proofErr w:type="gramEnd"/>
      <w:r w:rsidRPr="00E832EC">
        <w:rPr>
          <w:lang w:val="es-DO"/>
        </w:rPr>
        <w:t>) que permitió duplicar la capacidad de respuesta, entre otras mejoras.</w:t>
      </w:r>
    </w:p>
    <w:p w14:paraId="6C22A3E5" w14:textId="357685AD" w:rsidR="00E832EC" w:rsidRDefault="00E832EC" w:rsidP="00E832EC">
      <w:pPr>
        <w:spacing w:line="360" w:lineRule="auto"/>
        <w:jc w:val="both"/>
        <w:rPr>
          <w:b/>
          <w:bCs/>
          <w:lang w:val="es-DO"/>
        </w:rPr>
      </w:pPr>
      <w:r>
        <w:rPr>
          <w:b/>
          <w:bCs/>
          <w:lang w:val="es-DO"/>
        </w:rPr>
        <w:t xml:space="preserve">Emitida la Circular </w:t>
      </w:r>
      <w:r w:rsidRPr="00E832EC">
        <w:rPr>
          <w:b/>
          <w:bCs/>
          <w:lang w:val="es-DO"/>
        </w:rPr>
        <w:t>SB: No.023/20</w:t>
      </w:r>
    </w:p>
    <w:p w14:paraId="30417E1F" w14:textId="1C5E1E59" w:rsidR="00274E67" w:rsidRDefault="00E832EC" w:rsidP="00E832EC">
      <w:pPr>
        <w:spacing w:line="360" w:lineRule="auto"/>
        <w:jc w:val="both"/>
        <w:rPr>
          <w:lang w:val="es-DO"/>
        </w:rPr>
      </w:pPr>
      <w:r w:rsidRPr="00E832EC">
        <w:rPr>
          <w:lang w:val="es-DO"/>
        </w:rPr>
        <w:t>en agosto de 2020 se emitió la Circular SB: No.023/20, donde se</w:t>
      </w:r>
      <w:r>
        <w:rPr>
          <w:lang w:val="es-DO"/>
        </w:rPr>
        <w:t xml:space="preserve"> </w:t>
      </w:r>
      <w:r w:rsidRPr="00E832EC">
        <w:rPr>
          <w:lang w:val="es-DO"/>
        </w:rPr>
        <w:t>establecen los lineamientos que deben observar las EIF que adoptaron medidas de</w:t>
      </w:r>
      <w:r>
        <w:rPr>
          <w:lang w:val="es-DO"/>
        </w:rPr>
        <w:t xml:space="preserve"> </w:t>
      </w:r>
      <w:r w:rsidRPr="00E832EC">
        <w:rPr>
          <w:lang w:val="es-DO"/>
        </w:rPr>
        <w:t>flexibilización para los clientes. A partir de esta circular, entre los meses de agosto y</w:t>
      </w:r>
      <w:r>
        <w:rPr>
          <w:lang w:val="es-DO"/>
        </w:rPr>
        <w:t xml:space="preserve"> </w:t>
      </w:r>
      <w:r w:rsidRPr="00E832EC">
        <w:rPr>
          <w:lang w:val="es-DO"/>
        </w:rPr>
        <w:t>noviembre de 2020, fueron implementadas varias campañas informativas/educativas en</w:t>
      </w:r>
      <w:r>
        <w:rPr>
          <w:lang w:val="es-DO"/>
        </w:rPr>
        <w:t xml:space="preserve"> </w:t>
      </w:r>
      <w:r w:rsidRPr="00E832EC">
        <w:rPr>
          <w:lang w:val="es-DO"/>
        </w:rPr>
        <w:t>redes sociales orientadas a los usuarios financieros, para que los mismos entendieran</w:t>
      </w:r>
      <w:r>
        <w:rPr>
          <w:lang w:val="es-DO"/>
        </w:rPr>
        <w:t xml:space="preserve"> </w:t>
      </w:r>
      <w:r w:rsidRPr="00E832EC">
        <w:rPr>
          <w:lang w:val="es-DO"/>
        </w:rPr>
        <w:t xml:space="preserve">mejor las medidas de flexibilización otorgadas por las </w:t>
      </w:r>
      <w:r w:rsidRPr="00E832EC">
        <w:rPr>
          <w:lang w:val="es-DO"/>
        </w:rPr>
        <w:lastRenderedPageBreak/>
        <w:t>EIF durante la pandemia generada</w:t>
      </w:r>
      <w:r>
        <w:rPr>
          <w:lang w:val="es-DO"/>
        </w:rPr>
        <w:t xml:space="preserve"> </w:t>
      </w:r>
      <w:r w:rsidRPr="00E832EC">
        <w:rPr>
          <w:lang w:val="es-DO"/>
        </w:rPr>
        <w:t>por el COVID-19. Como parte de este proceso</w:t>
      </w:r>
      <w:r>
        <w:rPr>
          <w:lang w:val="es-DO"/>
        </w:rPr>
        <w:t>.</w:t>
      </w:r>
    </w:p>
    <w:p w14:paraId="4BC46806" w14:textId="77777777" w:rsidR="00021A8C" w:rsidRDefault="00021A8C" w:rsidP="00E832EC">
      <w:pPr>
        <w:spacing w:line="360" w:lineRule="auto"/>
        <w:jc w:val="both"/>
        <w:rPr>
          <w:b/>
          <w:bCs/>
          <w:lang w:val="es-DO"/>
        </w:rPr>
      </w:pPr>
      <w:r w:rsidRPr="00021A8C">
        <w:rPr>
          <w:b/>
          <w:bCs/>
          <w:lang w:val="es-DO"/>
        </w:rPr>
        <w:t>Promoción de la Integridad del Sistema Financiero</w:t>
      </w:r>
    </w:p>
    <w:p w14:paraId="758CA3A9" w14:textId="18C26F3E" w:rsidR="00E832EC" w:rsidRDefault="00C3394B" w:rsidP="00021A8C">
      <w:pPr>
        <w:spacing w:line="360" w:lineRule="auto"/>
        <w:jc w:val="both"/>
        <w:rPr>
          <w:lang w:val="es-DO"/>
        </w:rPr>
      </w:pPr>
      <w:r>
        <w:rPr>
          <w:lang w:val="es-DO"/>
        </w:rPr>
        <w:t>En</w:t>
      </w:r>
      <w:r w:rsidR="00021A8C" w:rsidRPr="00021A8C">
        <w:rPr>
          <w:lang w:val="es-DO"/>
        </w:rPr>
        <w:t xml:space="preserve"> materia de Prevención de Lavado de Activos y Financiamiento del Terrorismo (PLAFT), durante el año 2021 se realizaron once (11) supervisiones transversales a sujetos obligados. Adicionalmente, se respondieron ciento sesenta y un (161) solicitudes de opinión, no objeciones y autorizaciones presentadas por las entidades de intermediación financiera y los intermediarios cambiarios (</w:t>
      </w:r>
      <w:proofErr w:type="spellStart"/>
      <w:r w:rsidR="00021A8C" w:rsidRPr="00021A8C">
        <w:rPr>
          <w:lang w:val="es-DO"/>
        </w:rPr>
        <w:t>EIFyC</w:t>
      </w:r>
      <w:proofErr w:type="spellEnd"/>
      <w:r w:rsidR="00021A8C" w:rsidRPr="00021A8C">
        <w:rPr>
          <w:lang w:val="es-DO"/>
        </w:rPr>
        <w:t>) y fueron recibidas y atendidas 1,653 solicitudes de información concernientes a Prevención del Lavado de Activos y Financiamiento del Terrorismo, en cumplimiento a la Ley 155-17.</w:t>
      </w:r>
    </w:p>
    <w:p w14:paraId="09021F91" w14:textId="77777777" w:rsidR="00C3394B" w:rsidRDefault="00C3394B" w:rsidP="00C3394B">
      <w:pPr>
        <w:spacing w:line="360" w:lineRule="auto"/>
        <w:jc w:val="both"/>
        <w:rPr>
          <w:b/>
          <w:bCs/>
          <w:lang w:val="es-DO"/>
        </w:rPr>
      </w:pPr>
      <w:r w:rsidRPr="00C3394B">
        <w:rPr>
          <w:b/>
          <w:bCs/>
          <w:lang w:val="es-DO"/>
        </w:rPr>
        <w:t>Procesos Sancionadores</w:t>
      </w:r>
      <w:r w:rsidRPr="00C3394B">
        <w:rPr>
          <w:b/>
          <w:bCs/>
          <w:lang w:val="es-DO"/>
        </w:rPr>
        <w:t xml:space="preserve"> </w:t>
      </w:r>
    </w:p>
    <w:p w14:paraId="767E3D72" w14:textId="06CD5635" w:rsidR="00C3394B" w:rsidRPr="00C3394B" w:rsidRDefault="00C3394B" w:rsidP="00C3394B">
      <w:pPr>
        <w:spacing w:line="360" w:lineRule="auto"/>
        <w:jc w:val="both"/>
        <w:rPr>
          <w:lang w:val="es-DO"/>
        </w:rPr>
      </w:pPr>
      <w:r w:rsidRPr="00C3394B">
        <w:rPr>
          <w:lang w:val="es-DO"/>
        </w:rPr>
        <w:t>La Superintendencia de Bancos, en su rol sancionador impuso durante el ejercicio del año 2021 un total de cuarenta y tres (43) sanciones. Estas</w:t>
      </w:r>
      <w:r>
        <w:rPr>
          <w:lang w:val="es-DO"/>
        </w:rPr>
        <w:t xml:space="preserve"> </w:t>
      </w:r>
      <w:r w:rsidRPr="00C3394B">
        <w:rPr>
          <w:lang w:val="es-DO"/>
        </w:rPr>
        <w:t>sanciones representaron multas pecuniarias por la suma de Ocho Millones Trecientos Setenta y Cinco Mil Seiscientos Sesenta y Nueve pesos con 00/100 (RD$8,375,669.00).</w:t>
      </w:r>
    </w:p>
    <w:p w14:paraId="1463D29C" w14:textId="77777777" w:rsidR="00C3394B" w:rsidRDefault="00C3394B" w:rsidP="00C3394B">
      <w:pPr>
        <w:spacing w:line="360" w:lineRule="auto"/>
        <w:jc w:val="both"/>
        <w:rPr>
          <w:b/>
          <w:bCs/>
          <w:lang w:val="es-DO"/>
        </w:rPr>
      </w:pPr>
      <w:r w:rsidRPr="00C3394B">
        <w:rPr>
          <w:b/>
          <w:bCs/>
          <w:lang w:val="es-DO"/>
        </w:rPr>
        <w:t>Protección y atención a los usuarios financieros</w:t>
      </w:r>
      <w:r w:rsidRPr="00C3394B">
        <w:rPr>
          <w:b/>
          <w:bCs/>
          <w:lang w:val="es-DO"/>
        </w:rPr>
        <w:t xml:space="preserve"> </w:t>
      </w:r>
    </w:p>
    <w:p w14:paraId="6F653B39" w14:textId="506E3467" w:rsidR="00274E67" w:rsidRDefault="00C3394B" w:rsidP="00C3394B">
      <w:pPr>
        <w:spacing w:line="360" w:lineRule="auto"/>
        <w:jc w:val="both"/>
        <w:rPr>
          <w:lang w:val="es-DO"/>
        </w:rPr>
      </w:pPr>
      <w:r w:rsidRPr="00C3394B">
        <w:rPr>
          <w:lang w:val="es-DO"/>
        </w:rPr>
        <w:t>En lo que respecta a la protección a los derechos de los usuarios financieros, se recibieron y atendieron un total de 73,523 usuarios entre enero-noviembre de 2021, representando un aumento de un 41% versus</w:t>
      </w:r>
      <w:r>
        <w:rPr>
          <w:lang w:val="es-DO"/>
        </w:rPr>
        <w:t xml:space="preserve"> </w:t>
      </w:r>
      <w:r w:rsidRPr="00C3394B">
        <w:rPr>
          <w:lang w:val="es-DO"/>
        </w:rPr>
        <w:t>el mismo período de 2020. Por otro lado, se recibieron un total de 3,919</w:t>
      </w:r>
      <w:r>
        <w:rPr>
          <w:lang w:val="es-DO"/>
        </w:rPr>
        <w:t xml:space="preserve"> </w:t>
      </w:r>
      <w:r w:rsidRPr="00C3394B">
        <w:rPr>
          <w:lang w:val="es-DO"/>
        </w:rPr>
        <w:t>reclamaciones que derivaron en la instrucción de acreditación de RD$ 78.3 millones de pesos a favor de los usuarios, monto que representa un incremento de 142% con relación al mismo período del año anterior.</w:t>
      </w:r>
    </w:p>
    <w:p w14:paraId="2C4A2C2B" w14:textId="77777777" w:rsidR="00C3394B" w:rsidRDefault="00C3394B" w:rsidP="00C3394B">
      <w:pPr>
        <w:spacing w:line="360" w:lineRule="auto"/>
        <w:jc w:val="both"/>
        <w:rPr>
          <w:b/>
          <w:bCs/>
          <w:lang w:val="es-DO"/>
        </w:rPr>
      </w:pPr>
      <w:r w:rsidRPr="00C3394B">
        <w:rPr>
          <w:b/>
          <w:bCs/>
          <w:lang w:val="es-DO"/>
        </w:rPr>
        <w:lastRenderedPageBreak/>
        <w:t>Resarcimiento de ahorristas mediante el programa IFIL</w:t>
      </w:r>
      <w:r w:rsidRPr="00C3394B">
        <w:rPr>
          <w:b/>
          <w:bCs/>
          <w:lang w:val="es-DO"/>
        </w:rPr>
        <w:t xml:space="preserve"> </w:t>
      </w:r>
    </w:p>
    <w:p w14:paraId="58DA5BCF" w14:textId="2B334245" w:rsidR="00274E67" w:rsidRDefault="00C3394B" w:rsidP="00C3394B">
      <w:pPr>
        <w:spacing w:line="360" w:lineRule="auto"/>
        <w:jc w:val="both"/>
        <w:rPr>
          <w:lang w:val="es-DO"/>
        </w:rPr>
      </w:pPr>
      <w:r w:rsidRPr="00C3394B">
        <w:rPr>
          <w:lang w:val="es-DO"/>
        </w:rPr>
        <w:t>En su rol como liquidador designado de las EIF en proceso de liquidación a través del Programa IFIL, la SB realizó considerables esfuerzos para identificar y resarcir a los ahorristas faltantes de estas entidades. En este sentido, durante el período enero-noviembre de 2021 fueron identificados 142 ahorristas con cuentas que cuyos montos suman alrededor de RD$28 millones. De este monto, se han emitidos pagos a la fecha por RD $17 millones. Estos son depositantes que tenían décadas con dinero disponible para pagarse, pero que no habían sido informados para recibir sus fondos.</w:t>
      </w:r>
    </w:p>
    <w:p w14:paraId="6573DBB2" w14:textId="77777777" w:rsidR="00C3394B" w:rsidRDefault="00C3394B" w:rsidP="00C3394B">
      <w:pPr>
        <w:spacing w:line="360" w:lineRule="auto"/>
        <w:jc w:val="both"/>
        <w:rPr>
          <w:b/>
          <w:bCs/>
          <w:lang w:val="es-DO"/>
        </w:rPr>
      </w:pPr>
      <w:r w:rsidRPr="00C3394B">
        <w:rPr>
          <w:b/>
          <w:bCs/>
          <w:lang w:val="es-DO"/>
        </w:rPr>
        <w:t>Fortalecimiento institucional</w:t>
      </w:r>
      <w:r w:rsidRPr="00C3394B">
        <w:rPr>
          <w:b/>
          <w:bCs/>
          <w:lang w:val="es-DO"/>
        </w:rPr>
        <w:t xml:space="preserve"> </w:t>
      </w:r>
    </w:p>
    <w:p w14:paraId="5D0BCC88" w14:textId="1E56FCDB" w:rsidR="00274E67" w:rsidRDefault="00A64301" w:rsidP="00A64301">
      <w:pPr>
        <w:spacing w:line="360" w:lineRule="auto"/>
        <w:jc w:val="both"/>
        <w:rPr>
          <w:lang w:val="es-DO"/>
        </w:rPr>
      </w:pPr>
      <w:r w:rsidRPr="00A64301">
        <w:rPr>
          <w:lang w:val="es-DO"/>
        </w:rPr>
        <w:t>como parte del proceso de transformación digital de la institución la SB se embarcó en la implementación de la firma digital con el objetivo de agilizar sus procesos internos. Mediante la publicación</w:t>
      </w:r>
      <w:r>
        <w:rPr>
          <w:lang w:val="es-DO"/>
        </w:rPr>
        <w:t xml:space="preserve"> </w:t>
      </w:r>
      <w:r w:rsidRPr="00A64301">
        <w:rPr>
          <w:lang w:val="es-DO"/>
        </w:rPr>
        <w:t>de la circular 009/21 la SB procura aumentar la eficiencia en las respuestas a las entidades y reducir su huella ambiental. Durante el año 2021, un total de 8,008 firmas digitales fueron emitidas en documentos de la SB tanto para uso interno como para remisión de información hacia las EIF y/u otras instituciones.</w:t>
      </w:r>
    </w:p>
    <w:p w14:paraId="070DD682" w14:textId="77777777" w:rsidR="00A64301" w:rsidRDefault="00A64301" w:rsidP="00A64301">
      <w:pPr>
        <w:spacing w:line="360" w:lineRule="auto"/>
        <w:jc w:val="both"/>
        <w:rPr>
          <w:b/>
          <w:bCs/>
          <w:lang w:val="es-DO"/>
        </w:rPr>
      </w:pPr>
      <w:r w:rsidRPr="00A64301">
        <w:rPr>
          <w:b/>
          <w:bCs/>
          <w:lang w:val="es-DO"/>
        </w:rPr>
        <w:t>APP Móvil ProUsuario</w:t>
      </w:r>
      <w:r w:rsidRPr="00A64301">
        <w:rPr>
          <w:b/>
          <w:bCs/>
          <w:lang w:val="es-DO"/>
        </w:rPr>
        <w:t xml:space="preserve"> </w:t>
      </w:r>
    </w:p>
    <w:p w14:paraId="77C042A5" w14:textId="1D36EE14" w:rsidR="00274E67" w:rsidRDefault="00A64301" w:rsidP="00A64301">
      <w:pPr>
        <w:spacing w:line="360" w:lineRule="auto"/>
        <w:jc w:val="both"/>
        <w:rPr>
          <w:lang w:val="es-DO"/>
        </w:rPr>
      </w:pPr>
      <w:r>
        <w:rPr>
          <w:lang w:val="es-DO"/>
        </w:rPr>
        <w:t>C</w:t>
      </w:r>
      <w:r w:rsidRPr="00A64301">
        <w:rPr>
          <w:lang w:val="es-DO"/>
        </w:rPr>
        <w:t>on el lanzamiento de la APP Móvil ProUsuario Digital, como canal digital de servicio a usuarios la institución fue seleccionada entre los cinco finalistas para el premio Nelson</w:t>
      </w:r>
      <w:r>
        <w:rPr>
          <w:lang w:val="es-DO"/>
        </w:rPr>
        <w:t xml:space="preserve"> </w:t>
      </w:r>
      <w:proofErr w:type="spellStart"/>
      <w:r w:rsidRPr="00A64301">
        <w:rPr>
          <w:lang w:val="es-DO"/>
        </w:rPr>
        <w:t>Espenilla</w:t>
      </w:r>
      <w:proofErr w:type="spellEnd"/>
      <w:r w:rsidRPr="00A64301">
        <w:rPr>
          <w:lang w:val="es-DO"/>
        </w:rPr>
        <w:t xml:space="preserve"> a la Innovación e Inclusión Financiera por la Alliance </w:t>
      </w:r>
      <w:proofErr w:type="spellStart"/>
      <w:r w:rsidRPr="00A64301">
        <w:rPr>
          <w:lang w:val="es-DO"/>
        </w:rPr>
        <w:t>for</w:t>
      </w:r>
      <w:proofErr w:type="spellEnd"/>
      <w:r w:rsidRPr="00A64301">
        <w:rPr>
          <w:lang w:val="es-DO"/>
        </w:rPr>
        <w:t xml:space="preserve"> Financial </w:t>
      </w:r>
      <w:proofErr w:type="spellStart"/>
      <w:r w:rsidRPr="00A64301">
        <w:rPr>
          <w:lang w:val="es-DO"/>
        </w:rPr>
        <w:t>Inclusion</w:t>
      </w:r>
      <w:proofErr w:type="spellEnd"/>
      <w:r w:rsidRPr="00A64301">
        <w:rPr>
          <w:lang w:val="es-DO"/>
        </w:rPr>
        <w:t>, por la Oficina Gubernamental de Tecnologías de</w:t>
      </w:r>
      <w:r>
        <w:rPr>
          <w:lang w:val="es-DO"/>
        </w:rPr>
        <w:t xml:space="preserve"> </w:t>
      </w:r>
      <w:r w:rsidRPr="00A64301">
        <w:rPr>
          <w:lang w:val="es-DO"/>
        </w:rPr>
        <w:t xml:space="preserve">la Información y Comunicación (OGTIC) como una “práctica promisoria de Gobierno Digital”, y el Ministerio Administrativo de la Presidencia nos </w:t>
      </w:r>
      <w:r w:rsidRPr="00A64301">
        <w:rPr>
          <w:lang w:val="es-DO"/>
        </w:rPr>
        <w:lastRenderedPageBreak/>
        <w:t>galardonó con el primer lugar del Premio Nacional a la Innovación Pública 2022, en el renglón Innovación Pública Implementada.</w:t>
      </w:r>
    </w:p>
    <w:p w14:paraId="54EE9895" w14:textId="77777777" w:rsidR="00A64301" w:rsidRDefault="00A64301" w:rsidP="00A64301">
      <w:pPr>
        <w:spacing w:line="360" w:lineRule="auto"/>
        <w:jc w:val="both"/>
        <w:rPr>
          <w:b/>
          <w:bCs/>
          <w:lang w:val="es-DO"/>
        </w:rPr>
      </w:pPr>
      <w:r w:rsidRPr="00A64301">
        <w:rPr>
          <w:b/>
          <w:bCs/>
          <w:lang w:val="es-DO"/>
        </w:rPr>
        <w:t>Burocracia Cero</w:t>
      </w:r>
      <w:r w:rsidRPr="00A64301">
        <w:rPr>
          <w:b/>
          <w:bCs/>
          <w:lang w:val="es-DO"/>
        </w:rPr>
        <w:t xml:space="preserve"> </w:t>
      </w:r>
    </w:p>
    <w:p w14:paraId="35787AE4" w14:textId="658A767C" w:rsidR="00A64301" w:rsidRDefault="00A64301" w:rsidP="00A64301">
      <w:pPr>
        <w:spacing w:line="360" w:lineRule="auto"/>
        <w:jc w:val="both"/>
        <w:rPr>
          <w:lang w:val="es-DO"/>
        </w:rPr>
      </w:pPr>
      <w:r>
        <w:rPr>
          <w:lang w:val="es-DO"/>
        </w:rPr>
        <w:t>E</w:t>
      </w:r>
      <w:r w:rsidRPr="00A64301">
        <w:rPr>
          <w:lang w:val="es-DO"/>
        </w:rPr>
        <w:t>n cumplimiento a las metas de gobierno 2020-2024, la institución realizó avances en el plan de mejora de la calidad y oportunidad de las informaciones requeridas por norma a las entidades reguladas</w:t>
      </w:r>
      <w:r>
        <w:rPr>
          <w:lang w:val="es-DO"/>
        </w:rPr>
        <w:t>,</w:t>
      </w:r>
      <w:r w:rsidRPr="00A64301">
        <w:rPr>
          <w:lang w:val="es-DO"/>
        </w:rPr>
        <w:t xml:space="preserve"> integrando nuevos reportes regulatorios en el Portal de la Administración Monetaria y Financiera (PAMF), en el que se ha migrado el 60% de los 127 reportes programados</w:t>
      </w:r>
      <w:r>
        <w:rPr>
          <w:lang w:val="es-DO"/>
        </w:rPr>
        <w:t xml:space="preserve"> al 2022</w:t>
      </w:r>
      <w:r w:rsidRPr="00A64301">
        <w:rPr>
          <w:lang w:val="es-DO"/>
        </w:rPr>
        <w:t xml:space="preserve"> y el Nuevo Portal Web Institucional que ha permitido mejorar la experiencia del usuario y expansión de autoservicios.</w:t>
      </w:r>
    </w:p>
    <w:p w14:paraId="532230E0" w14:textId="438BB48B" w:rsidR="00A64301" w:rsidRDefault="00A64301" w:rsidP="00A64301">
      <w:pPr>
        <w:spacing w:line="360" w:lineRule="auto"/>
        <w:jc w:val="both"/>
        <w:rPr>
          <w:b/>
          <w:bCs/>
          <w:lang w:val="es-DO"/>
        </w:rPr>
      </w:pPr>
      <w:r w:rsidRPr="00A64301">
        <w:rPr>
          <w:b/>
          <w:bCs/>
          <w:lang w:val="es-DO"/>
        </w:rPr>
        <w:t xml:space="preserve">Sistema de Gestión de </w:t>
      </w:r>
      <w:r w:rsidRPr="00A64301">
        <w:rPr>
          <w:b/>
          <w:bCs/>
          <w:lang w:val="es-DO"/>
        </w:rPr>
        <w:t xml:space="preserve">Calidad </w:t>
      </w:r>
      <w:r>
        <w:rPr>
          <w:b/>
          <w:bCs/>
          <w:lang w:val="es-DO"/>
        </w:rPr>
        <w:t>ISO 9001:2015</w:t>
      </w:r>
    </w:p>
    <w:p w14:paraId="69D2EBE9" w14:textId="6C70F96C" w:rsidR="00A64301" w:rsidRPr="00A64301" w:rsidRDefault="00A64301" w:rsidP="00A64301">
      <w:pPr>
        <w:spacing w:line="360" w:lineRule="auto"/>
        <w:jc w:val="both"/>
        <w:rPr>
          <w:lang w:val="es-DO"/>
        </w:rPr>
      </w:pPr>
      <w:r w:rsidRPr="00A64301">
        <w:rPr>
          <w:lang w:val="es-DO"/>
        </w:rPr>
        <w:t>Priorizando los servicios a usuarios y a las entidades supervisadas, se implementó un Sistema de Gestión de Calidad, basado en la Norma</w:t>
      </w:r>
      <w:r>
        <w:rPr>
          <w:lang w:val="es-DO"/>
        </w:rPr>
        <w:t xml:space="preserve"> </w:t>
      </w:r>
      <w:r w:rsidRPr="00A64301">
        <w:rPr>
          <w:lang w:val="es-DO"/>
        </w:rPr>
        <w:t>ISO 9001:2015, certificando los procesos de los departamentos ProUsuario y Registros &amp; Autorizaciones</w:t>
      </w:r>
      <w:r>
        <w:rPr>
          <w:lang w:val="es-DO"/>
        </w:rPr>
        <w:t>.</w:t>
      </w:r>
    </w:p>
    <w:p w14:paraId="718DA0E3" w14:textId="685F7322" w:rsidR="00FA2E80" w:rsidRDefault="00FA2E80" w:rsidP="00A64301">
      <w:pPr>
        <w:spacing w:line="360" w:lineRule="auto"/>
        <w:jc w:val="both"/>
        <w:rPr>
          <w:b/>
          <w:bCs/>
          <w:lang w:val="es-DO"/>
        </w:rPr>
      </w:pPr>
      <w:r>
        <w:rPr>
          <w:b/>
          <w:bCs/>
          <w:lang w:val="es-DO"/>
        </w:rPr>
        <w:t>R</w:t>
      </w:r>
      <w:r w:rsidRPr="00FA2E80">
        <w:rPr>
          <w:b/>
          <w:bCs/>
          <w:lang w:val="es-DO"/>
        </w:rPr>
        <w:t>uta regulatoria “B3-27”</w:t>
      </w:r>
    </w:p>
    <w:p w14:paraId="310682CD" w14:textId="0175E8CF" w:rsidR="00A64301" w:rsidRDefault="00FA2E80" w:rsidP="00FA2E80">
      <w:pPr>
        <w:spacing w:line="360" w:lineRule="auto"/>
        <w:jc w:val="both"/>
        <w:rPr>
          <w:lang w:val="es-DO"/>
        </w:rPr>
      </w:pPr>
      <w:r>
        <w:rPr>
          <w:lang w:val="es-DO"/>
        </w:rPr>
        <w:t>S</w:t>
      </w:r>
      <w:r w:rsidRPr="00FA2E80">
        <w:rPr>
          <w:lang w:val="es-DO"/>
        </w:rPr>
        <w:t xml:space="preserve">e sentaron las bases de la propuesta de ruta regulatoria “B3-27”, con el objetivo de actualizar la normativa del sistema financiero conforme con los estándares prudenciales internacionales. En paralelo, a fin de fortalecer y hacer más eficiente la regulación y supervisión del sistema financiero, se publicaron catorce (14) Cartas Circulares y dos (2) Instructivos. Regulando temas como: derechos de los usuarios, protocolo para la protección y uso adecuado de los datos personales, entre otros. Además, quince (15) Circulares, incluyendo la emblemática de </w:t>
      </w:r>
      <w:proofErr w:type="spellStart"/>
      <w:r w:rsidRPr="00FA2E80">
        <w:rPr>
          <w:lang w:val="es-DO"/>
        </w:rPr>
        <w:t>Onboarding</w:t>
      </w:r>
      <w:proofErr w:type="spellEnd"/>
      <w:r w:rsidRPr="00FA2E80">
        <w:rPr>
          <w:lang w:val="es-DO"/>
        </w:rPr>
        <w:t xml:space="preserve"> Digital, que establece la base jurídica y las rutinas de debida diligencia para las operaciones bancarias remotas y no presenciales</w:t>
      </w:r>
      <w:r>
        <w:rPr>
          <w:lang w:val="es-DO"/>
        </w:rPr>
        <w:t>.</w:t>
      </w:r>
    </w:p>
    <w:p w14:paraId="05F02CBF" w14:textId="10C402F4" w:rsidR="00FA2E80" w:rsidRDefault="00FA2E80" w:rsidP="00FA2E80">
      <w:pPr>
        <w:spacing w:line="360" w:lineRule="auto"/>
        <w:jc w:val="both"/>
        <w:rPr>
          <w:b/>
          <w:bCs/>
          <w:lang w:val="es-DO"/>
        </w:rPr>
      </w:pPr>
      <w:r>
        <w:rPr>
          <w:b/>
          <w:bCs/>
          <w:lang w:val="es-DO"/>
        </w:rPr>
        <w:lastRenderedPageBreak/>
        <w:t>Supervisiones reguladoras</w:t>
      </w:r>
    </w:p>
    <w:p w14:paraId="3F5973DC" w14:textId="6737B8B0" w:rsidR="00FA2E80" w:rsidRDefault="00FA2E80" w:rsidP="00FA2E80">
      <w:pPr>
        <w:spacing w:line="360" w:lineRule="auto"/>
        <w:jc w:val="both"/>
        <w:rPr>
          <w:lang w:val="es-DO"/>
        </w:rPr>
      </w:pPr>
      <w:r w:rsidRPr="00FA2E80">
        <w:rPr>
          <w:lang w:val="es-DO"/>
        </w:rPr>
        <w:t>En cumplimiento a las funciones que le confiere la Ley Monetaria y Financiera, durante el año 2022, la SB realizó setenta y una (71) inspecciones in-situ a entidades de intermediación financiera y cambiarias. Estas enfocadas en aspectos de calidad de los activos y pasivos, calidad de la cartera de créditos, evaluación de las operaciones de tesorería y captaciones, gobierno corporativo, auditoría interna, gestión de riesgos, adecuación patrimonial, evaluación de las utilidades, riesgo operacional, plataforma tecnológica, protección de los derechos de los usuarios de los productos y servicios financieros, seguimiento a planes de acción y en once (11) entidades, se realizaron revisiones especializadas con el</w:t>
      </w:r>
      <w:r>
        <w:rPr>
          <w:lang w:val="es-DO"/>
        </w:rPr>
        <w:t xml:space="preserve"> </w:t>
      </w:r>
      <w:r w:rsidRPr="00FA2E80">
        <w:rPr>
          <w:lang w:val="es-DO"/>
        </w:rPr>
        <w:t>Departamento de Monitoreo de Riesgos. En adición, se realizó una inspección en una entidad no regulada en colaboración con el Ministerio Público, atendiendo a denuncias de presunta intermediación financiera al margen de la Ley.</w:t>
      </w:r>
    </w:p>
    <w:p w14:paraId="2AB46413" w14:textId="77777777" w:rsidR="00FA2E80" w:rsidRPr="00D77F00" w:rsidRDefault="00FA2E80" w:rsidP="00FA2E80">
      <w:pPr>
        <w:spacing w:line="360" w:lineRule="auto"/>
        <w:jc w:val="both"/>
        <w:rPr>
          <w:b/>
          <w:bCs/>
          <w:lang w:val="es-DO"/>
        </w:rPr>
      </w:pPr>
      <w:r w:rsidRPr="00D77F00">
        <w:rPr>
          <w:b/>
          <w:bCs/>
          <w:lang w:val="es-DO"/>
        </w:rPr>
        <w:t>Oficina de Gestión de Proyectos de la SB</w:t>
      </w:r>
    </w:p>
    <w:p w14:paraId="656FEDDD" w14:textId="77777777" w:rsidR="00FA2E80" w:rsidRDefault="00FA2E80" w:rsidP="00FA2E80">
      <w:pPr>
        <w:spacing w:line="360" w:lineRule="auto"/>
        <w:jc w:val="both"/>
      </w:pPr>
      <w:r w:rsidRPr="00FA2E80">
        <w:t>Mediante este proyecto, la institución establece una serie de políticas, procedimientos, metodología, e indicadores de gestión, como inicio de un piloto para la gestión eficiente e implementación de mejores prácticas en los proyectos de la SB.</w:t>
      </w:r>
    </w:p>
    <w:p w14:paraId="04F0EEAA" w14:textId="77777777" w:rsidR="00FA2E80" w:rsidRPr="00A1453A" w:rsidRDefault="00FA2E80" w:rsidP="00FA2E80">
      <w:pPr>
        <w:spacing w:line="360" w:lineRule="auto"/>
        <w:jc w:val="both"/>
        <w:rPr>
          <w:b/>
          <w:bCs/>
          <w:lang w:val="es-DO"/>
        </w:rPr>
      </w:pPr>
      <w:r w:rsidRPr="00A1453A">
        <w:rPr>
          <w:b/>
          <w:bCs/>
          <w:lang w:val="es-DO"/>
        </w:rPr>
        <w:t>Inclusión Financiera para América Latina y el Caribe (FILAC-2023)</w:t>
      </w:r>
    </w:p>
    <w:p w14:paraId="2A00A58F" w14:textId="77777777" w:rsidR="00FA2E80" w:rsidRPr="00FA2E80" w:rsidRDefault="00FA2E80" w:rsidP="00FA2E80">
      <w:pPr>
        <w:spacing w:line="360" w:lineRule="auto"/>
        <w:jc w:val="both"/>
        <w:rPr>
          <w:lang w:val="es-DO"/>
        </w:rPr>
      </w:pPr>
      <w:r w:rsidRPr="00FA2E80">
        <w:t xml:space="preserve">La Superintendencia de Bancos celebró en el 2023, el evento “Inclusión Financiera para América Latina y el Caribe (FILAC-2023)”, afianzando las acciones de cooperación con entidades locales e internacionales; así como, la sinergia que potencie el accionar institucional. Se contemplaron estrategias de comunicación que </w:t>
      </w:r>
      <w:r w:rsidRPr="00FA2E80">
        <w:lastRenderedPageBreak/>
        <w:t xml:space="preserve">consolidaron la imagen de la institución en términos de credibilidad, confianza y visibilidad; alineados a la misión de ser un referente nacional </w:t>
      </w:r>
      <w:r w:rsidRPr="00FA2E80">
        <w:rPr>
          <w:lang w:val="es-DO"/>
        </w:rPr>
        <w:t>e internacional.</w:t>
      </w:r>
    </w:p>
    <w:p w14:paraId="358B6BB6" w14:textId="77777777" w:rsidR="00FA2E80" w:rsidRPr="00FA2E80" w:rsidRDefault="00FA2E80" w:rsidP="00FA2E80">
      <w:pPr>
        <w:spacing w:line="360" w:lineRule="auto"/>
        <w:jc w:val="both"/>
        <w:rPr>
          <w:b/>
          <w:bCs/>
          <w:lang w:val="es-DO"/>
        </w:rPr>
      </w:pPr>
      <w:r w:rsidRPr="00FA2E80">
        <w:rPr>
          <w:b/>
          <w:bCs/>
          <w:lang w:val="es-DO"/>
        </w:rPr>
        <w:t>Sellos de Subagentes Bancarios</w:t>
      </w:r>
    </w:p>
    <w:p w14:paraId="40AFF9A3" w14:textId="77777777" w:rsidR="00FA2E80" w:rsidRPr="00FA2E80" w:rsidRDefault="00FA2E80" w:rsidP="00FA2E80">
      <w:pPr>
        <w:spacing w:line="360" w:lineRule="auto"/>
        <w:jc w:val="both"/>
        <w:rPr>
          <w:lang w:val="es-DO"/>
        </w:rPr>
      </w:pPr>
      <w:r w:rsidRPr="00FA2E80">
        <w:rPr>
          <w:lang w:val="es-DO"/>
        </w:rPr>
        <w:t>Honrando la misión institucional, que establece la realización de distintas acciones orientadas a eliminar las operaciones fraudulentas del sistema financiero por parte de agentes económicos que no cuenten con la autorización establecida por las normativas vigentes, la Superintendencia de Bancos desarrolló e implementó un sello de identificación de subagentes bancarios regulados, llevando seguridad y confianza a todos los usuarios al momento de realizar sus transacciones.</w:t>
      </w:r>
    </w:p>
    <w:p w14:paraId="532C9733" w14:textId="77777777" w:rsidR="00FA2E80" w:rsidRPr="00FA2E80" w:rsidRDefault="00FA2E80" w:rsidP="00FA2E80">
      <w:pPr>
        <w:spacing w:line="360" w:lineRule="auto"/>
        <w:jc w:val="both"/>
        <w:rPr>
          <w:b/>
          <w:bCs/>
          <w:lang w:val="es-DO"/>
        </w:rPr>
      </w:pPr>
      <w:r w:rsidRPr="00FA2E80">
        <w:rPr>
          <w:b/>
          <w:bCs/>
          <w:lang w:val="es-DO"/>
        </w:rPr>
        <w:t>Unidad de Supervisión de Fiduciarias</w:t>
      </w:r>
    </w:p>
    <w:p w14:paraId="70B150D2" w14:textId="77777777" w:rsidR="00FA2E80" w:rsidRPr="00FA2E80" w:rsidRDefault="00FA2E80" w:rsidP="00FA2E80">
      <w:pPr>
        <w:spacing w:line="360" w:lineRule="auto"/>
        <w:jc w:val="both"/>
      </w:pPr>
      <w:r w:rsidRPr="00FA2E80">
        <w:t>Para el 2023, la Superintendencia de Bancos realizó cuantiosas acciones para desarrollar e implementar procesos de supervisión a todos los niveles; siendo válido destacar la Unidad de Supervisión de las Fiduciarias. Actualmente, la SB cuenta bajo su jurisdicción con diecinueve (19) entidades fiduciarias y tres (3) agentes de garantía.</w:t>
      </w:r>
    </w:p>
    <w:p w14:paraId="556FB960" w14:textId="77777777" w:rsidR="00FA2E80" w:rsidRPr="00A1453A" w:rsidRDefault="00FA2E80" w:rsidP="00FA2E80">
      <w:pPr>
        <w:spacing w:line="360" w:lineRule="auto"/>
        <w:jc w:val="both"/>
        <w:rPr>
          <w:b/>
          <w:bCs/>
          <w:lang w:val="es-DO"/>
        </w:rPr>
      </w:pPr>
      <w:r w:rsidRPr="00A1453A">
        <w:rPr>
          <w:b/>
          <w:bCs/>
          <w:lang w:val="es-DO"/>
        </w:rPr>
        <w:t>Sistema de Monitoreo de Calidad de Procesos Internos</w:t>
      </w:r>
    </w:p>
    <w:p w14:paraId="460541B5" w14:textId="6116D57E" w:rsidR="00274E67" w:rsidRDefault="00FA2E80" w:rsidP="006B204A">
      <w:pPr>
        <w:spacing w:line="360" w:lineRule="auto"/>
        <w:jc w:val="both"/>
        <w:rPr>
          <w:rFonts w:eastAsia="Calibri"/>
          <w:lang w:val="es-DO"/>
        </w:rPr>
      </w:pPr>
      <w:r w:rsidRPr="00FA2E80">
        <w:t xml:space="preserve">La SB diseñó, durante el año 2023, indicadores y métricas de eficiencia para las diferentes áreas de la Oficina de Protección al Usuario, así como, herramientas de visualización y autoservicio. </w:t>
      </w:r>
      <w:r w:rsidRPr="00FA2E80">
        <w:rPr>
          <w:lang w:val="es-DO"/>
        </w:rPr>
        <w:t>Este sistema implementado permitirá diagnosticar y aprovechar el conocimiento generado a la hora de tomar decisiones; tales como, asignación de recursos en base a las necesidades identificadas, mejoras en los procesos institucionales, invocar sanciones a las entidades del sistema financiero, entre otras situaciones de valor.</w:t>
      </w:r>
    </w:p>
    <w:p w14:paraId="1DA55F0C" w14:textId="72114CBD" w:rsidR="000C7BBE" w:rsidRPr="00274E67" w:rsidRDefault="001A74DD" w:rsidP="00274E67">
      <w:pPr>
        <w:pStyle w:val="Estilo3"/>
        <w:rPr>
          <w:rFonts w:eastAsia="Calibri"/>
          <w:b/>
          <w:szCs w:val="24"/>
        </w:rPr>
      </w:pPr>
      <w:bookmarkStart w:id="5" w:name="_Toc155354598"/>
      <w:r>
        <w:rPr>
          <w:rFonts w:eastAsia="Calibri"/>
          <w:b/>
          <w:szCs w:val="24"/>
        </w:rPr>
        <w:lastRenderedPageBreak/>
        <w:t>Principales l</w:t>
      </w:r>
      <w:r w:rsidR="000C7BBE" w:rsidRPr="00274E67">
        <w:rPr>
          <w:rFonts w:eastAsia="Calibri"/>
          <w:b/>
          <w:szCs w:val="24"/>
        </w:rPr>
        <w:t>ogros</w:t>
      </w:r>
      <w:r w:rsidR="00234FCF" w:rsidRPr="00274E67">
        <w:rPr>
          <w:rFonts w:eastAsia="Calibri"/>
          <w:b/>
          <w:szCs w:val="24"/>
        </w:rPr>
        <w:t xml:space="preserve"> de la Superintendencia de Bancos</w:t>
      </w:r>
      <w:r w:rsidR="005D5C92" w:rsidRPr="00274E67">
        <w:rPr>
          <w:rFonts w:eastAsia="Calibri"/>
          <w:b/>
          <w:szCs w:val="24"/>
        </w:rPr>
        <w:t xml:space="preserve"> </w:t>
      </w:r>
      <w:r w:rsidR="00274E67" w:rsidRPr="00FA2E80">
        <w:rPr>
          <w:rFonts w:eastAsia="Calibri"/>
          <w:b/>
          <w:szCs w:val="24"/>
        </w:rPr>
        <w:t>durante el periodo</w:t>
      </w:r>
      <w:r w:rsidR="004022BD" w:rsidRPr="00274E67">
        <w:rPr>
          <w:rFonts w:eastAsia="Calibri"/>
          <w:b/>
          <w:szCs w:val="24"/>
        </w:rPr>
        <w:t xml:space="preserve"> 2023</w:t>
      </w:r>
      <w:bookmarkEnd w:id="5"/>
    </w:p>
    <w:p w14:paraId="6C3C20A7" w14:textId="79EEA8A7" w:rsidR="000C7BBE" w:rsidRDefault="00274E67" w:rsidP="00274E67">
      <w:pPr>
        <w:spacing w:after="0"/>
        <w:jc w:val="both"/>
        <w:rPr>
          <w:rFonts w:eastAsia="Calibri"/>
          <w:sz w:val="18"/>
          <w:lang w:val="es-DO"/>
        </w:rPr>
      </w:pPr>
      <w:r w:rsidRPr="00274E67">
        <w:rPr>
          <w:rFonts w:eastAsia="Calibri"/>
          <w:b/>
        </w:rPr>
        <mc:AlternateContent>
          <mc:Choice Requires="wps">
            <w:drawing>
              <wp:anchor distT="0" distB="0" distL="114300" distR="114300" simplePos="0" relativeHeight="251658263" behindDoc="0" locked="0" layoutInCell="1" allowOverlap="1" wp14:anchorId="756FC1E2" wp14:editId="39F7B185">
                <wp:simplePos x="0" y="0"/>
                <wp:positionH relativeFrom="margin">
                  <wp:posOffset>2266950</wp:posOffset>
                </wp:positionH>
                <wp:positionV relativeFrom="paragraph">
                  <wp:posOffset>73025</wp:posOffset>
                </wp:positionV>
                <wp:extent cx="463550" cy="0"/>
                <wp:effectExtent l="0" t="19050" r="31750" b="19050"/>
                <wp:wrapNone/>
                <wp:docPr id="689562327" name="Conector recto 68956232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F31C17D" id="Conector recto 689562327" o:spid="_x0000_s1026" style="position:absolute;z-index:251658263;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pt,5.75pt" to="215pt,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" strokecolor="#ee2a24" strokeweight="2.25pt">
                <v:stroke joinstyle="miter"/>
                <w10:wrap anchorx="margin"/>
              </v:line>
            </w:pict>
          </mc:Fallback>
        </mc:AlternateContent>
      </w:r>
    </w:p>
    <w:p w14:paraId="5A728A89" w14:textId="77777777" w:rsidR="00274E67" w:rsidRDefault="00274E67" w:rsidP="00274E67">
      <w:pPr>
        <w:spacing w:after="0" w:line="360" w:lineRule="auto"/>
        <w:jc w:val="both"/>
        <w:rPr>
          <w:lang w:val="es-DO"/>
        </w:rPr>
      </w:pPr>
    </w:p>
    <w:p w14:paraId="5870EE14" w14:textId="35C4D029" w:rsidR="00D77F00" w:rsidRPr="00DB34CC" w:rsidRDefault="005F0F7F" w:rsidP="005F0F7F">
      <w:pPr>
        <w:spacing w:line="360" w:lineRule="auto"/>
        <w:jc w:val="both"/>
        <w:rPr>
          <w:lang w:val="es-DO"/>
        </w:rPr>
      </w:pPr>
      <w:r w:rsidRPr="00DB34CC">
        <w:rPr>
          <w:lang w:val="es-DO"/>
        </w:rPr>
        <w:t xml:space="preserve">A continuación, se describe los principales logros realizados por la Superintendencia de Bancos de la República Dominicana, en miras al cumplimiento de sus objetivos estratégicos durante todo el año 2023, mostrando cuales fueron los objetivos y metas </w:t>
      </w:r>
      <w:r w:rsidR="00647010" w:rsidRPr="00DB34CC">
        <w:rPr>
          <w:lang w:val="es-DO"/>
        </w:rPr>
        <w:t>propuestas,</w:t>
      </w:r>
      <w:r w:rsidR="00DB34CC" w:rsidRPr="00DB34CC">
        <w:rPr>
          <w:lang w:val="es-DO"/>
        </w:rPr>
        <w:t xml:space="preserve"> </w:t>
      </w:r>
      <w:r w:rsidR="00DB34CC">
        <w:rPr>
          <w:lang w:val="es-DO"/>
        </w:rPr>
        <w:t>así como las alcanzadas</w:t>
      </w:r>
      <w:r w:rsidRPr="00DB34CC">
        <w:rPr>
          <w:lang w:val="es-DO"/>
        </w:rPr>
        <w:t xml:space="preserve"> sobre la base del compromiso y las acciones realizadas.</w:t>
      </w:r>
    </w:p>
    <w:p w14:paraId="797AA5C0" w14:textId="77777777" w:rsidR="00D77F00" w:rsidRPr="00D77F00" w:rsidRDefault="00D77F00" w:rsidP="00D77F00">
      <w:pPr>
        <w:spacing w:line="360" w:lineRule="auto"/>
        <w:jc w:val="both"/>
        <w:rPr>
          <w:b/>
          <w:bCs/>
          <w:lang w:val="es-DO"/>
        </w:rPr>
      </w:pPr>
      <w:r w:rsidRPr="00D77F00">
        <w:rPr>
          <w:b/>
          <w:bCs/>
          <w:lang w:val="es-DO"/>
        </w:rPr>
        <w:t>Oficina de Gestión de Proyectos de la SB</w:t>
      </w:r>
    </w:p>
    <w:p w14:paraId="75CE81BA" w14:textId="26DB4349"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Mediante este proyecto, la institución establece una serie de políticas, procedimientos, metodología, e indicadores de gestión, como inicio de un piloto para la gestión eficiente e implementación de mejores prácticas en los proyectos de la SB.</w:t>
      </w:r>
    </w:p>
    <w:p w14:paraId="35005D15" w14:textId="77777777" w:rsidR="00D77F00" w:rsidRPr="00D77F00" w:rsidRDefault="00D77F00" w:rsidP="00D77F00">
      <w:pPr>
        <w:spacing w:line="360" w:lineRule="auto"/>
        <w:jc w:val="both"/>
        <w:rPr>
          <w:b/>
          <w:bCs/>
          <w:lang w:val="es-DO"/>
        </w:rPr>
      </w:pPr>
      <w:r w:rsidRPr="00D77F00">
        <w:rPr>
          <w:b/>
          <w:bCs/>
          <w:lang w:val="es-DO"/>
        </w:rPr>
        <w:t>Fortalecimiento de los valores éticos institucionales</w:t>
      </w:r>
    </w:p>
    <w:p w14:paraId="69FFADCB" w14:textId="74BBFF56"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Para el año 2023, la superintendencia desarrolló un conjunto de actividades a fin de impactar positivamente a toda la institución afianzando los valores éticos alineados a la visión y misión organizacional.</w:t>
      </w:r>
    </w:p>
    <w:p w14:paraId="10BB234F" w14:textId="77777777" w:rsidR="00D77F00" w:rsidRPr="00A1453A" w:rsidRDefault="00D77F00" w:rsidP="00D77F00">
      <w:pPr>
        <w:spacing w:line="360" w:lineRule="auto"/>
        <w:jc w:val="both"/>
        <w:rPr>
          <w:b/>
          <w:bCs/>
          <w:lang w:val="es-DO"/>
        </w:rPr>
      </w:pPr>
      <w:r w:rsidRPr="00A1453A">
        <w:rPr>
          <w:b/>
          <w:bCs/>
          <w:lang w:val="es-DO"/>
        </w:rPr>
        <w:t>Acercamiento al Usuario (Fase III)</w:t>
      </w:r>
    </w:p>
    <w:p w14:paraId="76464A03" w14:textId="6028ED33" w:rsid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Durante todo el periodo, la SB realizó una enérgica estrategia de comunicación a fin de lograr la inclusión de nuevos usuarios de los servicios financieros al sistema financiero nacional a través de la cuenta básica, aumentando el uso de la “Banca en Línea”.</w:t>
      </w:r>
    </w:p>
    <w:p w14:paraId="53583DE1" w14:textId="77777777" w:rsidR="001A74DD" w:rsidRPr="00D77F00" w:rsidRDefault="001A74DD" w:rsidP="001A74DD">
      <w:pPr>
        <w:pStyle w:val="Prrafodelista"/>
        <w:spacing w:line="360" w:lineRule="auto"/>
        <w:jc w:val="both"/>
        <w:rPr>
          <w:rFonts w:ascii="Times New Roman" w:eastAsiaTheme="minorHAnsi" w:hAnsi="Times New Roman"/>
          <w:color w:val="767171"/>
          <w:spacing w:val="20"/>
          <w:sz w:val="24"/>
          <w:szCs w:val="24"/>
        </w:rPr>
      </w:pPr>
    </w:p>
    <w:p w14:paraId="01925DC3" w14:textId="77777777" w:rsidR="00D77F00" w:rsidRPr="00A1453A" w:rsidRDefault="00D77F00" w:rsidP="00D77F00">
      <w:pPr>
        <w:spacing w:line="360" w:lineRule="auto"/>
        <w:jc w:val="both"/>
        <w:rPr>
          <w:b/>
          <w:bCs/>
          <w:lang w:val="es-DO"/>
        </w:rPr>
      </w:pPr>
      <w:r w:rsidRPr="00A1453A">
        <w:rPr>
          <w:b/>
          <w:bCs/>
          <w:lang w:val="es-DO"/>
        </w:rPr>
        <w:lastRenderedPageBreak/>
        <w:t>Interoperabilidad Consultoría jurídica de la SB – Dirección Nacional de Registro de Títulos</w:t>
      </w:r>
    </w:p>
    <w:p w14:paraId="6723C14D" w14:textId="275CFCA7"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Con el objetivo de reducir la burocracia, aportar valor a los procesos y, coadyuvando a los ciudadanos para que disfruten de servicios más eficientes y ágiles; durante el año 2023, la Superintendencia de Bancos realizó un conjunto de acciones dentro del marco del proyecto de interoperabilidad, junto a la Dirección Nacional de Registro de Títulos, dando como resultado un convenio para la digitalización de dos (2) de los trámites más recurrentes reduciendo los tiempos en las respuestas a las solicitudes correspondientes.</w:t>
      </w:r>
    </w:p>
    <w:p w14:paraId="61BBA168" w14:textId="77777777" w:rsidR="00D77F00" w:rsidRPr="00D77F00" w:rsidRDefault="00D77F00" w:rsidP="00D77F00">
      <w:pPr>
        <w:spacing w:line="360" w:lineRule="auto"/>
        <w:jc w:val="both"/>
        <w:rPr>
          <w:b/>
          <w:bCs/>
        </w:rPr>
      </w:pPr>
      <w:r w:rsidRPr="00D77F00">
        <w:rPr>
          <w:b/>
          <w:bCs/>
        </w:rPr>
        <w:t xml:space="preserve">Agenda </w:t>
      </w:r>
      <w:proofErr w:type="spellStart"/>
      <w:r w:rsidRPr="00D77F00">
        <w:rPr>
          <w:b/>
          <w:bCs/>
        </w:rPr>
        <w:t>Académica</w:t>
      </w:r>
      <w:proofErr w:type="spellEnd"/>
      <w:r w:rsidRPr="00D77F00">
        <w:rPr>
          <w:b/>
          <w:bCs/>
        </w:rPr>
        <w:t xml:space="preserve"> de </w:t>
      </w:r>
      <w:proofErr w:type="spellStart"/>
      <w:r w:rsidRPr="00D77F00">
        <w:rPr>
          <w:b/>
          <w:bCs/>
        </w:rPr>
        <w:t>Consultoría</w:t>
      </w:r>
      <w:proofErr w:type="spellEnd"/>
      <w:r w:rsidRPr="00D77F00">
        <w:rPr>
          <w:b/>
          <w:bCs/>
        </w:rPr>
        <w:t xml:space="preserve"> </w:t>
      </w:r>
      <w:proofErr w:type="spellStart"/>
      <w:r w:rsidRPr="00D77F00">
        <w:rPr>
          <w:b/>
          <w:bCs/>
        </w:rPr>
        <w:t>Jurídica</w:t>
      </w:r>
      <w:proofErr w:type="spellEnd"/>
    </w:p>
    <w:p w14:paraId="762BF070" w14:textId="2408E2E4"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La Superintendencia de Bancos realizó toda una agenda académica que fomentó el conocimiento en pro del desarrollo de la comunidad jurídica de toda la República Dominicana, mediante la promoción y organización de diversas actividades relacionadas al derecho bancario.</w:t>
      </w:r>
    </w:p>
    <w:p w14:paraId="0EB3FAD7" w14:textId="77777777" w:rsidR="00D77F00" w:rsidRPr="00D77F00" w:rsidRDefault="00D77F00" w:rsidP="00D77F00">
      <w:pPr>
        <w:spacing w:line="360" w:lineRule="auto"/>
        <w:jc w:val="both"/>
        <w:rPr>
          <w:b/>
          <w:bCs/>
        </w:rPr>
      </w:pPr>
      <w:r w:rsidRPr="00D77F00">
        <w:rPr>
          <w:b/>
          <w:bCs/>
        </w:rPr>
        <w:t xml:space="preserve">Ley de Embargo </w:t>
      </w:r>
      <w:proofErr w:type="spellStart"/>
      <w:r w:rsidRPr="00D77F00">
        <w:rPr>
          <w:b/>
          <w:bCs/>
        </w:rPr>
        <w:t>Retentivo</w:t>
      </w:r>
      <w:proofErr w:type="spellEnd"/>
    </w:p>
    <w:p w14:paraId="29AAD137" w14:textId="6A08C16F"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En el año 2023, la institución elabora un proyecto de ley que permitirá reformar el procedimiento de embargo retentivo, mejorando el posicionamiento de la reputación institucional impactando positivamente en la sociedad.</w:t>
      </w:r>
    </w:p>
    <w:p w14:paraId="1928ECEC" w14:textId="77777777" w:rsidR="00D77F00" w:rsidRPr="00A1453A" w:rsidRDefault="00D77F00" w:rsidP="00D77F00">
      <w:pPr>
        <w:spacing w:line="360" w:lineRule="auto"/>
        <w:jc w:val="both"/>
        <w:rPr>
          <w:b/>
          <w:bCs/>
          <w:lang w:val="es-DO"/>
        </w:rPr>
      </w:pPr>
      <w:r w:rsidRPr="00A1453A">
        <w:rPr>
          <w:b/>
          <w:bCs/>
          <w:lang w:val="es-DO"/>
        </w:rPr>
        <w:t>Inclusión Financiera para América Latina y el Caribe (FILAC-2023)</w:t>
      </w:r>
    </w:p>
    <w:p w14:paraId="5215C737" w14:textId="01F22AE8"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 xml:space="preserve">La Superintendencia de Bancos celebró en el 2023, el evento “Inclusión Financiera para América Latina y el Caribe (FILAC-2023)”, afianzando las acciones de cooperación con entidades </w:t>
      </w:r>
      <w:r w:rsidRPr="00D77F00">
        <w:rPr>
          <w:rFonts w:ascii="Times New Roman" w:eastAsiaTheme="minorHAnsi" w:hAnsi="Times New Roman"/>
          <w:color w:val="767171"/>
          <w:spacing w:val="20"/>
          <w:sz w:val="24"/>
          <w:szCs w:val="24"/>
        </w:rPr>
        <w:lastRenderedPageBreak/>
        <w:t>locales e internacionales; así como, la sinergia que potencie el accionar institucional. Se contemplaron estrategias de comunicación que consolidaron la imagen de la institución en términos de credibilidad, confianza y visibilidad; alineados a la misión de ser un referente nacional e internacional.</w:t>
      </w:r>
    </w:p>
    <w:p w14:paraId="28886CA3" w14:textId="77777777" w:rsidR="00D77F00" w:rsidRPr="00D77F00" w:rsidRDefault="00D77F00" w:rsidP="00D77F00">
      <w:pPr>
        <w:spacing w:line="360" w:lineRule="auto"/>
        <w:jc w:val="both"/>
        <w:rPr>
          <w:b/>
          <w:bCs/>
        </w:rPr>
      </w:pPr>
      <w:r w:rsidRPr="00D77F00">
        <w:rPr>
          <w:b/>
          <w:bCs/>
        </w:rPr>
        <w:t>Open Banking – Fase II</w:t>
      </w:r>
    </w:p>
    <w:p w14:paraId="14BC7306" w14:textId="7CBED34D"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Este proyecto realizado</w:t>
      </w:r>
      <w:r w:rsidR="00756931">
        <w:rPr>
          <w:rFonts w:ascii="Times New Roman" w:eastAsiaTheme="minorHAnsi" w:hAnsi="Times New Roman"/>
          <w:color w:val="767171"/>
          <w:spacing w:val="20"/>
          <w:sz w:val="24"/>
          <w:szCs w:val="24"/>
        </w:rPr>
        <w:t>,</w:t>
      </w:r>
      <w:r w:rsidRPr="00D77F00">
        <w:rPr>
          <w:rFonts w:ascii="Times New Roman" w:eastAsiaTheme="minorHAnsi" w:hAnsi="Times New Roman"/>
          <w:color w:val="767171"/>
          <w:spacing w:val="20"/>
          <w:sz w:val="24"/>
          <w:szCs w:val="24"/>
        </w:rPr>
        <w:t xml:space="preserve"> en el presente año</w:t>
      </w:r>
      <w:r>
        <w:rPr>
          <w:rFonts w:ascii="Times New Roman" w:eastAsiaTheme="minorHAnsi" w:hAnsi="Times New Roman"/>
          <w:color w:val="767171"/>
          <w:spacing w:val="20"/>
          <w:sz w:val="24"/>
          <w:szCs w:val="24"/>
        </w:rPr>
        <w:t>,</w:t>
      </w:r>
      <w:r w:rsidRPr="00D77F00">
        <w:rPr>
          <w:rFonts w:ascii="Times New Roman" w:eastAsiaTheme="minorHAnsi" w:hAnsi="Times New Roman"/>
          <w:color w:val="767171"/>
          <w:spacing w:val="20"/>
          <w:sz w:val="24"/>
          <w:szCs w:val="24"/>
        </w:rPr>
        <w:t xml:space="preserve"> comprendió una serie de ejercicios y acciones orientadas a mejorar la oferta de servicios financieros, realineando en mejor manera las soluciones que se ofrecen con las necesidades de los usuarios.</w:t>
      </w:r>
    </w:p>
    <w:p w14:paraId="1C955D70" w14:textId="77777777" w:rsidR="00D77F00" w:rsidRPr="00D77F00" w:rsidRDefault="00D77F00" w:rsidP="00D77F00">
      <w:pPr>
        <w:spacing w:line="360" w:lineRule="auto"/>
        <w:jc w:val="both"/>
        <w:rPr>
          <w:b/>
          <w:bCs/>
        </w:rPr>
      </w:pPr>
      <w:proofErr w:type="spellStart"/>
      <w:r w:rsidRPr="00D77F00">
        <w:rPr>
          <w:b/>
          <w:bCs/>
        </w:rPr>
        <w:t>Sellos</w:t>
      </w:r>
      <w:proofErr w:type="spellEnd"/>
      <w:r w:rsidRPr="00D77F00">
        <w:rPr>
          <w:b/>
          <w:bCs/>
        </w:rPr>
        <w:t xml:space="preserve"> de </w:t>
      </w:r>
      <w:proofErr w:type="spellStart"/>
      <w:r w:rsidRPr="00D77F00">
        <w:rPr>
          <w:b/>
          <w:bCs/>
        </w:rPr>
        <w:t>Subagentes</w:t>
      </w:r>
      <w:proofErr w:type="spellEnd"/>
      <w:r w:rsidRPr="00D77F00">
        <w:rPr>
          <w:b/>
          <w:bCs/>
        </w:rPr>
        <w:t xml:space="preserve"> </w:t>
      </w:r>
      <w:proofErr w:type="spellStart"/>
      <w:r w:rsidRPr="00D77F00">
        <w:rPr>
          <w:b/>
          <w:bCs/>
        </w:rPr>
        <w:t>Bancarios</w:t>
      </w:r>
      <w:proofErr w:type="spellEnd"/>
    </w:p>
    <w:p w14:paraId="292E4444" w14:textId="4994EF8D"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Honrando la misión institucional, que establece la realización de distintas acciones orientadas a eliminar las operaciones fraudulentas del sistema financiero por parte de agentes económicos que no cuenten con la autorización establecida por las normativas vigentes, la Superintendencia de Bancos desarrolló e implementó un sello de identificación de subagentes bancarios regulados, llevando seguridad y confianza a todos los usuarios al momento de realizar sus transacciones.</w:t>
      </w:r>
    </w:p>
    <w:p w14:paraId="6EFDAF7B" w14:textId="77777777" w:rsidR="00D77F00" w:rsidRPr="00A1453A" w:rsidRDefault="00D77F00" w:rsidP="00D77F00">
      <w:pPr>
        <w:spacing w:line="360" w:lineRule="auto"/>
        <w:jc w:val="both"/>
        <w:rPr>
          <w:b/>
          <w:bCs/>
          <w:lang w:val="es-DO"/>
        </w:rPr>
      </w:pPr>
      <w:r w:rsidRPr="00A1453A">
        <w:rPr>
          <w:b/>
          <w:bCs/>
          <w:lang w:val="es-DO"/>
        </w:rPr>
        <w:t>Implementación del Manual de Requerimientos de Información (MRI)</w:t>
      </w:r>
    </w:p>
    <w:p w14:paraId="1541E62A" w14:textId="1FB95664"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 xml:space="preserve">Gracias a la implementación del Manual de Requerimientos de Información (MRI), la SB desarrolló y monitoreó un conjunto de mejoras en su sistema institucional, permitiendo agregar valor a las informaciones que se manejan acorde a la complejidad y dinámica del mercado; para posteriormente ser </w:t>
      </w:r>
      <w:r w:rsidRPr="00D77F00">
        <w:rPr>
          <w:rFonts w:ascii="Times New Roman" w:eastAsiaTheme="minorHAnsi" w:hAnsi="Times New Roman"/>
          <w:color w:val="767171"/>
          <w:spacing w:val="20"/>
          <w:sz w:val="24"/>
          <w:szCs w:val="24"/>
        </w:rPr>
        <w:lastRenderedPageBreak/>
        <w:t>puestas a disposición de todas las entidades vinculadas. Además, como respuesta a la ejecución de mejores prácticas internacionales de supervisión bancaria, se facilita la planificación estratégica y la gestión del riesgo y negocios en las entidades supervisadas.</w:t>
      </w:r>
    </w:p>
    <w:p w14:paraId="1C27A311" w14:textId="77777777" w:rsidR="00D77F00" w:rsidRPr="00D77F00" w:rsidRDefault="00D77F00" w:rsidP="00D77F00">
      <w:pPr>
        <w:spacing w:line="360" w:lineRule="auto"/>
        <w:jc w:val="both"/>
        <w:rPr>
          <w:b/>
          <w:bCs/>
        </w:rPr>
      </w:pPr>
      <w:proofErr w:type="spellStart"/>
      <w:r w:rsidRPr="00D77F00">
        <w:rPr>
          <w:b/>
          <w:bCs/>
        </w:rPr>
        <w:t>Readecuación</w:t>
      </w:r>
      <w:proofErr w:type="spellEnd"/>
      <w:r w:rsidRPr="00D77F00">
        <w:rPr>
          <w:b/>
          <w:bCs/>
        </w:rPr>
        <w:t xml:space="preserve"> de </w:t>
      </w:r>
      <w:proofErr w:type="spellStart"/>
      <w:r w:rsidRPr="00D77F00">
        <w:rPr>
          <w:b/>
          <w:bCs/>
        </w:rPr>
        <w:t>los</w:t>
      </w:r>
      <w:proofErr w:type="spellEnd"/>
      <w:r w:rsidRPr="00D77F00">
        <w:rPr>
          <w:b/>
          <w:bCs/>
        </w:rPr>
        <w:t xml:space="preserve"> </w:t>
      </w:r>
      <w:proofErr w:type="spellStart"/>
      <w:r w:rsidRPr="00D77F00">
        <w:rPr>
          <w:b/>
          <w:bCs/>
        </w:rPr>
        <w:t>espacios</w:t>
      </w:r>
      <w:proofErr w:type="spellEnd"/>
      <w:r w:rsidRPr="00D77F00">
        <w:rPr>
          <w:b/>
          <w:bCs/>
        </w:rPr>
        <w:t xml:space="preserve"> </w:t>
      </w:r>
      <w:proofErr w:type="spellStart"/>
      <w:r w:rsidRPr="00D77F00">
        <w:rPr>
          <w:b/>
          <w:bCs/>
        </w:rPr>
        <w:t>institucionales</w:t>
      </w:r>
      <w:proofErr w:type="spellEnd"/>
    </w:p>
    <w:p w14:paraId="37A7736E" w14:textId="3EC30BA9"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Con el firme objetivo de hacer las oficinas de la SB, espacios institucionales inclusivos, eficientes y seguros; para el periodo que nos corresponde, la institución ha adquirido un sistema contra incendios para su cede, acorde a las buenas prácticas establecidas en las normas internacionales y en virtud de las especificaciones detalladas en el reglamento para la seguridad y protección contra incendios. Además, se redistribuyeron espacios, reforzaron estructuras de las edificaciones y readecuaron los sistemas eléctricos y de iluminación, para la comodidad de los servidores y usuarios de la SB. Cabe destacar la readecuación de las oficinas de Prousuario, IFIL y supervisión con miras a responder asertivamente a las necesidades actuales.</w:t>
      </w:r>
    </w:p>
    <w:p w14:paraId="2E041BE7" w14:textId="77777777" w:rsidR="00D77F00" w:rsidRPr="00A1453A" w:rsidRDefault="00D77F00" w:rsidP="00D77F00">
      <w:pPr>
        <w:spacing w:line="360" w:lineRule="auto"/>
        <w:jc w:val="both"/>
        <w:rPr>
          <w:b/>
          <w:bCs/>
          <w:lang w:val="es-DO"/>
        </w:rPr>
      </w:pPr>
      <w:r w:rsidRPr="00A1453A">
        <w:rPr>
          <w:b/>
          <w:bCs/>
          <w:lang w:val="es-DO"/>
        </w:rPr>
        <w:t>Certificación del Programa de Seguridad y Salud en el Trabajo</w:t>
      </w:r>
    </w:p>
    <w:p w14:paraId="59C4514C" w14:textId="40669CAD" w:rsidR="008279C2" w:rsidRPr="001A74DD" w:rsidRDefault="00D77F00" w:rsidP="008279C2">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La Superintendencia de Bancos ha logrado la Certificación del Programa de Seguridad y Salud en el trabajo, el cual permite regular las condiciones en las que se desarrollan las actividades misionales y de apoyo en la institución, de cara a la prevención de accidentes y la prevención de los daños a la salud que sean consecuentes del trabajo. Este logro permite indudablemente, reducir al mínimo las causas de los riesgos inherentes al medio ambiente laboral.</w:t>
      </w:r>
    </w:p>
    <w:p w14:paraId="52F88C24" w14:textId="77777777" w:rsidR="00D77F00" w:rsidRPr="00A1453A" w:rsidRDefault="00D77F00" w:rsidP="00D77F00">
      <w:pPr>
        <w:spacing w:line="360" w:lineRule="auto"/>
        <w:jc w:val="both"/>
        <w:rPr>
          <w:b/>
          <w:bCs/>
          <w:lang w:val="es-DO"/>
        </w:rPr>
      </w:pPr>
      <w:r w:rsidRPr="00A1453A">
        <w:rPr>
          <w:b/>
          <w:bCs/>
          <w:lang w:val="es-DO"/>
        </w:rPr>
        <w:lastRenderedPageBreak/>
        <w:t>WhatsApp como herramienta de atención al cliente</w:t>
      </w:r>
    </w:p>
    <w:p w14:paraId="2425313F" w14:textId="088E4246"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De cara a los nuevos tiempos y asumiendo la modernidad e innovación como pilares dentro del plan de trabajo institucional, la SB implementa la aplicación tecnológica “WhatsApp” como canal de atención a los usuarios y, de documentos requeridos para la creación de solicitudes en los servicios ofrecidos en Prousuario; siendo esta herramienta una de las aplicaciones de mensajería más populares y preferidas entre los internautas de entre 16 y 64 años. Este gran paso permite a la institución aumentar y facilitar las vías disponibles para la creación de casos en las distintas oficinas de servicios y protección al usuario.</w:t>
      </w:r>
    </w:p>
    <w:p w14:paraId="41DF1481" w14:textId="77777777" w:rsidR="00D77F00" w:rsidRPr="00A1453A" w:rsidRDefault="00D77F00" w:rsidP="00D77F00">
      <w:pPr>
        <w:spacing w:line="360" w:lineRule="auto"/>
        <w:jc w:val="both"/>
        <w:rPr>
          <w:b/>
          <w:bCs/>
          <w:lang w:val="es-DO"/>
        </w:rPr>
      </w:pPr>
      <w:r w:rsidRPr="00A1453A">
        <w:rPr>
          <w:b/>
          <w:bCs/>
          <w:lang w:val="es-DO"/>
        </w:rPr>
        <w:t>Sistema de Monitoreo de Calidad de Procesos Internos</w:t>
      </w:r>
    </w:p>
    <w:p w14:paraId="262271CE" w14:textId="5ACF7808"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La SB diseñó, durante el año 2023, indicadores y métricas de eficiencia para las diferentes áreas de la Oficina de Protección al Usuario, así como, herramientas de visualización y autoservicio. Este sistema implementado permitirá diagnosticar y aprovechar el conocimiento generado a la hora de tomar decisiones; tales como, asignación de recursos en base a las necesidades identificadas, mejoras en los procesos institucionales, invocar sanciones a las entidades del sistema financiero, entre otras situaciones de valor.</w:t>
      </w:r>
    </w:p>
    <w:p w14:paraId="1274B69E" w14:textId="77777777" w:rsidR="00D77F00" w:rsidRPr="00A1453A" w:rsidRDefault="00D77F00" w:rsidP="00D77F00">
      <w:pPr>
        <w:spacing w:line="360" w:lineRule="auto"/>
        <w:jc w:val="both"/>
        <w:rPr>
          <w:b/>
          <w:bCs/>
          <w:lang w:val="es-DO"/>
        </w:rPr>
      </w:pPr>
      <w:r w:rsidRPr="00A1453A">
        <w:rPr>
          <w:b/>
          <w:bCs/>
          <w:lang w:val="es-DO"/>
        </w:rPr>
        <w:t>Certificado digital de las Entidades de Intermediación Financiera (EIF) y Entidades Cambiaria (EC)</w:t>
      </w:r>
    </w:p>
    <w:p w14:paraId="228E8984" w14:textId="0A5451BD"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 xml:space="preserve">Dentro del marco de soluciones que la institución abordó para solucionar la ausencia de documentación por parte de algunas entidades que evidencie el registro en la SB; en este 2023, a través de numerosas acciones, se logró desarrollar un </w:t>
      </w:r>
      <w:r w:rsidRPr="00D77F00">
        <w:rPr>
          <w:rFonts w:ascii="Times New Roman" w:eastAsiaTheme="minorHAnsi" w:hAnsi="Times New Roman"/>
          <w:color w:val="767171"/>
          <w:spacing w:val="20"/>
          <w:sz w:val="24"/>
          <w:szCs w:val="24"/>
        </w:rPr>
        <w:lastRenderedPageBreak/>
        <w:t>certificado digital como una solución para estas Entidades de Intermediación Financiera (EIF) y Entidades Cambiaria (EC).</w:t>
      </w:r>
    </w:p>
    <w:p w14:paraId="513E56AF" w14:textId="77777777" w:rsidR="00D77F00" w:rsidRPr="00D77F00" w:rsidRDefault="00D77F00" w:rsidP="00D77F00">
      <w:pPr>
        <w:spacing w:line="360" w:lineRule="auto"/>
        <w:jc w:val="both"/>
        <w:rPr>
          <w:b/>
          <w:bCs/>
        </w:rPr>
      </w:pPr>
      <w:r w:rsidRPr="00D77F00">
        <w:rPr>
          <w:b/>
          <w:bCs/>
        </w:rPr>
        <w:t>Dashboard “</w:t>
      </w:r>
      <w:proofErr w:type="spellStart"/>
      <w:r w:rsidRPr="00D77F00">
        <w:rPr>
          <w:b/>
          <w:bCs/>
        </w:rPr>
        <w:t>Sanciones</w:t>
      </w:r>
      <w:proofErr w:type="spellEnd"/>
      <w:r w:rsidRPr="00D77F00">
        <w:rPr>
          <w:b/>
          <w:bCs/>
        </w:rPr>
        <w:t>”</w:t>
      </w:r>
    </w:p>
    <w:p w14:paraId="5F904739" w14:textId="668BBF43" w:rsidR="00D77F00" w:rsidRPr="00D77F00" w:rsidRDefault="00D77F00" w:rsidP="00D77F00">
      <w:pPr>
        <w:pStyle w:val="Prrafodelista"/>
        <w:numPr>
          <w:ilvl w:val="0"/>
          <w:numId w:val="29"/>
        </w:numPr>
        <w:spacing w:line="360" w:lineRule="auto"/>
        <w:jc w:val="both"/>
        <w:rPr>
          <w:rFonts w:ascii="Times New Roman" w:eastAsiaTheme="minorHAnsi" w:hAnsi="Times New Roman"/>
          <w:color w:val="767171"/>
          <w:spacing w:val="20"/>
          <w:sz w:val="24"/>
          <w:szCs w:val="24"/>
        </w:rPr>
      </w:pPr>
      <w:r w:rsidRPr="00D77F00">
        <w:rPr>
          <w:rFonts w:ascii="Times New Roman" w:eastAsiaTheme="minorHAnsi" w:hAnsi="Times New Roman"/>
          <w:color w:val="767171"/>
          <w:spacing w:val="20"/>
          <w:sz w:val="24"/>
          <w:szCs w:val="24"/>
        </w:rPr>
        <w:t>La SB ha implementado un sistema de visualización de los datos e información histórica relativa a las sanciones impuestas y los procedimientos realizados; a fin de garantizar la accesibilidad para los supervisores en atención a la necesidad de estas antes mencionadas, al representar un criterio de valor para la determinación de riesgo a nivel de las entidades.</w:t>
      </w:r>
    </w:p>
    <w:p w14:paraId="3D0932C5" w14:textId="77777777" w:rsidR="00D77F00" w:rsidRPr="00D77F00" w:rsidRDefault="00D77F00" w:rsidP="00D77F00">
      <w:pPr>
        <w:spacing w:line="360" w:lineRule="auto"/>
        <w:jc w:val="both"/>
        <w:rPr>
          <w:b/>
          <w:bCs/>
        </w:rPr>
      </w:pPr>
      <w:r w:rsidRPr="00D77F00">
        <w:rPr>
          <w:b/>
          <w:bCs/>
        </w:rPr>
        <w:t xml:space="preserve">Unidad de </w:t>
      </w:r>
      <w:proofErr w:type="spellStart"/>
      <w:r w:rsidRPr="00D77F00">
        <w:rPr>
          <w:b/>
          <w:bCs/>
        </w:rPr>
        <w:t>Supervisión</w:t>
      </w:r>
      <w:proofErr w:type="spellEnd"/>
      <w:r w:rsidRPr="00D77F00">
        <w:rPr>
          <w:b/>
          <w:bCs/>
        </w:rPr>
        <w:t xml:space="preserve"> de </w:t>
      </w:r>
      <w:proofErr w:type="spellStart"/>
      <w:r w:rsidRPr="00D77F00">
        <w:rPr>
          <w:b/>
          <w:bCs/>
        </w:rPr>
        <w:t>Fiduciarias</w:t>
      </w:r>
      <w:proofErr w:type="spellEnd"/>
    </w:p>
    <w:p w14:paraId="512CF781" w14:textId="11B2CAEE" w:rsidR="004022BD" w:rsidRPr="00257D15" w:rsidRDefault="00D77F00" w:rsidP="008535D6">
      <w:pPr>
        <w:pStyle w:val="Prrafodelista"/>
        <w:numPr>
          <w:ilvl w:val="0"/>
          <w:numId w:val="29"/>
        </w:numPr>
        <w:spacing w:line="360" w:lineRule="auto"/>
        <w:jc w:val="both"/>
        <w:rPr>
          <w:rFonts w:eastAsiaTheme="minorHAnsi"/>
        </w:rPr>
      </w:pPr>
      <w:r w:rsidRPr="00257D15">
        <w:rPr>
          <w:rFonts w:ascii="Times New Roman" w:eastAsiaTheme="minorHAnsi" w:hAnsi="Times New Roman"/>
          <w:color w:val="767171"/>
          <w:spacing w:val="20"/>
          <w:sz w:val="24"/>
          <w:szCs w:val="24"/>
        </w:rPr>
        <w:t>Para el 2023, la Superintendencia de Bancos realizó cuantiosas acciones para desarrollar e implementar procesos de supervisión a todos los niveles; siendo válido destacar la Unidad de Supervisión de las Fiduciarias. Actualmente, la SB cuenta bajo su jurisdicción con diecinueve (19) entidades fiduciarias</w:t>
      </w:r>
      <w:r w:rsidR="00257D15">
        <w:rPr>
          <w:rFonts w:ascii="Times New Roman" w:eastAsiaTheme="minorHAnsi" w:hAnsi="Times New Roman"/>
          <w:color w:val="767171"/>
          <w:spacing w:val="20"/>
          <w:sz w:val="24"/>
          <w:szCs w:val="24"/>
        </w:rPr>
        <w:t xml:space="preserve"> y</w:t>
      </w:r>
      <w:r w:rsidRPr="00257D15">
        <w:rPr>
          <w:rFonts w:ascii="Times New Roman" w:eastAsiaTheme="minorHAnsi" w:hAnsi="Times New Roman"/>
          <w:color w:val="767171"/>
          <w:spacing w:val="20"/>
          <w:sz w:val="24"/>
          <w:szCs w:val="24"/>
        </w:rPr>
        <w:t xml:space="preserve"> tres (3) agentes de garantía</w:t>
      </w:r>
      <w:r w:rsidR="00257D15">
        <w:rPr>
          <w:rFonts w:ascii="Times New Roman" w:eastAsiaTheme="minorHAnsi" w:hAnsi="Times New Roman"/>
          <w:color w:val="767171"/>
          <w:spacing w:val="20"/>
          <w:sz w:val="24"/>
          <w:szCs w:val="24"/>
        </w:rPr>
        <w:t>.</w:t>
      </w:r>
    </w:p>
    <w:p w14:paraId="736C9A89" w14:textId="77777777" w:rsidR="004022BD" w:rsidRPr="00D77F00" w:rsidRDefault="004022BD" w:rsidP="000C7BBE">
      <w:pPr>
        <w:spacing w:line="360" w:lineRule="auto"/>
        <w:jc w:val="both"/>
        <w:rPr>
          <w:lang w:val="es-DO"/>
        </w:rPr>
      </w:pPr>
    </w:p>
    <w:p w14:paraId="484F6E5C" w14:textId="77777777" w:rsidR="00BB6026" w:rsidRDefault="00BB6026" w:rsidP="000C7BBE">
      <w:pPr>
        <w:spacing w:line="360" w:lineRule="auto"/>
        <w:jc w:val="both"/>
        <w:rPr>
          <w:rFonts w:eastAsia="Calibri"/>
          <w:lang w:val="es-DO"/>
        </w:rPr>
      </w:pPr>
    </w:p>
    <w:p w14:paraId="29485786" w14:textId="77777777" w:rsidR="00D77F00" w:rsidRDefault="00D77F00" w:rsidP="000C7BBE">
      <w:pPr>
        <w:spacing w:line="360" w:lineRule="auto"/>
        <w:jc w:val="both"/>
        <w:rPr>
          <w:rFonts w:eastAsia="Calibri"/>
          <w:lang w:val="es-DO"/>
        </w:rPr>
      </w:pPr>
    </w:p>
    <w:p w14:paraId="31264980" w14:textId="77777777" w:rsidR="008279C2" w:rsidRDefault="008279C2" w:rsidP="000C7BBE">
      <w:pPr>
        <w:spacing w:line="360" w:lineRule="auto"/>
        <w:jc w:val="both"/>
        <w:rPr>
          <w:rFonts w:eastAsia="Calibri"/>
          <w:lang w:val="es-DO"/>
        </w:rPr>
      </w:pPr>
    </w:p>
    <w:p w14:paraId="0386E270" w14:textId="77399B35" w:rsidR="000C7BBE" w:rsidRDefault="000C7BBE" w:rsidP="006B204A">
      <w:pPr>
        <w:spacing w:line="360" w:lineRule="auto"/>
        <w:jc w:val="both"/>
        <w:rPr>
          <w:rFonts w:eastAsia="Calibri"/>
          <w:lang w:val="es-DO"/>
        </w:rPr>
      </w:pPr>
      <w:r w:rsidRPr="00292E97">
        <w:rPr>
          <w:rFonts w:eastAsia="Calibri"/>
          <w:lang w:val="es-DO"/>
        </w:rPr>
        <w:t xml:space="preserve"> </w:t>
      </w:r>
    </w:p>
    <w:p w14:paraId="562F59FE" w14:textId="77777777" w:rsidR="00274E67" w:rsidRDefault="00274E67" w:rsidP="006B204A">
      <w:pPr>
        <w:spacing w:line="360" w:lineRule="auto"/>
        <w:jc w:val="both"/>
        <w:rPr>
          <w:rFonts w:eastAsia="Calibri"/>
          <w:lang w:val="es-DO"/>
        </w:rPr>
      </w:pPr>
    </w:p>
    <w:p w14:paraId="70EB8021" w14:textId="77777777" w:rsidR="00D2772F" w:rsidRDefault="00D2772F" w:rsidP="006B204A">
      <w:pPr>
        <w:spacing w:line="360" w:lineRule="auto"/>
        <w:jc w:val="both"/>
        <w:rPr>
          <w:rFonts w:eastAsia="Calibri"/>
          <w:lang w:val="es-DO"/>
        </w:rPr>
      </w:pPr>
    </w:p>
    <w:p w14:paraId="40883719" w14:textId="77777777" w:rsidR="00274E67" w:rsidRPr="00C865B6" w:rsidRDefault="00274E67" w:rsidP="006B204A">
      <w:pPr>
        <w:spacing w:line="360" w:lineRule="auto"/>
        <w:jc w:val="both"/>
        <w:rPr>
          <w:rFonts w:eastAsia="Calibri"/>
          <w:lang w:val="es-DO"/>
        </w:rPr>
      </w:pPr>
    </w:p>
    <w:p w14:paraId="585959C8" w14:textId="17D5B00D" w:rsidR="00E52ED4" w:rsidRPr="00C865B6" w:rsidRDefault="00E52ED4" w:rsidP="006B204A">
      <w:pPr>
        <w:pStyle w:val="Ttulo1"/>
        <w:rPr>
          <w:rStyle w:val="EstiloTItulosMemoriasCar"/>
          <w:rFonts w:eastAsia="Calibri" w:cs="Times New Roman"/>
        </w:rPr>
      </w:pPr>
      <w:bookmarkStart w:id="6" w:name="_Toc123046907"/>
      <w:bookmarkStart w:id="7" w:name="_Toc155354599"/>
      <w:bookmarkEnd w:id="2"/>
      <w:r w:rsidRPr="00C865B6">
        <w:rPr>
          <w:rStyle w:val="EstiloTItulosMemoriasCar"/>
          <w:rFonts w:eastAsia="Calibri" w:cs="Times New Roman"/>
        </w:rPr>
        <w:lastRenderedPageBreak/>
        <w:t>II. INFORMACIÓN</w:t>
      </w:r>
      <w:bookmarkStart w:id="8" w:name="_Toc122435002"/>
      <w:r w:rsidRPr="00C865B6">
        <w:rPr>
          <w:rStyle w:val="EstiloTItulosMemoriasCar"/>
          <w:rFonts w:eastAsia="Calibri" w:cs="Times New Roman"/>
        </w:rPr>
        <w:t xml:space="preserve"> INSTITUCIONAL</w:t>
      </w:r>
      <w:bookmarkEnd w:id="6"/>
      <w:bookmarkEnd w:id="7"/>
      <w:bookmarkEnd w:id="8"/>
    </w:p>
    <w:p w14:paraId="45555073" w14:textId="7BCF8F01" w:rsidR="00561674" w:rsidRPr="00C865B6" w:rsidRDefault="00561674" w:rsidP="006B204A">
      <w:pPr>
        <w:spacing w:line="360" w:lineRule="auto"/>
        <w:jc w:val="both"/>
        <w:rPr>
          <w:i/>
          <w:lang w:val="es-DO"/>
        </w:rPr>
      </w:pPr>
      <w:r w:rsidRPr="00C865B6">
        <w:rPr>
          <w:noProof/>
          <w:lang w:eastAsia="es-ES"/>
        </w:rPr>
        <mc:AlternateContent>
          <mc:Choice Requires="wps">
            <w:drawing>
              <wp:anchor distT="0" distB="0" distL="114300" distR="114300" simplePos="0" relativeHeight="251658251" behindDoc="0" locked="0" layoutInCell="1" allowOverlap="1" wp14:anchorId="211B999C" wp14:editId="779D5E01">
                <wp:simplePos x="0" y="0"/>
                <wp:positionH relativeFrom="margin">
                  <wp:align>center</wp:align>
                </wp:positionH>
                <wp:positionV relativeFrom="paragraph">
                  <wp:posOffset>102235</wp:posOffset>
                </wp:positionV>
                <wp:extent cx="463550" cy="0"/>
                <wp:effectExtent l="0" t="19050" r="31750" b="19050"/>
                <wp:wrapNone/>
                <wp:docPr id="19"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F67A488" id="Conector recto 19" o:spid="_x0000_s1026" style="position:absolute;z-index:25165825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8.05pt" to="36.5pt,8.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" strokecolor="#ee2a24" strokeweight="2.25pt">
                <v:stroke joinstyle="miter"/>
                <w10:wrap anchorx="margin"/>
              </v:line>
            </w:pict>
          </mc:Fallback>
        </mc:AlternateContent>
      </w:r>
    </w:p>
    <w:p w14:paraId="3D27AECE" w14:textId="7C1AB915" w:rsidR="001830DA" w:rsidRPr="00986687" w:rsidRDefault="00120C58" w:rsidP="006B204A">
      <w:pPr>
        <w:pStyle w:val="Estilo3"/>
        <w:rPr>
          <w:rFonts w:eastAsia="Calibri"/>
          <w:b/>
          <w:szCs w:val="24"/>
        </w:rPr>
      </w:pPr>
      <w:bookmarkStart w:id="9" w:name="_Toc155354600"/>
      <w:r w:rsidRPr="00986687">
        <w:rPr>
          <w:rFonts w:eastAsia="Calibri"/>
          <w:b/>
          <w:szCs w:val="24"/>
        </w:rPr>
        <w:t xml:space="preserve">2.1 Marco </w:t>
      </w:r>
      <w:r w:rsidR="004A0040" w:rsidRPr="00986687">
        <w:rPr>
          <w:rFonts w:eastAsia="Calibri"/>
          <w:b/>
          <w:szCs w:val="24"/>
        </w:rPr>
        <w:t>f</w:t>
      </w:r>
      <w:r w:rsidRPr="00986687">
        <w:rPr>
          <w:rFonts w:eastAsia="Calibri"/>
          <w:b/>
          <w:szCs w:val="24"/>
        </w:rPr>
        <w:t xml:space="preserve">ilosófico </w:t>
      </w:r>
      <w:r w:rsidR="004A0040" w:rsidRPr="00986687">
        <w:rPr>
          <w:rFonts w:eastAsia="Calibri"/>
          <w:b/>
          <w:szCs w:val="24"/>
        </w:rPr>
        <w:t>i</w:t>
      </w:r>
      <w:r w:rsidRPr="00986687">
        <w:rPr>
          <w:rFonts w:eastAsia="Calibri"/>
          <w:b/>
          <w:szCs w:val="24"/>
        </w:rPr>
        <w:t>nstitucional</w:t>
      </w:r>
      <w:bookmarkEnd w:id="9"/>
    </w:p>
    <w:p w14:paraId="13736542" w14:textId="6612D731" w:rsidR="00E52ED4" w:rsidRPr="00E64291" w:rsidRDefault="00120C58" w:rsidP="006B204A">
      <w:pPr>
        <w:pStyle w:val="Estilo4"/>
        <w:spacing w:before="240" w:after="120"/>
        <w:ind w:left="737" w:hanging="737"/>
        <w:jc w:val="left"/>
        <w:rPr>
          <w:rFonts w:eastAsia="Times New Roman"/>
          <w:spacing w:val="20"/>
        </w:rPr>
      </w:pPr>
      <w:bookmarkStart w:id="10" w:name="_Toc155354601"/>
      <w:r w:rsidRPr="00E64291">
        <w:rPr>
          <w:spacing w:val="20"/>
        </w:rPr>
        <w:t xml:space="preserve">A. </w:t>
      </w:r>
      <w:r w:rsidR="00E52ED4" w:rsidRPr="00E64291">
        <w:rPr>
          <w:rFonts w:eastAsia="Times New Roman"/>
          <w:spacing w:val="20"/>
        </w:rPr>
        <w:t>Misión</w:t>
      </w:r>
      <w:bookmarkEnd w:id="10"/>
    </w:p>
    <w:p w14:paraId="2A76B085" w14:textId="77777777" w:rsidR="00001305" w:rsidRPr="00986687" w:rsidRDefault="00001305" w:rsidP="006B204A">
      <w:pPr>
        <w:spacing w:line="360" w:lineRule="auto"/>
        <w:jc w:val="both"/>
        <w:rPr>
          <w:lang w:val="es-DO"/>
        </w:rPr>
      </w:pPr>
      <w:r w:rsidRPr="00986687">
        <w:rPr>
          <w:lang w:val="es-DO"/>
        </w:rPr>
        <w:t>Aportar al bienestar del país, vigilando la solvencia, liquidez y gestión de las entidades y la estabilidad del sistema financiero; así como protegiendo los derechos de los usuarios de los servicios financieros.</w:t>
      </w:r>
    </w:p>
    <w:p w14:paraId="1DA66A4D" w14:textId="17682FD3" w:rsidR="00E52ED4" w:rsidRPr="00E64291" w:rsidRDefault="00120C58" w:rsidP="006B204A">
      <w:pPr>
        <w:pStyle w:val="Estilo4"/>
        <w:spacing w:before="240" w:after="120"/>
        <w:ind w:left="737" w:hanging="737"/>
        <w:jc w:val="left"/>
        <w:rPr>
          <w:spacing w:val="20"/>
        </w:rPr>
      </w:pPr>
      <w:bookmarkStart w:id="11" w:name="_Toc155354602"/>
      <w:r w:rsidRPr="00E64291">
        <w:rPr>
          <w:spacing w:val="20"/>
        </w:rPr>
        <w:t>B</w:t>
      </w:r>
      <w:r w:rsidR="00E52ED4" w:rsidRPr="00E64291">
        <w:rPr>
          <w:spacing w:val="20"/>
        </w:rPr>
        <w:t>. Visión</w:t>
      </w:r>
      <w:bookmarkEnd w:id="11"/>
      <w:r w:rsidR="008448A7" w:rsidRPr="00E64291">
        <w:rPr>
          <w:spacing w:val="20"/>
        </w:rPr>
        <w:t xml:space="preserve"> </w:t>
      </w:r>
    </w:p>
    <w:p w14:paraId="11A1601D" w14:textId="77777777" w:rsidR="00E8130F" w:rsidRPr="00986687" w:rsidRDefault="00E8130F" w:rsidP="006B204A">
      <w:pPr>
        <w:spacing w:line="360" w:lineRule="auto"/>
        <w:jc w:val="both"/>
        <w:rPr>
          <w:lang w:val="es-DO"/>
        </w:rPr>
      </w:pPr>
      <w:r w:rsidRPr="00986687">
        <w:rPr>
          <w:lang w:val="es-DO"/>
        </w:rPr>
        <w:t>Ser una institución referente nacional e internacionalmente, reconocida por la calidad de su supervisión y el acompañamiento que brinda a los usuarios de los servicios financieros, respaldada por un personal altamente calificado y la excelencia en su gestión.</w:t>
      </w:r>
    </w:p>
    <w:p w14:paraId="46022F28" w14:textId="3837B1C7" w:rsidR="00E52ED4" w:rsidRPr="00E64291" w:rsidRDefault="008D6A00" w:rsidP="006B204A">
      <w:pPr>
        <w:pStyle w:val="Estilo4"/>
        <w:spacing w:before="240" w:after="120"/>
        <w:ind w:left="737" w:hanging="737"/>
        <w:jc w:val="left"/>
        <w:rPr>
          <w:spacing w:val="20"/>
        </w:rPr>
      </w:pPr>
      <w:bookmarkStart w:id="12" w:name="_Toc155354603"/>
      <w:r w:rsidRPr="00E64291">
        <w:rPr>
          <w:spacing w:val="20"/>
        </w:rPr>
        <w:t>C</w:t>
      </w:r>
      <w:r w:rsidR="00E52ED4" w:rsidRPr="00E64291">
        <w:rPr>
          <w:spacing w:val="20"/>
        </w:rPr>
        <w:t>. Valores</w:t>
      </w:r>
      <w:bookmarkEnd w:id="12"/>
    </w:p>
    <w:p w14:paraId="5CD7E812" w14:textId="6D563801" w:rsidR="00E52ED4" w:rsidRPr="00986687" w:rsidRDefault="002559B6" w:rsidP="006B204A">
      <w:pPr>
        <w:spacing w:line="360" w:lineRule="auto"/>
        <w:jc w:val="both"/>
        <w:rPr>
          <w:lang w:val="es-DO"/>
        </w:rPr>
      </w:pPr>
      <w:r w:rsidRPr="00986687">
        <w:rPr>
          <w:lang w:val="es-DO"/>
        </w:rPr>
        <w:t xml:space="preserve">• </w:t>
      </w:r>
      <w:r w:rsidR="00E52ED4" w:rsidRPr="00986687">
        <w:rPr>
          <w:lang w:val="es-DO"/>
        </w:rPr>
        <w:t>Integridad: Actuamos con honestidad, actitud y justicia, mostrando congruencia en lo que decimos y lo que hacemos.</w:t>
      </w:r>
    </w:p>
    <w:p w14:paraId="61EEF2DF" w14:textId="044EF331" w:rsidR="00E52ED4" w:rsidRPr="00986687" w:rsidRDefault="002559B6" w:rsidP="006B204A">
      <w:pPr>
        <w:spacing w:line="360" w:lineRule="auto"/>
        <w:jc w:val="both"/>
        <w:rPr>
          <w:lang w:val="es-DO"/>
        </w:rPr>
      </w:pPr>
      <w:r w:rsidRPr="00986687">
        <w:rPr>
          <w:lang w:val="es-DO"/>
        </w:rPr>
        <w:t xml:space="preserve">• </w:t>
      </w:r>
      <w:r w:rsidR="00E52ED4" w:rsidRPr="00986687">
        <w:rPr>
          <w:lang w:val="es-DO"/>
        </w:rPr>
        <w:t>Eficiencia: Agregamos valor a los servicios institucionales mediante la utilización de los recursos disponibles, los cuales gestionamos como si fueran propios.</w:t>
      </w:r>
    </w:p>
    <w:p w14:paraId="26E84A47" w14:textId="6245CC65" w:rsidR="00E52ED4" w:rsidRPr="00986687" w:rsidRDefault="002559B6" w:rsidP="006B204A">
      <w:pPr>
        <w:spacing w:line="360" w:lineRule="auto"/>
        <w:jc w:val="both"/>
        <w:rPr>
          <w:lang w:val="es-DO"/>
        </w:rPr>
      </w:pPr>
      <w:r w:rsidRPr="00986687">
        <w:rPr>
          <w:lang w:val="es-DO"/>
        </w:rPr>
        <w:t xml:space="preserve">• </w:t>
      </w:r>
      <w:r w:rsidR="00E52ED4" w:rsidRPr="00986687">
        <w:rPr>
          <w:lang w:val="es-DO"/>
        </w:rPr>
        <w:t>Innovación: Generamos propuestas creativas que nos permitan perfeccionar, modernizar y optimizar los servicios que ofrecemos.</w:t>
      </w:r>
    </w:p>
    <w:p w14:paraId="38764389" w14:textId="7579D5E3" w:rsidR="00E52ED4" w:rsidRPr="00986687" w:rsidRDefault="002559B6" w:rsidP="006B204A">
      <w:pPr>
        <w:spacing w:line="360" w:lineRule="auto"/>
        <w:jc w:val="both"/>
        <w:rPr>
          <w:lang w:val="es-DO"/>
        </w:rPr>
      </w:pPr>
      <w:r w:rsidRPr="00986687">
        <w:rPr>
          <w:lang w:val="es-DO"/>
        </w:rPr>
        <w:t xml:space="preserve">• </w:t>
      </w:r>
      <w:r w:rsidR="00E52ED4" w:rsidRPr="00986687">
        <w:rPr>
          <w:lang w:val="es-DO"/>
        </w:rPr>
        <w:t>Compromiso: Asumimos como propio el desafío de cumplir los objetivos de nuestra institución.</w:t>
      </w:r>
    </w:p>
    <w:p w14:paraId="2C09AC06" w14:textId="532CEADC" w:rsidR="00E52ED4" w:rsidRPr="00986687" w:rsidRDefault="00EA2E21" w:rsidP="006B204A">
      <w:pPr>
        <w:spacing w:line="360" w:lineRule="auto"/>
        <w:jc w:val="both"/>
        <w:rPr>
          <w:lang w:val="es-DO"/>
        </w:rPr>
      </w:pPr>
      <w:r w:rsidRPr="00986687">
        <w:rPr>
          <w:lang w:val="es-DO"/>
        </w:rPr>
        <w:t xml:space="preserve">• </w:t>
      </w:r>
      <w:r w:rsidR="00E52ED4" w:rsidRPr="00986687">
        <w:rPr>
          <w:lang w:val="es-DO"/>
        </w:rPr>
        <w:t>Respeto: Somos capaces de reconocer, aceptar, apreciar y valorar las cualidades y derechos de los demás.</w:t>
      </w:r>
    </w:p>
    <w:p w14:paraId="00644634" w14:textId="1E56C75A" w:rsidR="00097028" w:rsidRPr="00986687" w:rsidRDefault="00421E8F" w:rsidP="006B204A">
      <w:pPr>
        <w:pStyle w:val="Estilo3"/>
        <w:spacing w:before="0" w:after="160" w:line="360" w:lineRule="auto"/>
        <w:rPr>
          <w:b/>
          <w:szCs w:val="24"/>
        </w:rPr>
      </w:pPr>
      <w:bookmarkStart w:id="13" w:name="_Toc155354604"/>
      <w:r w:rsidRPr="00986687">
        <w:rPr>
          <w:b/>
          <w:szCs w:val="24"/>
        </w:rPr>
        <w:lastRenderedPageBreak/>
        <w:t xml:space="preserve">2.2 </w:t>
      </w:r>
      <w:r w:rsidR="00E52ED4" w:rsidRPr="00986687">
        <w:rPr>
          <w:b/>
          <w:szCs w:val="24"/>
        </w:rPr>
        <w:t>Base legal</w:t>
      </w:r>
      <w:bookmarkEnd w:id="13"/>
    </w:p>
    <w:p w14:paraId="00F02DBB" w14:textId="77777777" w:rsidR="00E52ED4" w:rsidRPr="00E64291" w:rsidRDefault="00E52ED4" w:rsidP="006B204A">
      <w:pPr>
        <w:spacing w:line="360" w:lineRule="auto"/>
        <w:jc w:val="both"/>
        <w:rPr>
          <w:lang w:val="es-DO"/>
        </w:rPr>
      </w:pPr>
      <w:r w:rsidRPr="00E64291">
        <w:rPr>
          <w:lang w:val="es-DO"/>
        </w:rPr>
        <w:t>Los primeros indicios de regulación bancaria en República Dominicana aparecen con el surgimiento del Banco Nacional de Santo Domingo, S. A. en el año 1869. En 1909, el Estado Dominicano promulga la primera Ley General de Bancos, donde se establecen regulaciones específicas para Bancos Hipotecarios, Emisores y Refaccionarios y surgen instituciones de crédito con las características de bancos comerciales, bajo la supervisión y control de la Secretaría de Estado de Hacienda y Comercio, denominada hoy Ministerio de Hacienda, la cual disponía de interventores nombrados por el Poder Ejecutivo en cada banco para ejercer su control.</w:t>
      </w:r>
    </w:p>
    <w:p w14:paraId="19171496" w14:textId="40355C32" w:rsidR="00E52ED4" w:rsidRPr="00986687" w:rsidRDefault="00E52ED4" w:rsidP="006B204A">
      <w:pPr>
        <w:spacing w:line="360" w:lineRule="auto"/>
        <w:jc w:val="both"/>
        <w:rPr>
          <w:lang w:val="es-DO"/>
        </w:rPr>
      </w:pPr>
      <w:r w:rsidRPr="00986687">
        <w:rPr>
          <w:lang w:val="es-DO"/>
        </w:rPr>
        <w:t>El año 1947 se crean el Banco Central y la Superintendencia de Bancos (SB), esta última bajo la Ley No.1530 del 9 de octubre del 1947, ley que crea los cimientos para la supervisión y regulación del sistema financiero dominicano. La Ley No. 1530 que dio origen a la Superintendencia de Bancos fue modificada y sustituida por la Ley No. 708, Ley General de Bancos, del 14 de abril del 1965, donde se pone a cargo de esta institución la aplicación y administración del régimen legal de los bancos, bajo la dependencia de la Secretaría de Estado de Finanzas, hoy Ministerio de Hacienda.</w:t>
      </w:r>
    </w:p>
    <w:p w14:paraId="257D7412" w14:textId="5A1EBE9B" w:rsidR="00E52ED4" w:rsidRPr="00986687" w:rsidRDefault="00E52ED4" w:rsidP="006B204A">
      <w:pPr>
        <w:spacing w:line="360" w:lineRule="auto"/>
        <w:jc w:val="both"/>
        <w:rPr>
          <w:lang w:val="es-DO"/>
        </w:rPr>
      </w:pPr>
      <w:r w:rsidRPr="00986687">
        <w:rPr>
          <w:lang w:val="es-DO"/>
        </w:rPr>
        <w:t>Con la promulgación de la Ley No.183 02, Monetaria y Financiera, del 21 de noviembre de 2002, se le da a la Superintendencia de Bancos el marco jurídico de actuación que tiene en la actualidad, otorgándole la responsabilidad de supervisar, con plena autonomía, a las Entidades de Intermediación Financiera, con el propósito de proteger los fondos de los ahorrantes y los derechos de los usuarios de los servicios financieros.</w:t>
      </w:r>
    </w:p>
    <w:p w14:paraId="58DA90A5" w14:textId="442574FA" w:rsidR="00E52ED4" w:rsidRPr="002F7C2C" w:rsidRDefault="00E52ED4" w:rsidP="006B204A">
      <w:pPr>
        <w:pStyle w:val="Estilo3"/>
        <w:spacing w:before="0" w:after="160" w:line="360" w:lineRule="auto"/>
        <w:rPr>
          <w:b/>
          <w:szCs w:val="24"/>
        </w:rPr>
      </w:pPr>
      <w:r w:rsidRPr="00986687">
        <w:rPr>
          <w:szCs w:val="24"/>
        </w:rPr>
        <w:br w:type="page"/>
      </w:r>
      <w:bookmarkStart w:id="14" w:name="_Toc155354605"/>
      <w:r w:rsidR="00C808E5" w:rsidRPr="00986687">
        <w:rPr>
          <w:b/>
          <w:noProof/>
          <w:szCs w:val="24"/>
        </w:rPr>
        <w:lastRenderedPageBreak/>
        <w:drawing>
          <wp:anchor distT="0" distB="0" distL="114300" distR="114300" simplePos="0" relativeHeight="251658255" behindDoc="0" locked="0" layoutInCell="1" allowOverlap="1" wp14:anchorId="517A210A" wp14:editId="21B39DB3">
            <wp:simplePos x="0" y="0"/>
            <wp:positionH relativeFrom="margin">
              <wp:align>center</wp:align>
            </wp:positionH>
            <wp:positionV relativeFrom="paragraph">
              <wp:posOffset>543296</wp:posOffset>
            </wp:positionV>
            <wp:extent cx="6231255" cy="514985"/>
            <wp:effectExtent l="0" t="0" r="0" b="0"/>
            <wp:wrapNone/>
            <wp:docPr id="169574367" name="Imagen 169574367" descr="Diagrama, 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574367" name="Imagen 1" descr="Diagrama, Escala de tiempo&#10;&#10;Descripción generada automáticamente"/>
                    <pic:cNvPicPr/>
                  </pic:nvPicPr>
                  <pic:blipFill rotWithShape="1">
                    <a:blip r:embed="rId17">
                      <a:clrChange>
                        <a:clrFrom>
                          <a:srgbClr val="F2F2F2"/>
                        </a:clrFrom>
                        <a:clrTo>
                          <a:srgbClr val="F2F2F2">
                            <a:alpha val="0"/>
                          </a:srgbClr>
                        </a:clrTo>
                      </a:clrChange>
                      <a:extLst>
                        <a:ext uri="{28A0092B-C50C-407E-A947-70E740481C1C}">
                          <a14:useLocalDpi xmlns:a14="http://schemas.microsoft.com/office/drawing/2010/main" val="0"/>
                        </a:ext>
                      </a:extLst>
                    </a:blip>
                    <a:srcRect l="10036" t="673" r="11007" b="87712"/>
                    <a:stretch/>
                  </pic:blipFill>
                  <pic:spPr bwMode="auto">
                    <a:xfrm>
                      <a:off x="0" y="0"/>
                      <a:ext cx="6231255" cy="5149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D84" w:rsidRPr="00324743">
        <w:rPr>
          <w:b/>
          <w:szCs w:val="24"/>
        </w:rPr>
        <w:t>2</w:t>
      </w:r>
      <w:r w:rsidR="0096158F" w:rsidRPr="00324743">
        <w:rPr>
          <w:b/>
          <w:szCs w:val="24"/>
        </w:rPr>
        <w:t>.3</w:t>
      </w:r>
      <w:r w:rsidR="00BA662A" w:rsidRPr="00324743">
        <w:rPr>
          <w:b/>
          <w:szCs w:val="24"/>
        </w:rPr>
        <w:t xml:space="preserve"> </w:t>
      </w:r>
      <w:r w:rsidR="00F73BDA" w:rsidRPr="00324743">
        <w:rPr>
          <w:b/>
          <w:szCs w:val="24"/>
        </w:rPr>
        <w:t>Estructura Organizativa</w:t>
      </w:r>
      <w:bookmarkEnd w:id="14"/>
    </w:p>
    <w:p w14:paraId="2357956D" w14:textId="5BFA7D43" w:rsidR="00E52ED4" w:rsidRPr="00495620" w:rsidRDefault="00E52ED4" w:rsidP="006B204A">
      <w:pPr>
        <w:spacing w:line="360" w:lineRule="auto"/>
        <w:rPr>
          <w:lang w:val="es-DO"/>
        </w:rPr>
      </w:pPr>
    </w:p>
    <w:p w14:paraId="35616A69" w14:textId="0532CB51" w:rsidR="00BA662A" w:rsidRPr="00495620" w:rsidRDefault="00BA662A" w:rsidP="006B204A">
      <w:pPr>
        <w:spacing w:line="360" w:lineRule="auto"/>
        <w:rPr>
          <w:lang w:val="es-DO"/>
        </w:rPr>
      </w:pPr>
    </w:p>
    <w:p w14:paraId="1C517D27" w14:textId="08AEA125" w:rsidR="00BA662A" w:rsidRPr="00E42C8A" w:rsidRDefault="0047413A" w:rsidP="006B204A">
      <w:pPr>
        <w:spacing w:line="360" w:lineRule="auto"/>
        <w:jc w:val="both"/>
        <w:rPr>
          <w:lang w:val="es-DO"/>
        </w:rPr>
      </w:pPr>
      <w:r>
        <w:rPr>
          <w:noProof/>
        </w:rPr>
        <w:drawing>
          <wp:anchor distT="0" distB="0" distL="114300" distR="114300" simplePos="0" relativeHeight="251658257" behindDoc="0" locked="0" layoutInCell="1" allowOverlap="1" wp14:anchorId="0B5BECB3" wp14:editId="44B7FB7A">
            <wp:simplePos x="0" y="0"/>
            <wp:positionH relativeFrom="margin">
              <wp:align>center</wp:align>
            </wp:positionH>
            <wp:positionV relativeFrom="paragraph">
              <wp:posOffset>151130</wp:posOffset>
            </wp:positionV>
            <wp:extent cx="6231255" cy="3386455"/>
            <wp:effectExtent l="0" t="0" r="0" b="4445"/>
            <wp:wrapNone/>
            <wp:docPr id="1096006938" name="Imagen 1096006938" descr="Interfaz de usuario gráfica, Aplicación, Tabl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96006938" name="Imagen 1" descr="Interfaz de usuario gráfica, Aplicación, Tabla&#10;&#10;Descripción generada automáticamente"/>
                    <pic:cNvPicPr/>
                  </pic:nvPicPr>
                  <pic:blipFill rotWithShape="1">
                    <a:blip r:embed="rId18">
                      <a:extLst>
                        <a:ext uri="{28A0092B-C50C-407E-A947-70E740481C1C}">
                          <a14:useLocalDpi xmlns:a14="http://schemas.microsoft.com/office/drawing/2010/main" val="0"/>
                        </a:ext>
                      </a:extLst>
                    </a:blip>
                    <a:srcRect l="9278" t="21216" r="12712" b="3368"/>
                    <a:stretch/>
                  </pic:blipFill>
                  <pic:spPr bwMode="auto">
                    <a:xfrm>
                      <a:off x="0" y="0"/>
                      <a:ext cx="6231255" cy="338645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3F352D" w14:textId="3CED283E" w:rsidR="00E42C8A" w:rsidRPr="00E42C8A" w:rsidRDefault="00E42C8A" w:rsidP="006B204A">
      <w:pPr>
        <w:spacing w:line="360" w:lineRule="auto"/>
        <w:jc w:val="both"/>
        <w:rPr>
          <w:lang w:val="es-DO"/>
        </w:rPr>
      </w:pPr>
    </w:p>
    <w:p w14:paraId="65E56AE1" w14:textId="77777777" w:rsidR="00E42C8A" w:rsidRPr="00E42C8A" w:rsidRDefault="00E42C8A" w:rsidP="006B204A">
      <w:pPr>
        <w:spacing w:line="360" w:lineRule="auto"/>
        <w:jc w:val="both"/>
        <w:rPr>
          <w:lang w:val="es-DO"/>
        </w:rPr>
      </w:pPr>
    </w:p>
    <w:p w14:paraId="5BC7BCFF" w14:textId="77777777" w:rsidR="00E42C8A" w:rsidRPr="00E42C8A" w:rsidRDefault="00E42C8A" w:rsidP="006B204A">
      <w:pPr>
        <w:spacing w:line="360" w:lineRule="auto"/>
        <w:jc w:val="both"/>
        <w:rPr>
          <w:lang w:val="es-DO"/>
        </w:rPr>
      </w:pPr>
    </w:p>
    <w:p w14:paraId="5B821C4B" w14:textId="77777777" w:rsidR="00E42C8A" w:rsidRPr="00E42C8A" w:rsidRDefault="00E42C8A" w:rsidP="006B204A">
      <w:pPr>
        <w:spacing w:line="360" w:lineRule="auto"/>
        <w:jc w:val="both"/>
        <w:rPr>
          <w:lang w:val="es-DO"/>
        </w:rPr>
      </w:pPr>
    </w:p>
    <w:p w14:paraId="51A9D931" w14:textId="77777777" w:rsidR="00E42C8A" w:rsidRPr="00E42C8A" w:rsidRDefault="00E42C8A" w:rsidP="006B204A">
      <w:pPr>
        <w:spacing w:line="360" w:lineRule="auto"/>
        <w:jc w:val="both"/>
        <w:rPr>
          <w:lang w:val="es-DO"/>
        </w:rPr>
      </w:pPr>
    </w:p>
    <w:p w14:paraId="59DEC3EF" w14:textId="77777777" w:rsidR="00E42C8A" w:rsidRPr="00E42C8A" w:rsidRDefault="00E42C8A" w:rsidP="006B204A">
      <w:pPr>
        <w:spacing w:line="360" w:lineRule="auto"/>
        <w:jc w:val="both"/>
        <w:rPr>
          <w:lang w:val="es-DO"/>
        </w:rPr>
      </w:pPr>
    </w:p>
    <w:p w14:paraId="370DF285" w14:textId="77777777" w:rsidR="00E42C8A" w:rsidRPr="00E42C8A" w:rsidRDefault="00E42C8A" w:rsidP="006B204A">
      <w:pPr>
        <w:spacing w:line="360" w:lineRule="auto"/>
        <w:jc w:val="both"/>
        <w:rPr>
          <w:lang w:val="es-DO"/>
        </w:rPr>
      </w:pPr>
    </w:p>
    <w:p w14:paraId="63A5241A" w14:textId="77777777" w:rsidR="00E42C8A" w:rsidRPr="00E42C8A" w:rsidRDefault="00E42C8A" w:rsidP="006B204A">
      <w:pPr>
        <w:spacing w:line="360" w:lineRule="auto"/>
        <w:jc w:val="both"/>
        <w:rPr>
          <w:lang w:val="es-DO"/>
        </w:rPr>
      </w:pPr>
    </w:p>
    <w:p w14:paraId="755374AF" w14:textId="77777777" w:rsidR="00E42C8A" w:rsidRPr="00E42C8A" w:rsidRDefault="00E42C8A" w:rsidP="006B204A">
      <w:pPr>
        <w:spacing w:line="360" w:lineRule="auto"/>
        <w:jc w:val="both"/>
        <w:rPr>
          <w:lang w:val="es-DO"/>
        </w:rPr>
      </w:pPr>
    </w:p>
    <w:p w14:paraId="56549482" w14:textId="091464EB" w:rsidR="00E42C8A" w:rsidRPr="00E42C8A" w:rsidRDefault="00E42C8A" w:rsidP="006B204A">
      <w:pPr>
        <w:spacing w:line="360" w:lineRule="auto"/>
        <w:jc w:val="center"/>
        <w:rPr>
          <w:lang w:val="es-DO"/>
        </w:rPr>
      </w:pPr>
      <w:r w:rsidRPr="007F2AE9">
        <w:rPr>
          <w:b/>
          <w:lang w:val="es-DO"/>
        </w:rPr>
        <w:t>Fuente</w:t>
      </w:r>
      <w:r>
        <w:rPr>
          <w:lang w:val="es-DO"/>
        </w:rPr>
        <w:t xml:space="preserve">: </w:t>
      </w:r>
      <w:r w:rsidR="008B25E0">
        <w:rPr>
          <w:lang w:val="es-DO"/>
        </w:rPr>
        <w:t xml:space="preserve">Portal Institucional de la </w:t>
      </w:r>
      <w:r>
        <w:rPr>
          <w:lang w:val="es-DO"/>
        </w:rPr>
        <w:t>Superintendencia de Banco</w:t>
      </w:r>
      <w:r w:rsidR="008B25E0">
        <w:rPr>
          <w:lang w:val="es-DO"/>
        </w:rPr>
        <w:t>.</w:t>
      </w:r>
    </w:p>
    <w:p w14:paraId="633BFB99" w14:textId="77777777" w:rsidR="00840882" w:rsidRPr="00E42C8A" w:rsidRDefault="00840882" w:rsidP="006B204A">
      <w:pPr>
        <w:spacing w:line="360" w:lineRule="auto"/>
        <w:jc w:val="both"/>
        <w:rPr>
          <w:lang w:val="es-DO"/>
        </w:rPr>
      </w:pPr>
    </w:p>
    <w:p w14:paraId="446DA180" w14:textId="24CBD6FD" w:rsidR="00097028" w:rsidRPr="00324743" w:rsidRDefault="004C743E" w:rsidP="006B204A">
      <w:pPr>
        <w:pStyle w:val="Estilo3"/>
        <w:spacing w:before="0" w:after="160" w:line="360" w:lineRule="auto"/>
        <w:rPr>
          <w:b/>
          <w:szCs w:val="24"/>
        </w:rPr>
      </w:pPr>
      <w:bookmarkStart w:id="15" w:name="_Toc155354606"/>
      <w:r w:rsidRPr="00326FC0">
        <w:rPr>
          <w:b/>
          <w:szCs w:val="24"/>
        </w:rPr>
        <w:t>2.</w:t>
      </w:r>
      <w:r w:rsidR="00151607" w:rsidRPr="00324743">
        <w:rPr>
          <w:b/>
          <w:szCs w:val="24"/>
        </w:rPr>
        <w:t>4</w:t>
      </w:r>
      <w:r w:rsidR="00421E8F" w:rsidRPr="00324743">
        <w:rPr>
          <w:b/>
          <w:szCs w:val="24"/>
        </w:rPr>
        <w:t xml:space="preserve"> </w:t>
      </w:r>
      <w:r w:rsidR="00E52ED4" w:rsidRPr="00324743">
        <w:rPr>
          <w:b/>
          <w:szCs w:val="24"/>
        </w:rPr>
        <w:t xml:space="preserve">Planificación </w:t>
      </w:r>
      <w:r w:rsidR="0058207D" w:rsidRPr="00324743">
        <w:rPr>
          <w:b/>
          <w:szCs w:val="24"/>
        </w:rPr>
        <w:t>E</w:t>
      </w:r>
      <w:r w:rsidR="00E52ED4" w:rsidRPr="00324743">
        <w:rPr>
          <w:b/>
          <w:szCs w:val="24"/>
        </w:rPr>
        <w:t xml:space="preserve">stratégica </w:t>
      </w:r>
      <w:r w:rsidR="0058207D" w:rsidRPr="00324743">
        <w:rPr>
          <w:b/>
          <w:szCs w:val="24"/>
        </w:rPr>
        <w:t>I</w:t>
      </w:r>
      <w:r w:rsidR="00E52ED4" w:rsidRPr="00324743">
        <w:rPr>
          <w:b/>
          <w:szCs w:val="24"/>
        </w:rPr>
        <w:t>nstitucional</w:t>
      </w:r>
      <w:bookmarkEnd w:id="15"/>
    </w:p>
    <w:p w14:paraId="5A9F6B14" w14:textId="08913760" w:rsidR="00E52ED4" w:rsidRPr="00C865B6" w:rsidRDefault="00E52ED4" w:rsidP="006B204A">
      <w:pPr>
        <w:spacing w:line="360" w:lineRule="auto"/>
        <w:jc w:val="both"/>
        <w:rPr>
          <w:lang w:val="es-DO"/>
        </w:rPr>
      </w:pPr>
      <w:r w:rsidRPr="00C865B6">
        <w:rPr>
          <w:lang w:val="es-DO"/>
        </w:rPr>
        <w:t>En febrero de 2021 la Superintendencia de Bancos lanzó su Plan Estratégico Institucional (PEI 2021-2024), enfocado en seis (6) ejes y once (11) objetivos estratégicos.</w:t>
      </w:r>
    </w:p>
    <w:p w14:paraId="30DBBE8D" w14:textId="77777777" w:rsidR="00E52ED4" w:rsidRPr="00C865B6" w:rsidRDefault="00E52ED4" w:rsidP="006B204A">
      <w:pPr>
        <w:spacing w:line="360" w:lineRule="auto"/>
        <w:jc w:val="both"/>
        <w:rPr>
          <w:lang w:val="es-DO"/>
        </w:rPr>
      </w:pPr>
      <w:r w:rsidRPr="00C865B6">
        <w:rPr>
          <w:lang w:val="es-DO"/>
        </w:rPr>
        <w:t xml:space="preserve">El PEI 2021-2024 incluye adecuaciones importantes al marco institucional que tienen como objetivo mejorar la supervisión y regulación de las entidades de intermediación financiera y los intermediarios cambiarios. Asimismo, se incluyen estrategias para </w:t>
      </w:r>
      <w:r w:rsidRPr="00C865B6">
        <w:rPr>
          <w:lang w:val="es-DO"/>
        </w:rPr>
        <w:lastRenderedPageBreak/>
        <w:t>fomentar el fortalecimiento institucional, la digitalización y la innovación.</w:t>
      </w:r>
    </w:p>
    <w:p w14:paraId="7929EA5B" w14:textId="2FAC94D2" w:rsidR="00E52ED4" w:rsidRPr="00C865B6" w:rsidRDefault="00E52ED4" w:rsidP="006B204A">
      <w:pPr>
        <w:spacing w:line="360" w:lineRule="auto"/>
        <w:jc w:val="both"/>
        <w:rPr>
          <w:lang w:val="es-DO"/>
        </w:rPr>
      </w:pPr>
      <w:r w:rsidRPr="00C865B6">
        <w:rPr>
          <w:lang w:val="es-DO"/>
        </w:rPr>
        <w:t>Además, el plan se enfoca en robustecer la integridad del sistema bancario y cambiario mediante la lucha contra el lavado de activos, el financiamiento del terrorismo y otros delitos financieros. Por último, el PEI 2021-2024 prioriza los esfuerzos de la institución por la inclusión financiera de los ciudadanos, y la implementación de políticas públicas que fortalezcan la protección a los derechos de los usuarios financieros.</w:t>
      </w:r>
    </w:p>
    <w:p w14:paraId="58109BAB" w14:textId="77777777" w:rsidR="00E52ED4" w:rsidRPr="00C865B6" w:rsidRDefault="00E52ED4" w:rsidP="006B204A">
      <w:pPr>
        <w:spacing w:line="360" w:lineRule="auto"/>
        <w:jc w:val="both"/>
        <w:rPr>
          <w:lang w:val="es-DO"/>
        </w:rPr>
      </w:pPr>
      <w:r w:rsidRPr="00C865B6">
        <w:rPr>
          <w:lang w:val="es-DO"/>
        </w:rPr>
        <w:t>Los Ejes y Objetivos del PEI 2021-2024 se detallan a continuación:</w:t>
      </w:r>
    </w:p>
    <w:p w14:paraId="1030DDA5" w14:textId="0700DC9B" w:rsidR="00E52ED4" w:rsidRPr="00C865B6" w:rsidRDefault="00B410AD" w:rsidP="006B204A">
      <w:pPr>
        <w:spacing w:line="360" w:lineRule="auto"/>
        <w:jc w:val="center"/>
        <w:rPr>
          <w:b/>
          <w:bCs/>
          <w:lang w:val="es-DO"/>
        </w:rPr>
      </w:pPr>
      <w:r>
        <w:rPr>
          <w:b/>
          <w:bCs/>
          <w:lang w:val="es-DO"/>
        </w:rPr>
        <w:t>Tabla</w:t>
      </w:r>
      <w:r w:rsidR="00C72346">
        <w:rPr>
          <w:b/>
          <w:bCs/>
          <w:lang w:val="es-DO"/>
        </w:rPr>
        <w:t xml:space="preserve"> 1. </w:t>
      </w:r>
      <w:r w:rsidR="00E52ED4" w:rsidRPr="00C865B6">
        <w:rPr>
          <w:b/>
          <w:bCs/>
          <w:lang w:val="es-DO"/>
        </w:rPr>
        <w:t>Ejes y Objetivos Estratégicos 2021-2024</w:t>
      </w:r>
    </w:p>
    <w:tbl>
      <w:tblPr>
        <w:tblStyle w:val="Tablaconcuadrcula1clara"/>
        <w:tblW w:w="5107" w:type="pct"/>
        <w:tblInd w:w="-147" w:type="dxa"/>
        <w:tblLook w:val="04A0" w:firstRow="1" w:lastRow="0" w:firstColumn="1" w:lastColumn="0" w:noHBand="0" w:noVBand="1"/>
      </w:tblPr>
      <w:tblGrid>
        <w:gridCol w:w="3259"/>
        <w:gridCol w:w="4820"/>
      </w:tblGrid>
      <w:tr w:rsidR="00E52ED4" w:rsidRPr="00C72346" w14:paraId="7D29D05D" w14:textId="77777777" w:rsidTr="00F608D8">
        <w:trPr>
          <w:cnfStyle w:val="100000000000" w:firstRow="1" w:lastRow="0" w:firstColumn="0" w:lastColumn="0" w:oddVBand="0" w:evenVBand="0" w:oddHBand="0" w:evenHBand="0" w:firstRowFirstColumn="0" w:firstRowLastColumn="0" w:lastRowFirstColumn="0" w:lastRowLastColumn="0"/>
          <w:trHeight w:val="465"/>
          <w:tblHeader/>
        </w:trPr>
        <w:tc>
          <w:tcPr>
            <w:cnfStyle w:val="001000000000" w:firstRow="0" w:lastRow="0" w:firstColumn="1" w:lastColumn="0" w:oddVBand="0" w:evenVBand="0" w:oddHBand="0" w:evenHBand="0" w:firstRowFirstColumn="0" w:firstRowLastColumn="0" w:lastRowFirstColumn="0" w:lastRowLastColumn="0"/>
            <w:tcW w:w="2017" w:type="pct"/>
            <w:shd w:val="clear" w:color="auto" w:fill="011C50"/>
            <w:noWrap/>
            <w:vAlign w:val="center"/>
            <w:hideMark/>
          </w:tcPr>
          <w:p w14:paraId="3DB3B358" w14:textId="77777777" w:rsidR="00E52ED4" w:rsidRPr="00C539DA" w:rsidRDefault="00E52ED4" w:rsidP="006B204A">
            <w:pPr>
              <w:spacing w:line="360" w:lineRule="auto"/>
              <w:jc w:val="center"/>
              <w:rPr>
                <w:rFonts w:eastAsia="Times New Roman"/>
                <w:b w:val="0"/>
                <w:color w:val="FFFFFF" w:themeColor="background1"/>
                <w:lang w:val="es-DO" w:eastAsia="es-DO"/>
              </w:rPr>
            </w:pPr>
            <w:r w:rsidRPr="00C539DA">
              <w:rPr>
                <w:rFonts w:eastAsia="Times New Roman"/>
                <w:color w:val="FFFFFF" w:themeColor="background1"/>
                <w:lang w:val="es-DO" w:eastAsia="es-DO"/>
              </w:rPr>
              <w:t>Eje</w:t>
            </w:r>
          </w:p>
        </w:tc>
        <w:tc>
          <w:tcPr>
            <w:tcW w:w="2983" w:type="pct"/>
            <w:shd w:val="clear" w:color="auto" w:fill="011C50"/>
            <w:noWrap/>
            <w:vAlign w:val="center"/>
            <w:hideMark/>
          </w:tcPr>
          <w:p w14:paraId="31F41DD9" w14:textId="77777777" w:rsidR="00E52ED4" w:rsidRPr="00C539DA" w:rsidRDefault="00E52ED4" w:rsidP="006B204A">
            <w:pPr>
              <w:spacing w:line="360" w:lineRule="auto"/>
              <w:jc w:val="center"/>
              <w:cnfStyle w:val="100000000000" w:firstRow="1" w:lastRow="0" w:firstColumn="0" w:lastColumn="0" w:oddVBand="0" w:evenVBand="0" w:oddHBand="0" w:evenHBand="0" w:firstRowFirstColumn="0" w:firstRowLastColumn="0" w:lastRowFirstColumn="0" w:lastRowLastColumn="0"/>
              <w:rPr>
                <w:rFonts w:eastAsia="Times New Roman"/>
                <w:b w:val="0"/>
                <w:color w:val="FFFFFF" w:themeColor="background1"/>
                <w:lang w:val="es-DO" w:eastAsia="es-DO"/>
              </w:rPr>
            </w:pPr>
            <w:r w:rsidRPr="00C539DA">
              <w:rPr>
                <w:rFonts w:eastAsia="Times New Roman"/>
                <w:color w:val="FFFFFF" w:themeColor="background1"/>
                <w:lang w:val="es-DO" w:eastAsia="es-DO"/>
              </w:rPr>
              <w:t>Objetivo Estratégico</w:t>
            </w:r>
          </w:p>
        </w:tc>
      </w:tr>
      <w:tr w:rsidR="00E52ED4" w:rsidRPr="00274E67" w14:paraId="060E92C6" w14:textId="77777777" w:rsidTr="00F608D8">
        <w:trPr>
          <w:trHeight w:val="687"/>
        </w:trPr>
        <w:tc>
          <w:tcPr>
            <w:cnfStyle w:val="001000000000" w:firstRow="0" w:lastRow="0" w:firstColumn="1" w:lastColumn="0" w:oddVBand="0" w:evenVBand="0" w:oddHBand="0" w:evenHBand="0" w:firstRowFirstColumn="0" w:firstRowLastColumn="0" w:lastRowFirstColumn="0" w:lastRowLastColumn="0"/>
            <w:tcW w:w="2017" w:type="pct"/>
            <w:vMerge w:val="restart"/>
            <w:vAlign w:val="center"/>
            <w:hideMark/>
          </w:tcPr>
          <w:p w14:paraId="482B8B60" w14:textId="0AE7BC29" w:rsidR="00E52ED4" w:rsidRPr="00C539DA" w:rsidRDefault="00E52ED4" w:rsidP="006B204A">
            <w:pPr>
              <w:spacing w:line="360" w:lineRule="auto"/>
              <w:jc w:val="center"/>
              <w:rPr>
                <w:rFonts w:eastAsia="Times New Roman"/>
                <w:lang w:val="es-DO" w:eastAsia="es-DO"/>
              </w:rPr>
            </w:pPr>
            <w:r w:rsidRPr="00C539DA">
              <w:rPr>
                <w:rFonts w:eastAsia="Times New Roman"/>
                <w:lang w:val="es-DO" w:eastAsia="es-DO"/>
              </w:rPr>
              <w:t xml:space="preserve">Eje 1. Estabilidad Financiera y </w:t>
            </w:r>
            <w:bookmarkStart w:id="16" w:name="_Int_HbgpXInc"/>
            <w:proofErr w:type="spellStart"/>
            <w:r w:rsidRPr="00C539DA">
              <w:rPr>
                <w:rFonts w:eastAsia="Times New Roman"/>
                <w:lang w:val="es-DO" w:eastAsia="es-DO"/>
              </w:rPr>
              <w:t>Macro-prudencial</w:t>
            </w:r>
            <w:bookmarkEnd w:id="16"/>
            <w:proofErr w:type="spellEnd"/>
          </w:p>
        </w:tc>
        <w:tc>
          <w:tcPr>
            <w:tcW w:w="2983" w:type="pct"/>
            <w:vAlign w:val="center"/>
            <w:hideMark/>
          </w:tcPr>
          <w:p w14:paraId="498ECB00" w14:textId="31017350"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1.1: Preservar la estabilidad, solvencia y eficiencia del sistema financiero.</w:t>
            </w:r>
          </w:p>
        </w:tc>
      </w:tr>
      <w:tr w:rsidR="00E52ED4" w:rsidRPr="00274E67" w14:paraId="5DEDCF60" w14:textId="77777777" w:rsidTr="00F608D8">
        <w:trPr>
          <w:trHeight w:val="657"/>
        </w:trPr>
        <w:tc>
          <w:tcPr>
            <w:cnfStyle w:val="001000000000" w:firstRow="0" w:lastRow="0" w:firstColumn="1" w:lastColumn="0" w:oddVBand="0" w:evenVBand="0" w:oddHBand="0" w:evenHBand="0" w:firstRowFirstColumn="0" w:firstRowLastColumn="0" w:lastRowFirstColumn="0" w:lastRowLastColumn="0"/>
            <w:tcW w:w="2017" w:type="pct"/>
            <w:vMerge/>
            <w:vAlign w:val="center"/>
            <w:hideMark/>
          </w:tcPr>
          <w:p w14:paraId="78216C40" w14:textId="77777777" w:rsidR="00E52ED4" w:rsidRPr="00C539DA" w:rsidRDefault="00E52ED4" w:rsidP="006B204A">
            <w:pPr>
              <w:spacing w:line="360" w:lineRule="auto"/>
              <w:jc w:val="center"/>
              <w:rPr>
                <w:rFonts w:eastAsia="Times New Roman"/>
                <w:lang w:val="es-DO" w:eastAsia="es-DO"/>
              </w:rPr>
            </w:pPr>
          </w:p>
        </w:tc>
        <w:tc>
          <w:tcPr>
            <w:tcW w:w="2983" w:type="pct"/>
            <w:vAlign w:val="center"/>
            <w:hideMark/>
          </w:tcPr>
          <w:p w14:paraId="3542C78A" w14:textId="77777777"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1.2: Vigilar la solvencia, liquidez, cumplimiento y la gestión de las entidades reguladas.</w:t>
            </w:r>
          </w:p>
        </w:tc>
      </w:tr>
      <w:tr w:rsidR="00E52ED4" w:rsidRPr="00274E67" w14:paraId="6990D8BA" w14:textId="77777777" w:rsidTr="00F608D8">
        <w:trPr>
          <w:trHeight w:val="598"/>
        </w:trPr>
        <w:tc>
          <w:tcPr>
            <w:cnfStyle w:val="001000000000" w:firstRow="0" w:lastRow="0" w:firstColumn="1" w:lastColumn="0" w:oddVBand="0" w:evenVBand="0" w:oddHBand="0" w:evenHBand="0" w:firstRowFirstColumn="0" w:firstRowLastColumn="0" w:lastRowFirstColumn="0" w:lastRowLastColumn="0"/>
            <w:tcW w:w="2017" w:type="pct"/>
            <w:vMerge w:val="restart"/>
            <w:vAlign w:val="center"/>
            <w:hideMark/>
          </w:tcPr>
          <w:p w14:paraId="07397257" w14:textId="1FB1A2B3" w:rsidR="00E52ED4" w:rsidRPr="00C539DA" w:rsidRDefault="00E52ED4" w:rsidP="006B204A">
            <w:pPr>
              <w:spacing w:line="360" w:lineRule="auto"/>
              <w:jc w:val="center"/>
              <w:rPr>
                <w:rFonts w:eastAsia="Times New Roman"/>
                <w:lang w:val="es-DO" w:eastAsia="es-DO"/>
              </w:rPr>
            </w:pPr>
            <w:r w:rsidRPr="00C539DA">
              <w:rPr>
                <w:rFonts w:eastAsia="Times New Roman"/>
                <w:lang w:val="es-DO" w:eastAsia="es-DO"/>
              </w:rPr>
              <w:t>Eje 2. Digitalización, Innovación y Nuevas Tecnologías</w:t>
            </w:r>
          </w:p>
        </w:tc>
        <w:tc>
          <w:tcPr>
            <w:tcW w:w="2983" w:type="pct"/>
            <w:vAlign w:val="center"/>
            <w:hideMark/>
          </w:tcPr>
          <w:p w14:paraId="41E42CA0" w14:textId="7CBB704F"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2.1: Aumentar la eficiencia, eficacia y alcance de los procesos internos a través del uso de nuevas tecnologías.</w:t>
            </w:r>
          </w:p>
        </w:tc>
      </w:tr>
      <w:tr w:rsidR="00E52ED4" w:rsidRPr="00274E67" w14:paraId="06EFEB4D" w14:textId="77777777" w:rsidTr="00F608D8">
        <w:trPr>
          <w:trHeight w:val="598"/>
        </w:trPr>
        <w:tc>
          <w:tcPr>
            <w:cnfStyle w:val="001000000000" w:firstRow="0" w:lastRow="0" w:firstColumn="1" w:lastColumn="0" w:oddVBand="0" w:evenVBand="0" w:oddHBand="0" w:evenHBand="0" w:firstRowFirstColumn="0" w:firstRowLastColumn="0" w:lastRowFirstColumn="0" w:lastRowLastColumn="0"/>
            <w:tcW w:w="2017" w:type="pct"/>
            <w:vMerge/>
            <w:vAlign w:val="center"/>
            <w:hideMark/>
          </w:tcPr>
          <w:p w14:paraId="74D75945" w14:textId="77777777" w:rsidR="00E52ED4" w:rsidRPr="00C539DA" w:rsidRDefault="00E52ED4" w:rsidP="006B204A">
            <w:pPr>
              <w:spacing w:line="360" w:lineRule="auto"/>
              <w:jc w:val="center"/>
              <w:rPr>
                <w:rFonts w:eastAsia="Times New Roman"/>
                <w:lang w:val="es-DO" w:eastAsia="es-DO"/>
              </w:rPr>
            </w:pPr>
          </w:p>
        </w:tc>
        <w:tc>
          <w:tcPr>
            <w:tcW w:w="2983" w:type="pct"/>
            <w:vAlign w:val="center"/>
            <w:hideMark/>
          </w:tcPr>
          <w:p w14:paraId="04889605" w14:textId="3DD08B3F"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2.2: Ampliar la provisión de los servicios financieros a través del uso de nuevos canales y tecnologías.</w:t>
            </w:r>
          </w:p>
        </w:tc>
      </w:tr>
      <w:tr w:rsidR="00E52ED4" w:rsidRPr="00274E67" w14:paraId="4A5779D8" w14:textId="77777777" w:rsidTr="00F608D8">
        <w:trPr>
          <w:trHeight w:val="947"/>
        </w:trPr>
        <w:tc>
          <w:tcPr>
            <w:cnfStyle w:val="001000000000" w:firstRow="0" w:lastRow="0" w:firstColumn="1" w:lastColumn="0" w:oddVBand="0" w:evenVBand="0" w:oddHBand="0" w:evenHBand="0" w:firstRowFirstColumn="0" w:firstRowLastColumn="0" w:lastRowFirstColumn="0" w:lastRowLastColumn="0"/>
            <w:tcW w:w="2017" w:type="pct"/>
            <w:vMerge w:val="restart"/>
            <w:vAlign w:val="center"/>
            <w:hideMark/>
          </w:tcPr>
          <w:p w14:paraId="3D22A644" w14:textId="047AD62B" w:rsidR="00E52ED4" w:rsidRPr="00C539DA" w:rsidRDefault="00E52ED4" w:rsidP="006B204A">
            <w:pPr>
              <w:spacing w:line="360" w:lineRule="auto"/>
              <w:jc w:val="center"/>
              <w:rPr>
                <w:rFonts w:eastAsia="Times New Roman"/>
                <w:lang w:val="es-DO" w:eastAsia="es-DO"/>
              </w:rPr>
            </w:pPr>
            <w:r w:rsidRPr="00C539DA">
              <w:rPr>
                <w:rFonts w:eastAsia="Times New Roman"/>
                <w:lang w:val="es-DO" w:eastAsia="es-DO"/>
              </w:rPr>
              <w:t>Eje 3. Eficiencia y Fortalecimiento Institucional</w:t>
            </w:r>
          </w:p>
        </w:tc>
        <w:tc>
          <w:tcPr>
            <w:tcW w:w="2983" w:type="pct"/>
            <w:vAlign w:val="center"/>
            <w:hideMark/>
          </w:tcPr>
          <w:p w14:paraId="75514881" w14:textId="7776E0C5"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3.1: Aumentar la efectividad y calidad de la gestión institucional con un enfoque orientado a resultados y de mejora continua.</w:t>
            </w:r>
          </w:p>
        </w:tc>
      </w:tr>
      <w:tr w:rsidR="00E52ED4" w:rsidRPr="00274E67" w14:paraId="76C97C36" w14:textId="77777777" w:rsidTr="00F608D8">
        <w:trPr>
          <w:trHeight w:val="986"/>
        </w:trPr>
        <w:tc>
          <w:tcPr>
            <w:cnfStyle w:val="001000000000" w:firstRow="0" w:lastRow="0" w:firstColumn="1" w:lastColumn="0" w:oddVBand="0" w:evenVBand="0" w:oddHBand="0" w:evenHBand="0" w:firstRowFirstColumn="0" w:firstRowLastColumn="0" w:lastRowFirstColumn="0" w:lastRowLastColumn="0"/>
            <w:tcW w:w="2017" w:type="pct"/>
            <w:vMerge/>
            <w:vAlign w:val="center"/>
            <w:hideMark/>
          </w:tcPr>
          <w:p w14:paraId="18EA2C69" w14:textId="77777777" w:rsidR="00E52ED4" w:rsidRPr="00C539DA" w:rsidRDefault="00E52ED4" w:rsidP="006B204A">
            <w:pPr>
              <w:spacing w:line="360" w:lineRule="auto"/>
              <w:jc w:val="center"/>
              <w:rPr>
                <w:rFonts w:eastAsia="Times New Roman"/>
                <w:lang w:val="es-DO" w:eastAsia="es-DO"/>
              </w:rPr>
            </w:pPr>
          </w:p>
        </w:tc>
        <w:tc>
          <w:tcPr>
            <w:tcW w:w="2983" w:type="pct"/>
            <w:vAlign w:val="center"/>
            <w:hideMark/>
          </w:tcPr>
          <w:p w14:paraId="6AB682EC" w14:textId="77777777"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3.2 Aumentar las capacidades técnicas y de gestión del personal de la SB.</w:t>
            </w:r>
          </w:p>
        </w:tc>
      </w:tr>
      <w:tr w:rsidR="00E52ED4" w:rsidRPr="00274E67" w14:paraId="5D54C843" w14:textId="77777777" w:rsidTr="00F608D8">
        <w:trPr>
          <w:trHeight w:val="838"/>
        </w:trPr>
        <w:tc>
          <w:tcPr>
            <w:cnfStyle w:val="001000000000" w:firstRow="0" w:lastRow="0" w:firstColumn="1" w:lastColumn="0" w:oddVBand="0" w:evenVBand="0" w:oddHBand="0" w:evenHBand="0" w:firstRowFirstColumn="0" w:firstRowLastColumn="0" w:lastRowFirstColumn="0" w:lastRowLastColumn="0"/>
            <w:tcW w:w="2017" w:type="pct"/>
            <w:vAlign w:val="center"/>
            <w:hideMark/>
          </w:tcPr>
          <w:p w14:paraId="2AAF13B6" w14:textId="2699EBC4" w:rsidR="00E52ED4" w:rsidRPr="00C539DA" w:rsidRDefault="00E52ED4" w:rsidP="006B204A">
            <w:pPr>
              <w:spacing w:line="360" w:lineRule="auto"/>
              <w:jc w:val="center"/>
              <w:rPr>
                <w:rFonts w:eastAsia="Times New Roman"/>
                <w:b w:val="0"/>
                <w:lang w:val="es-DO" w:eastAsia="es-DO"/>
              </w:rPr>
            </w:pPr>
            <w:r w:rsidRPr="00C539DA">
              <w:rPr>
                <w:rFonts w:eastAsia="Times New Roman"/>
                <w:lang w:val="es-DO" w:eastAsia="es-DO"/>
              </w:rPr>
              <w:t>Eje 4. Inclusión Financiera y Bancarización</w:t>
            </w:r>
          </w:p>
        </w:tc>
        <w:tc>
          <w:tcPr>
            <w:tcW w:w="2983" w:type="pct"/>
            <w:vAlign w:val="center"/>
            <w:hideMark/>
          </w:tcPr>
          <w:p w14:paraId="1993FCC5" w14:textId="77777777"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4.1: Promover la reducción de barreras que impidan el acceso de los ciudadanos al sistema financiero formal.</w:t>
            </w:r>
          </w:p>
        </w:tc>
      </w:tr>
      <w:tr w:rsidR="00E52ED4" w:rsidRPr="00274E67" w14:paraId="5CA82588" w14:textId="77777777" w:rsidTr="00F608D8">
        <w:trPr>
          <w:trHeight w:val="897"/>
        </w:trPr>
        <w:tc>
          <w:tcPr>
            <w:cnfStyle w:val="001000000000" w:firstRow="0" w:lastRow="0" w:firstColumn="1" w:lastColumn="0" w:oddVBand="0" w:evenVBand="0" w:oddHBand="0" w:evenHBand="0" w:firstRowFirstColumn="0" w:firstRowLastColumn="0" w:lastRowFirstColumn="0" w:lastRowLastColumn="0"/>
            <w:tcW w:w="2017" w:type="pct"/>
            <w:vMerge w:val="restart"/>
            <w:vAlign w:val="center"/>
            <w:hideMark/>
          </w:tcPr>
          <w:p w14:paraId="1893A31C" w14:textId="77777777" w:rsidR="00E52ED4" w:rsidRPr="00C539DA" w:rsidRDefault="00E52ED4" w:rsidP="006B204A">
            <w:pPr>
              <w:spacing w:line="360" w:lineRule="auto"/>
              <w:jc w:val="center"/>
              <w:rPr>
                <w:rFonts w:eastAsia="Times New Roman"/>
                <w:lang w:val="es-DO" w:eastAsia="es-DO"/>
              </w:rPr>
            </w:pPr>
            <w:r w:rsidRPr="00C539DA">
              <w:rPr>
                <w:rFonts w:eastAsia="Times New Roman"/>
                <w:lang w:val="es-DO" w:eastAsia="es-DO"/>
              </w:rPr>
              <w:t>Eje 5. Protección y Salud Financiera del Consumidor</w:t>
            </w:r>
          </w:p>
        </w:tc>
        <w:tc>
          <w:tcPr>
            <w:tcW w:w="2983" w:type="pct"/>
            <w:vAlign w:val="center"/>
            <w:hideMark/>
          </w:tcPr>
          <w:p w14:paraId="72E52ACE" w14:textId="79F67DF7"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5.1: Promover mejoras en la protección, provisión de información y salud financiera de los usuarios del sistema.</w:t>
            </w:r>
          </w:p>
        </w:tc>
      </w:tr>
      <w:tr w:rsidR="00E52ED4" w:rsidRPr="00274E67" w14:paraId="66ACE6DA" w14:textId="77777777" w:rsidTr="00F608D8">
        <w:trPr>
          <w:trHeight w:val="747"/>
        </w:trPr>
        <w:tc>
          <w:tcPr>
            <w:cnfStyle w:val="001000000000" w:firstRow="0" w:lastRow="0" w:firstColumn="1" w:lastColumn="0" w:oddVBand="0" w:evenVBand="0" w:oddHBand="0" w:evenHBand="0" w:firstRowFirstColumn="0" w:firstRowLastColumn="0" w:lastRowFirstColumn="0" w:lastRowLastColumn="0"/>
            <w:tcW w:w="2017" w:type="pct"/>
            <w:vMerge/>
            <w:vAlign w:val="center"/>
            <w:hideMark/>
          </w:tcPr>
          <w:p w14:paraId="39B4C69F" w14:textId="77777777" w:rsidR="00E52ED4" w:rsidRPr="00C539DA" w:rsidRDefault="00E52ED4" w:rsidP="006B204A">
            <w:pPr>
              <w:spacing w:line="360" w:lineRule="auto"/>
              <w:jc w:val="center"/>
              <w:rPr>
                <w:rFonts w:eastAsia="Times New Roman"/>
                <w:lang w:val="es-DO" w:eastAsia="es-DO"/>
              </w:rPr>
            </w:pPr>
          </w:p>
        </w:tc>
        <w:tc>
          <w:tcPr>
            <w:tcW w:w="2983" w:type="pct"/>
            <w:vAlign w:val="center"/>
            <w:hideMark/>
          </w:tcPr>
          <w:p w14:paraId="67349109" w14:textId="77777777"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5.2: Aumentar la visibilidad, uso y alcance de los servicios de ProUsuario.</w:t>
            </w:r>
          </w:p>
        </w:tc>
      </w:tr>
      <w:tr w:rsidR="00E52ED4" w:rsidRPr="00274E67" w14:paraId="168BAE66" w14:textId="77777777" w:rsidTr="00F608D8">
        <w:trPr>
          <w:trHeight w:val="927"/>
        </w:trPr>
        <w:tc>
          <w:tcPr>
            <w:cnfStyle w:val="001000000000" w:firstRow="0" w:lastRow="0" w:firstColumn="1" w:lastColumn="0" w:oddVBand="0" w:evenVBand="0" w:oddHBand="0" w:evenHBand="0" w:firstRowFirstColumn="0" w:firstRowLastColumn="0" w:lastRowFirstColumn="0" w:lastRowLastColumn="0"/>
            <w:tcW w:w="2017" w:type="pct"/>
            <w:vMerge w:val="restart"/>
            <w:vAlign w:val="center"/>
            <w:hideMark/>
          </w:tcPr>
          <w:p w14:paraId="12211835" w14:textId="77777777" w:rsidR="00E52ED4" w:rsidRPr="00C539DA" w:rsidRDefault="00E52ED4" w:rsidP="006B204A">
            <w:pPr>
              <w:spacing w:line="360" w:lineRule="auto"/>
              <w:jc w:val="center"/>
              <w:rPr>
                <w:rFonts w:eastAsia="Times New Roman"/>
                <w:lang w:val="es-DO" w:eastAsia="es-DO"/>
              </w:rPr>
            </w:pPr>
            <w:r w:rsidRPr="00C539DA">
              <w:rPr>
                <w:rFonts w:eastAsia="Times New Roman"/>
                <w:lang w:val="es-DO" w:eastAsia="es-DO"/>
              </w:rPr>
              <w:t>Eje 6. Integridad del Sistema Financiero</w:t>
            </w:r>
          </w:p>
        </w:tc>
        <w:tc>
          <w:tcPr>
            <w:tcW w:w="2983" w:type="pct"/>
            <w:vAlign w:val="center"/>
            <w:hideMark/>
          </w:tcPr>
          <w:p w14:paraId="1AAA6905" w14:textId="77777777"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6.1: Mejorar la supervisión del cumplimiento de las normas de prevención de lavado de activos, financiamiento al terrorismo y criminalidad financiera.</w:t>
            </w:r>
          </w:p>
        </w:tc>
      </w:tr>
      <w:tr w:rsidR="00E52ED4" w:rsidRPr="00274E67" w14:paraId="2CA338E2" w14:textId="77777777" w:rsidTr="00F608D8">
        <w:trPr>
          <w:trHeight w:val="981"/>
        </w:trPr>
        <w:tc>
          <w:tcPr>
            <w:cnfStyle w:val="001000000000" w:firstRow="0" w:lastRow="0" w:firstColumn="1" w:lastColumn="0" w:oddVBand="0" w:evenVBand="0" w:oddHBand="0" w:evenHBand="0" w:firstRowFirstColumn="0" w:firstRowLastColumn="0" w:lastRowFirstColumn="0" w:lastRowLastColumn="0"/>
            <w:tcW w:w="2017" w:type="pct"/>
            <w:vMerge/>
            <w:vAlign w:val="center"/>
            <w:hideMark/>
          </w:tcPr>
          <w:p w14:paraId="07AE40C5" w14:textId="77777777" w:rsidR="00E52ED4" w:rsidRPr="00C539DA" w:rsidRDefault="00E52ED4" w:rsidP="006B204A">
            <w:pPr>
              <w:spacing w:line="360" w:lineRule="auto"/>
              <w:jc w:val="center"/>
              <w:rPr>
                <w:rFonts w:eastAsia="Times New Roman"/>
                <w:lang w:val="es-DO" w:eastAsia="es-DO"/>
              </w:rPr>
            </w:pPr>
          </w:p>
        </w:tc>
        <w:tc>
          <w:tcPr>
            <w:tcW w:w="2983" w:type="pct"/>
            <w:vAlign w:val="center"/>
            <w:hideMark/>
          </w:tcPr>
          <w:p w14:paraId="42F78482" w14:textId="77777777" w:rsidR="00E52ED4" w:rsidRPr="00C539DA" w:rsidRDefault="00E52ED4" w:rsidP="006B204A">
            <w:pPr>
              <w:spacing w:line="360" w:lineRule="auto"/>
              <w:jc w:val="center"/>
              <w:cnfStyle w:val="000000000000" w:firstRow="0" w:lastRow="0" w:firstColumn="0" w:lastColumn="0" w:oddVBand="0" w:evenVBand="0" w:oddHBand="0" w:evenHBand="0" w:firstRowFirstColumn="0" w:firstRowLastColumn="0" w:lastRowFirstColumn="0" w:lastRowLastColumn="0"/>
              <w:rPr>
                <w:rFonts w:eastAsia="Times New Roman"/>
                <w:lang w:val="es-DO" w:eastAsia="es-DO"/>
              </w:rPr>
            </w:pPr>
            <w:r w:rsidRPr="00C539DA">
              <w:rPr>
                <w:rFonts w:eastAsia="Times New Roman"/>
                <w:lang w:val="es-DO" w:eastAsia="es-DO"/>
              </w:rPr>
              <w:t>6.2: Promover la disciplina del mercado a través de la divulgación de información y un régimen sancionador efectivo, conforme al debido proceso.</w:t>
            </w:r>
          </w:p>
        </w:tc>
      </w:tr>
    </w:tbl>
    <w:p w14:paraId="31006B0B" w14:textId="4033E151" w:rsidR="00174DFA" w:rsidRPr="00361A78" w:rsidRDefault="003B6208" w:rsidP="006B204A">
      <w:pPr>
        <w:spacing w:line="360" w:lineRule="auto"/>
        <w:jc w:val="center"/>
        <w:rPr>
          <w:lang w:val="es-DO"/>
        </w:rPr>
      </w:pPr>
      <w:r w:rsidRPr="00942F25">
        <w:rPr>
          <w:b/>
          <w:lang w:val="es-DO"/>
        </w:rPr>
        <w:t>Fuente</w:t>
      </w:r>
      <w:r w:rsidRPr="00942F25">
        <w:rPr>
          <w:lang w:val="es-DO"/>
        </w:rPr>
        <w:t xml:space="preserve">: Plan Estratégico Institucional </w:t>
      </w:r>
      <w:r w:rsidR="00C1500A">
        <w:rPr>
          <w:lang w:val="es-DO"/>
        </w:rPr>
        <w:t xml:space="preserve">de la </w:t>
      </w:r>
      <w:r w:rsidRPr="00942F25">
        <w:rPr>
          <w:lang w:val="es-DO"/>
        </w:rPr>
        <w:t>S</w:t>
      </w:r>
      <w:r w:rsidR="00C1500A">
        <w:rPr>
          <w:lang w:val="es-DO"/>
        </w:rPr>
        <w:t xml:space="preserve">uperintendencia de </w:t>
      </w:r>
      <w:r w:rsidRPr="00942F25">
        <w:rPr>
          <w:lang w:val="es-DO"/>
        </w:rPr>
        <w:t>B</w:t>
      </w:r>
      <w:r w:rsidR="00C1500A">
        <w:rPr>
          <w:lang w:val="es-DO"/>
        </w:rPr>
        <w:t>ancos</w:t>
      </w:r>
      <w:r w:rsidRPr="00942F25">
        <w:rPr>
          <w:lang w:val="es-DO"/>
        </w:rPr>
        <w:t xml:space="preserve"> 2021-2024</w:t>
      </w:r>
      <w:bookmarkStart w:id="17" w:name="_Toc123046909"/>
    </w:p>
    <w:p w14:paraId="2782D533" w14:textId="77777777" w:rsidR="00F608D8" w:rsidRDefault="00F608D8" w:rsidP="006B204A">
      <w:pPr>
        <w:spacing w:line="360" w:lineRule="auto"/>
        <w:jc w:val="center"/>
        <w:rPr>
          <w:lang w:val="es-DO"/>
        </w:rPr>
      </w:pPr>
    </w:p>
    <w:p w14:paraId="494386BA" w14:textId="77777777" w:rsidR="00F608D8" w:rsidRDefault="00F608D8" w:rsidP="006B204A">
      <w:pPr>
        <w:spacing w:line="360" w:lineRule="auto"/>
        <w:jc w:val="center"/>
        <w:rPr>
          <w:lang w:val="es-DO"/>
        </w:rPr>
      </w:pPr>
    </w:p>
    <w:p w14:paraId="1B4DE9F9" w14:textId="77777777" w:rsidR="00F608D8" w:rsidRPr="00361A78" w:rsidRDefault="00F608D8" w:rsidP="006B204A">
      <w:pPr>
        <w:spacing w:line="360" w:lineRule="auto"/>
        <w:jc w:val="center"/>
        <w:rPr>
          <w:lang w:val="es-DO"/>
        </w:rPr>
      </w:pPr>
    </w:p>
    <w:p w14:paraId="4B587BA1" w14:textId="3A55DED7" w:rsidR="00E52ED4" w:rsidRPr="00C865B6" w:rsidRDefault="00D00E05" w:rsidP="0042752A">
      <w:pPr>
        <w:pStyle w:val="Ttulo1"/>
        <w:spacing w:afterLines="160" w:after="384"/>
        <w:rPr>
          <w:rStyle w:val="EstiloTItulosMemoriasCar"/>
          <w:rFonts w:eastAsia="Calibri" w:cs="Times New Roman"/>
        </w:rPr>
      </w:pPr>
      <w:bookmarkStart w:id="18" w:name="_Toc155354607"/>
      <w:r>
        <w:rPr>
          <w:rStyle w:val="EstiloTItulosMemoriasCar"/>
          <w:rFonts w:eastAsia="Calibri" w:cs="Times New Roman"/>
        </w:rPr>
        <w:lastRenderedPageBreak/>
        <w:t>III</w:t>
      </w:r>
      <w:r w:rsidR="00E52ED4" w:rsidRPr="00C865B6">
        <w:rPr>
          <w:rStyle w:val="EstiloTItulosMemoriasCar"/>
          <w:rFonts w:eastAsia="Calibri" w:cs="Times New Roman"/>
        </w:rPr>
        <w:t xml:space="preserve">. </w:t>
      </w:r>
      <w:bookmarkStart w:id="19" w:name="_Toc122435004"/>
      <w:r w:rsidR="00E52ED4" w:rsidRPr="00C865B6">
        <w:rPr>
          <w:rStyle w:val="EstiloTItulosMemoriasCar"/>
          <w:rFonts w:eastAsia="Calibri" w:cs="Times New Roman"/>
        </w:rPr>
        <w:t>RESULTADOS MISIONALES</w:t>
      </w:r>
      <w:bookmarkEnd w:id="17"/>
      <w:bookmarkEnd w:id="18"/>
      <w:bookmarkEnd w:id="19"/>
    </w:p>
    <w:p w14:paraId="1C8BBA57" w14:textId="77777777" w:rsidR="00E52ED4" w:rsidRPr="00C865B6" w:rsidRDefault="00E52ED4" w:rsidP="0042752A">
      <w:pPr>
        <w:spacing w:afterLines="160" w:after="384"/>
        <w:rPr>
          <w:lang w:val="es-DO"/>
        </w:rPr>
      </w:pPr>
      <w:r w:rsidRPr="00C865B6">
        <w:rPr>
          <w:rStyle w:val="EstiloTItulosMemoriasCar"/>
          <w:rFonts w:eastAsia="Calibri" w:cs="Times New Roman"/>
          <w:noProof/>
        </w:rPr>
        <mc:AlternateContent>
          <mc:Choice Requires="wps">
            <w:drawing>
              <wp:anchor distT="0" distB="0" distL="114300" distR="114300" simplePos="0" relativeHeight="251658250" behindDoc="0" locked="0" layoutInCell="1" allowOverlap="1" wp14:anchorId="1256DDE6" wp14:editId="298B81AB">
                <wp:simplePos x="0" y="0"/>
                <wp:positionH relativeFrom="margin">
                  <wp:posOffset>2352675</wp:posOffset>
                </wp:positionH>
                <wp:positionV relativeFrom="paragraph">
                  <wp:posOffset>97155</wp:posOffset>
                </wp:positionV>
                <wp:extent cx="463550" cy="0"/>
                <wp:effectExtent l="17145" t="19050" r="14605" b="19050"/>
                <wp:wrapNone/>
                <wp:docPr id="14" name="Conector recto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3EA7B397" id="Conector recto 14" o:spid="_x0000_s1026" style="position:absolute;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85.25pt,7.65pt" to="221.75pt,7.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" strokecolor="#ee2a24" strokeweight="2.25pt">
                <v:stroke joinstyle="miter"/>
                <w10:wrap anchorx="margin"/>
              </v:line>
            </w:pict>
          </mc:Fallback>
        </mc:AlternateContent>
      </w:r>
    </w:p>
    <w:p w14:paraId="3BBCAB1F" w14:textId="094C7DC6" w:rsidR="007B1CCF" w:rsidRPr="00151806" w:rsidRDefault="00151806" w:rsidP="0042752A">
      <w:pPr>
        <w:pStyle w:val="Estilo1"/>
        <w:spacing w:afterLines="160" w:after="384"/>
        <w:rPr>
          <w:i w:val="0"/>
          <w:iCs w:val="0"/>
          <w:sz w:val="24"/>
          <w:szCs w:val="24"/>
        </w:rPr>
      </w:pPr>
      <w:bookmarkStart w:id="20" w:name="_Toc122435005"/>
      <w:bookmarkStart w:id="21" w:name="_Toc123046910"/>
      <w:bookmarkStart w:id="22" w:name="_Toc155354608"/>
      <w:r w:rsidRPr="00151806">
        <w:rPr>
          <w:i w:val="0"/>
          <w:iCs w:val="0"/>
          <w:sz w:val="24"/>
          <w:szCs w:val="24"/>
        </w:rPr>
        <w:t xml:space="preserve">3.1 </w:t>
      </w:r>
      <w:r w:rsidR="00255E80" w:rsidRPr="00151806">
        <w:rPr>
          <w:i w:val="0"/>
          <w:iCs w:val="0"/>
          <w:sz w:val="24"/>
          <w:szCs w:val="24"/>
        </w:rPr>
        <w:t>Desempeño del sector financiero</w:t>
      </w:r>
      <w:bookmarkEnd w:id="22"/>
    </w:p>
    <w:p w14:paraId="339DE969" w14:textId="12EAC63E" w:rsidR="006B204A" w:rsidRPr="007B1CCF" w:rsidRDefault="007B1CCF" w:rsidP="0042752A">
      <w:pPr>
        <w:pStyle w:val="Cuerpomemorias"/>
        <w:spacing w:after="160"/>
        <w:ind w:left="0"/>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El sector bancario de la República Dominicana mantuvo indicadores de desempeño saludables durante los últimos 12 meses y presenta niveles de rentabilidad, solvencia y liquidez adecuadas para responder oportunamente a los cambios en las condiciones de mercado y la situación económica.</w:t>
      </w:r>
    </w:p>
    <w:p w14:paraId="4634A662" w14:textId="31FE9702"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 xml:space="preserve">Los activos totales del sistema ascendieron a </w:t>
      </w:r>
      <w:r w:rsidR="00B14BA4">
        <w:rPr>
          <w:rFonts w:ascii="Times New Roman" w:eastAsiaTheme="minorHAnsi" w:hAnsi="Times New Roman" w:cs="Times New Roman"/>
          <w:color w:val="767171"/>
          <w:spacing w:val="20"/>
          <w:sz w:val="24"/>
          <w:szCs w:val="24"/>
          <w:bdr w:val="none" w:sz="0" w:space="0" w:color="auto"/>
          <w:lang w:eastAsia="en-US"/>
        </w:rPr>
        <w:t xml:space="preserve">RD$ </w:t>
      </w:r>
      <w:r w:rsidRPr="007B1CCF">
        <w:rPr>
          <w:rFonts w:ascii="Times New Roman" w:eastAsiaTheme="minorHAnsi" w:hAnsi="Times New Roman" w:cs="Times New Roman"/>
          <w:color w:val="767171"/>
          <w:spacing w:val="20"/>
          <w:sz w:val="24"/>
          <w:szCs w:val="24"/>
          <w:bdr w:val="none" w:sz="0" w:space="0" w:color="auto"/>
          <w:lang w:eastAsia="en-US"/>
        </w:rPr>
        <w:t xml:space="preserve">3.353 billones (53.5% del PIB) para un crecimiento nominal interanual de +13.9% (el crecimiento se mantuvo constante desde junio pasado). La cartera de crédito sigue siendo el contribuidor principal en el crecimiento de los activos con un 67.6% </w:t>
      </w:r>
      <w:r w:rsidR="002C3F22">
        <w:rPr>
          <w:rFonts w:ascii="Times New Roman" w:eastAsiaTheme="minorHAnsi" w:hAnsi="Times New Roman" w:cs="Times New Roman"/>
          <w:color w:val="767171"/>
          <w:spacing w:val="20"/>
          <w:sz w:val="24"/>
          <w:szCs w:val="24"/>
          <w:bdr w:val="none" w:sz="0" w:space="0" w:color="auto"/>
          <w:lang w:eastAsia="en-US"/>
        </w:rPr>
        <w:t>presentando</w:t>
      </w:r>
      <w:r w:rsidRPr="007B1CCF">
        <w:rPr>
          <w:rFonts w:ascii="Times New Roman" w:eastAsiaTheme="minorHAnsi" w:hAnsi="Times New Roman" w:cs="Times New Roman"/>
          <w:color w:val="767171"/>
          <w:spacing w:val="20"/>
          <w:sz w:val="24"/>
          <w:szCs w:val="24"/>
          <w:bdr w:val="none" w:sz="0" w:space="0" w:color="auto"/>
          <w:lang w:eastAsia="en-US"/>
        </w:rPr>
        <w:t xml:space="preserve"> un repunte en la tasa de participación </w:t>
      </w:r>
      <w:r w:rsidR="0071701D">
        <w:rPr>
          <w:rFonts w:ascii="Times New Roman" w:eastAsiaTheme="minorHAnsi" w:hAnsi="Times New Roman" w:cs="Times New Roman"/>
          <w:color w:val="767171"/>
          <w:spacing w:val="20"/>
          <w:sz w:val="24"/>
          <w:szCs w:val="24"/>
          <w:bdr w:val="none" w:sz="0" w:space="0" w:color="auto"/>
          <w:lang w:eastAsia="en-US"/>
        </w:rPr>
        <w:t>al aumentar</w:t>
      </w:r>
      <w:r w:rsidRPr="007B1CCF">
        <w:rPr>
          <w:rFonts w:ascii="Times New Roman" w:eastAsiaTheme="minorHAnsi" w:hAnsi="Times New Roman" w:cs="Times New Roman"/>
          <w:color w:val="767171"/>
          <w:spacing w:val="20"/>
          <w:sz w:val="24"/>
          <w:szCs w:val="24"/>
          <w:bdr w:val="none" w:sz="0" w:space="0" w:color="auto"/>
          <w:lang w:eastAsia="en-US"/>
        </w:rPr>
        <w:t xml:space="preserve"> 4.6 puntos porcentuales </w:t>
      </w:r>
      <w:r w:rsidR="00175002" w:rsidRPr="007B1CCF">
        <w:rPr>
          <w:rFonts w:ascii="Times New Roman" w:eastAsiaTheme="minorHAnsi" w:hAnsi="Times New Roman" w:cs="Times New Roman"/>
          <w:color w:val="767171"/>
          <w:spacing w:val="20"/>
          <w:sz w:val="24"/>
          <w:szCs w:val="24"/>
          <w:bdr w:val="none" w:sz="0" w:space="0" w:color="auto"/>
          <w:lang w:eastAsia="en-US"/>
        </w:rPr>
        <w:t>con relación al</w:t>
      </w:r>
      <w:r w:rsidRPr="007B1CCF">
        <w:rPr>
          <w:rFonts w:ascii="Times New Roman" w:eastAsiaTheme="minorHAnsi" w:hAnsi="Times New Roman" w:cs="Times New Roman"/>
          <w:color w:val="767171"/>
          <w:spacing w:val="20"/>
          <w:sz w:val="24"/>
          <w:szCs w:val="24"/>
          <w:bdr w:val="none" w:sz="0" w:space="0" w:color="auto"/>
          <w:lang w:eastAsia="en-US"/>
        </w:rPr>
        <w:t xml:space="preserve"> último trimestre</w:t>
      </w:r>
      <w:r w:rsidR="00B11239">
        <w:rPr>
          <w:rFonts w:ascii="Times New Roman" w:eastAsiaTheme="minorHAnsi" w:hAnsi="Times New Roman" w:cs="Times New Roman"/>
          <w:color w:val="767171"/>
          <w:spacing w:val="20"/>
          <w:sz w:val="24"/>
          <w:szCs w:val="24"/>
          <w:bdr w:val="none" w:sz="0" w:space="0" w:color="auto"/>
          <w:lang w:eastAsia="en-US"/>
        </w:rPr>
        <w:t>,</w:t>
      </w:r>
      <w:r w:rsidRPr="007B1CCF">
        <w:rPr>
          <w:rFonts w:ascii="Times New Roman" w:eastAsiaTheme="minorHAnsi" w:hAnsi="Times New Roman" w:cs="Times New Roman"/>
          <w:color w:val="767171"/>
          <w:spacing w:val="20"/>
          <w:sz w:val="24"/>
          <w:szCs w:val="24"/>
          <w:bdr w:val="none" w:sz="0" w:space="0" w:color="auto"/>
          <w:lang w:eastAsia="en-US"/>
        </w:rPr>
        <w:t xml:space="preserve"> cuando marcaba 63.0%.</w:t>
      </w:r>
    </w:p>
    <w:p w14:paraId="612B094D" w14:textId="4873DECB"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 xml:space="preserve">La cartera de créditos se mantiene registrando un crecimiento real elevado.  La cartera de créditos bruta del sistema financiero ascendió a </w:t>
      </w:r>
      <w:r w:rsidR="00B14BA4">
        <w:rPr>
          <w:rFonts w:ascii="Times New Roman" w:eastAsiaTheme="minorHAnsi" w:hAnsi="Times New Roman" w:cs="Times New Roman"/>
          <w:color w:val="767171"/>
          <w:spacing w:val="20"/>
          <w:sz w:val="24"/>
          <w:szCs w:val="24"/>
          <w:bdr w:val="none" w:sz="0" w:space="0" w:color="auto"/>
          <w:lang w:eastAsia="en-US"/>
        </w:rPr>
        <w:t xml:space="preserve">RD$ </w:t>
      </w:r>
      <w:r w:rsidRPr="007B1CCF">
        <w:rPr>
          <w:rFonts w:ascii="Times New Roman" w:eastAsiaTheme="minorHAnsi" w:hAnsi="Times New Roman" w:cs="Times New Roman"/>
          <w:color w:val="767171"/>
          <w:spacing w:val="20"/>
          <w:sz w:val="24"/>
          <w:szCs w:val="24"/>
          <w:bdr w:val="none" w:sz="0" w:space="0" w:color="auto"/>
          <w:lang w:eastAsia="en-US"/>
        </w:rPr>
        <w:t xml:space="preserve">1.84 billones (29.5% del PIB), para un aumento interanual de </w:t>
      </w:r>
      <w:r w:rsidR="005A0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 xml:space="preserve">275,410 millones. En los últimos 12 meses, el crecimiento nominal registrado de la cartera de créditos al sector privado fue +18.0%. En el mismo periodo, la cartera pública mostró un descenso de alrededor de un -2.5%. Se destaca la fortaleza en el consumo, con </w:t>
      </w:r>
      <w:r w:rsidR="00CB196C">
        <w:rPr>
          <w:rFonts w:ascii="Times New Roman" w:eastAsiaTheme="minorHAnsi" w:hAnsi="Times New Roman" w:cs="Times New Roman"/>
          <w:color w:val="767171"/>
          <w:spacing w:val="20"/>
          <w:sz w:val="24"/>
          <w:szCs w:val="24"/>
          <w:bdr w:val="none" w:sz="0" w:space="0" w:color="auto"/>
          <w:lang w:eastAsia="en-US"/>
        </w:rPr>
        <w:t>los</w:t>
      </w:r>
      <w:r w:rsidRPr="007B1CCF">
        <w:rPr>
          <w:rFonts w:ascii="Times New Roman" w:eastAsiaTheme="minorHAnsi" w:hAnsi="Times New Roman" w:cs="Times New Roman"/>
          <w:color w:val="767171"/>
          <w:spacing w:val="20"/>
          <w:sz w:val="24"/>
          <w:szCs w:val="24"/>
          <w:bdr w:val="none" w:sz="0" w:space="0" w:color="auto"/>
          <w:lang w:eastAsia="en-US"/>
        </w:rPr>
        <w:t xml:space="preserve"> segmento</w:t>
      </w:r>
      <w:r w:rsidR="00CB196C">
        <w:rPr>
          <w:rFonts w:ascii="Times New Roman" w:eastAsiaTheme="minorHAnsi" w:hAnsi="Times New Roman" w:cs="Times New Roman"/>
          <w:color w:val="767171"/>
          <w:spacing w:val="20"/>
          <w:sz w:val="24"/>
          <w:szCs w:val="24"/>
          <w:bdr w:val="none" w:sz="0" w:space="0" w:color="auto"/>
          <w:lang w:eastAsia="en-US"/>
        </w:rPr>
        <w:t>s</w:t>
      </w:r>
      <w:r w:rsidRPr="007B1CCF">
        <w:rPr>
          <w:rFonts w:ascii="Times New Roman" w:eastAsiaTheme="minorHAnsi" w:hAnsi="Times New Roman" w:cs="Times New Roman"/>
          <w:color w:val="767171"/>
          <w:spacing w:val="20"/>
          <w:sz w:val="24"/>
          <w:szCs w:val="24"/>
          <w:bdr w:val="none" w:sz="0" w:space="0" w:color="auto"/>
          <w:lang w:eastAsia="en-US"/>
        </w:rPr>
        <w:t xml:space="preserve"> de tarjetas de crédito </w:t>
      </w:r>
      <w:r w:rsidR="00F550FA">
        <w:rPr>
          <w:rFonts w:ascii="Times New Roman" w:eastAsiaTheme="minorHAnsi" w:hAnsi="Times New Roman" w:cs="Times New Roman"/>
          <w:color w:val="767171"/>
          <w:spacing w:val="20"/>
          <w:sz w:val="24"/>
          <w:szCs w:val="24"/>
          <w:bdr w:val="none" w:sz="0" w:space="0" w:color="auto"/>
          <w:lang w:eastAsia="en-US"/>
        </w:rPr>
        <w:t>y de créditos comerciales</w:t>
      </w:r>
      <w:r w:rsidR="00AD5ECC">
        <w:rPr>
          <w:rFonts w:ascii="Times New Roman" w:eastAsiaTheme="minorHAnsi" w:hAnsi="Times New Roman" w:cs="Times New Roman"/>
          <w:color w:val="767171"/>
          <w:spacing w:val="20"/>
          <w:sz w:val="24"/>
          <w:szCs w:val="24"/>
          <w:bdr w:val="none" w:sz="0" w:space="0" w:color="auto"/>
          <w:lang w:eastAsia="en-US"/>
        </w:rPr>
        <w:t xml:space="preserve"> presentando incrementos interanuales</w:t>
      </w:r>
      <w:r w:rsidR="00BB7C04">
        <w:rPr>
          <w:rFonts w:ascii="Times New Roman" w:eastAsiaTheme="minorHAnsi" w:hAnsi="Times New Roman" w:cs="Times New Roman"/>
          <w:color w:val="767171"/>
          <w:spacing w:val="20"/>
          <w:sz w:val="24"/>
          <w:szCs w:val="24"/>
          <w:bdr w:val="none" w:sz="0" w:space="0" w:color="auto"/>
          <w:lang w:eastAsia="en-US"/>
        </w:rPr>
        <w:t xml:space="preserve"> en términos reales</w:t>
      </w:r>
      <w:r w:rsidR="00AD5ECC">
        <w:rPr>
          <w:rFonts w:ascii="Times New Roman" w:eastAsiaTheme="minorHAnsi" w:hAnsi="Times New Roman" w:cs="Times New Roman"/>
          <w:color w:val="767171"/>
          <w:spacing w:val="20"/>
          <w:sz w:val="24"/>
          <w:szCs w:val="24"/>
          <w:bdr w:val="none" w:sz="0" w:space="0" w:color="auto"/>
          <w:lang w:eastAsia="en-US"/>
        </w:rPr>
        <w:t xml:space="preserve"> </w:t>
      </w:r>
      <w:r w:rsidR="009C130E">
        <w:rPr>
          <w:rFonts w:ascii="Times New Roman" w:eastAsiaTheme="minorHAnsi" w:hAnsi="Times New Roman" w:cs="Times New Roman"/>
          <w:color w:val="767171"/>
          <w:spacing w:val="20"/>
          <w:sz w:val="24"/>
          <w:szCs w:val="24"/>
          <w:bdr w:val="none" w:sz="0" w:space="0" w:color="auto"/>
          <w:lang w:eastAsia="en-US"/>
        </w:rPr>
        <w:t>de</w:t>
      </w:r>
      <w:r w:rsidRPr="007B1CCF">
        <w:rPr>
          <w:rFonts w:ascii="Times New Roman" w:eastAsiaTheme="minorHAnsi" w:hAnsi="Times New Roman" w:cs="Times New Roman"/>
          <w:color w:val="767171"/>
          <w:spacing w:val="20"/>
          <w:sz w:val="24"/>
          <w:szCs w:val="24"/>
          <w:bdr w:val="none" w:sz="0" w:space="0" w:color="auto"/>
          <w:lang w:eastAsia="en-US"/>
        </w:rPr>
        <w:t xml:space="preserve"> +20.0% </w:t>
      </w:r>
      <w:r w:rsidR="009C130E">
        <w:rPr>
          <w:rFonts w:ascii="Times New Roman" w:eastAsiaTheme="minorHAnsi" w:hAnsi="Times New Roman" w:cs="Times New Roman"/>
          <w:color w:val="767171"/>
          <w:spacing w:val="20"/>
          <w:sz w:val="24"/>
          <w:szCs w:val="24"/>
          <w:bdr w:val="none" w:sz="0" w:space="0" w:color="auto"/>
          <w:lang w:eastAsia="en-US"/>
        </w:rPr>
        <w:t xml:space="preserve">y </w:t>
      </w:r>
      <w:r w:rsidR="006E53F0" w:rsidRPr="007B1CCF">
        <w:rPr>
          <w:rFonts w:ascii="Times New Roman" w:eastAsiaTheme="minorHAnsi" w:hAnsi="Times New Roman" w:cs="Times New Roman"/>
          <w:color w:val="767171"/>
          <w:spacing w:val="20"/>
          <w:sz w:val="24"/>
          <w:szCs w:val="24"/>
          <w:bdr w:val="none" w:sz="0" w:space="0" w:color="auto"/>
          <w:lang w:eastAsia="en-US"/>
        </w:rPr>
        <w:t xml:space="preserve">+11.9% </w:t>
      </w:r>
      <w:r w:rsidR="006E53F0">
        <w:rPr>
          <w:rFonts w:ascii="Times New Roman" w:eastAsiaTheme="minorHAnsi" w:hAnsi="Times New Roman" w:cs="Times New Roman"/>
          <w:color w:val="767171"/>
          <w:spacing w:val="20"/>
          <w:sz w:val="24"/>
          <w:szCs w:val="24"/>
          <w:bdr w:val="none" w:sz="0" w:space="0" w:color="auto"/>
          <w:lang w:eastAsia="en-US"/>
        </w:rPr>
        <w:t>respectivamente</w:t>
      </w:r>
      <w:r w:rsidR="00361B74">
        <w:rPr>
          <w:rFonts w:ascii="Times New Roman" w:eastAsiaTheme="minorHAnsi" w:hAnsi="Times New Roman" w:cs="Times New Roman"/>
          <w:color w:val="767171"/>
          <w:spacing w:val="20"/>
          <w:sz w:val="24"/>
          <w:szCs w:val="24"/>
          <w:bdr w:val="none" w:sz="0" w:space="0" w:color="auto"/>
          <w:lang w:eastAsia="en-US"/>
        </w:rPr>
        <w:t>.</w:t>
      </w:r>
    </w:p>
    <w:p w14:paraId="5AB5B363" w14:textId="3851765D" w:rsidR="007B1CCF" w:rsidRPr="007B1CCF" w:rsidRDefault="007B1CCF" w:rsidP="0042752A">
      <w:pPr>
        <w:pStyle w:val="Cuerpomemorias"/>
        <w:numPr>
          <w:ilvl w:val="0"/>
          <w:numId w:val="16"/>
        </w:numPr>
        <w:spacing w:afterLines="160" w:after="384"/>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lastRenderedPageBreak/>
        <w:t>Las tasas de interés se encuentran en proceso de ajuste, principalmente las tasas activas, registrando una recuperación en el margen de intermediación. Las tasas de interés promedio ponderada (TIPP) activa y pasiva de la banca múltiple cerraron en septiembre 2023 en 13.9% y 8.4%</w:t>
      </w:r>
      <w:r w:rsidR="00BA2FBF">
        <w:rPr>
          <w:rFonts w:ascii="Times New Roman" w:eastAsiaTheme="minorHAnsi" w:hAnsi="Times New Roman" w:cs="Times New Roman"/>
          <w:color w:val="767171"/>
          <w:spacing w:val="20"/>
          <w:sz w:val="24"/>
          <w:szCs w:val="24"/>
          <w:bdr w:val="none" w:sz="0" w:space="0" w:color="auto"/>
          <w:lang w:eastAsia="en-US"/>
        </w:rPr>
        <w:t xml:space="preserve"> </w:t>
      </w:r>
      <w:r w:rsidR="00BA2FBF" w:rsidRPr="007B1CCF">
        <w:rPr>
          <w:rFonts w:ascii="Times New Roman" w:eastAsiaTheme="minorHAnsi" w:hAnsi="Times New Roman" w:cs="Times New Roman"/>
          <w:color w:val="767171"/>
          <w:spacing w:val="20"/>
          <w:sz w:val="24"/>
          <w:szCs w:val="24"/>
          <w:bdr w:val="none" w:sz="0" w:space="0" w:color="auto"/>
          <w:lang w:eastAsia="en-US"/>
        </w:rPr>
        <w:t>respectivamente</w:t>
      </w:r>
      <w:r w:rsidRPr="007B1CCF">
        <w:rPr>
          <w:rFonts w:ascii="Times New Roman" w:eastAsiaTheme="minorHAnsi" w:hAnsi="Times New Roman" w:cs="Times New Roman"/>
          <w:color w:val="767171"/>
          <w:spacing w:val="20"/>
          <w:sz w:val="24"/>
          <w:szCs w:val="24"/>
          <w:bdr w:val="none" w:sz="0" w:space="0" w:color="auto"/>
          <w:lang w:eastAsia="en-US"/>
        </w:rPr>
        <w:t xml:space="preserve"> (+1.5 y -1.1 puntos porcentuales desde junio 2023</w:t>
      </w:r>
      <w:r w:rsidR="00482BC0" w:rsidRPr="007B1CCF">
        <w:rPr>
          <w:rFonts w:ascii="Times New Roman" w:eastAsiaTheme="minorHAnsi" w:hAnsi="Times New Roman" w:cs="Times New Roman"/>
          <w:color w:val="767171"/>
          <w:spacing w:val="20"/>
          <w:sz w:val="24"/>
          <w:szCs w:val="24"/>
          <w:bdr w:val="none" w:sz="0" w:space="0" w:color="auto"/>
          <w:lang w:eastAsia="en-US"/>
        </w:rPr>
        <w:t>)</w:t>
      </w:r>
      <w:r w:rsidR="00482BC0">
        <w:rPr>
          <w:rFonts w:ascii="Times New Roman" w:eastAsiaTheme="minorHAnsi" w:hAnsi="Times New Roman" w:cs="Times New Roman"/>
          <w:color w:val="767171"/>
          <w:spacing w:val="20"/>
          <w:sz w:val="24"/>
          <w:szCs w:val="24"/>
          <w:bdr w:val="none" w:sz="0" w:space="0" w:color="auto"/>
          <w:lang w:eastAsia="en-US"/>
        </w:rPr>
        <w:t>,</w:t>
      </w:r>
      <w:r w:rsidRPr="007B1CCF">
        <w:rPr>
          <w:rFonts w:ascii="Times New Roman" w:eastAsiaTheme="minorHAnsi" w:hAnsi="Times New Roman" w:cs="Times New Roman"/>
          <w:color w:val="767171"/>
          <w:spacing w:val="20"/>
          <w:sz w:val="24"/>
          <w:szCs w:val="24"/>
          <w:bdr w:val="none" w:sz="0" w:space="0" w:color="auto"/>
          <w:lang w:eastAsia="en-US"/>
        </w:rPr>
        <w:t xml:space="preserve"> aumentando el margen de intermediación a 5.5% (+2.6 puntos porcentuales). Asimismo, la tasa interbancaria </w:t>
      </w:r>
      <w:r w:rsidR="00C52265">
        <w:rPr>
          <w:rFonts w:ascii="Times New Roman" w:eastAsiaTheme="minorHAnsi" w:hAnsi="Times New Roman" w:cs="Times New Roman"/>
          <w:color w:val="767171"/>
          <w:spacing w:val="20"/>
          <w:sz w:val="24"/>
          <w:szCs w:val="24"/>
          <w:bdr w:val="none" w:sz="0" w:space="0" w:color="auto"/>
          <w:lang w:eastAsia="en-US"/>
        </w:rPr>
        <w:t xml:space="preserve">fijada </w:t>
      </w:r>
      <w:r w:rsidR="00445EAF">
        <w:rPr>
          <w:rFonts w:ascii="Times New Roman" w:eastAsiaTheme="minorHAnsi" w:hAnsi="Times New Roman" w:cs="Times New Roman"/>
          <w:color w:val="767171"/>
          <w:spacing w:val="20"/>
          <w:sz w:val="24"/>
          <w:szCs w:val="24"/>
          <w:bdr w:val="none" w:sz="0" w:space="0" w:color="auto"/>
          <w:lang w:eastAsia="en-US"/>
        </w:rPr>
        <w:t>en</w:t>
      </w:r>
      <w:r w:rsidR="00C52265">
        <w:rPr>
          <w:rFonts w:ascii="Times New Roman" w:eastAsiaTheme="minorHAnsi" w:hAnsi="Times New Roman" w:cs="Times New Roman"/>
          <w:color w:val="767171"/>
          <w:spacing w:val="20"/>
          <w:sz w:val="24"/>
          <w:szCs w:val="24"/>
          <w:bdr w:val="none" w:sz="0" w:space="0" w:color="auto"/>
          <w:lang w:eastAsia="en-US"/>
        </w:rPr>
        <w:t xml:space="preserve"> el tercer trimestre del año</w:t>
      </w:r>
      <w:r w:rsidR="00AE2947">
        <w:rPr>
          <w:rFonts w:ascii="Times New Roman" w:eastAsiaTheme="minorHAnsi" w:hAnsi="Times New Roman" w:cs="Times New Roman"/>
          <w:color w:val="767171"/>
          <w:spacing w:val="20"/>
          <w:sz w:val="24"/>
          <w:szCs w:val="24"/>
          <w:bdr w:val="none" w:sz="0" w:space="0" w:color="auto"/>
          <w:lang w:eastAsia="en-US"/>
        </w:rPr>
        <w:t xml:space="preserve"> fue de</w:t>
      </w:r>
      <w:r w:rsidRPr="007B1CCF">
        <w:rPr>
          <w:rFonts w:ascii="Times New Roman" w:eastAsiaTheme="minorHAnsi" w:hAnsi="Times New Roman" w:cs="Times New Roman"/>
          <w:color w:val="767171"/>
          <w:spacing w:val="20"/>
          <w:sz w:val="24"/>
          <w:szCs w:val="24"/>
          <w:bdr w:val="none" w:sz="0" w:space="0" w:color="auto"/>
          <w:lang w:eastAsia="en-US"/>
        </w:rPr>
        <w:t xml:space="preserve"> 9.5% (-0.7 puntos porcentuales versus junio 2023).</w:t>
      </w:r>
    </w:p>
    <w:p w14:paraId="7BF643A4" w14:textId="35C5C959"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La exposición del crédito en moneda extranjera se mantiene estable. La cartera de créditos del sector privado denominada en moneda extranjera presentó un crecimiento interanual de +21.2%, para un balance de</w:t>
      </w:r>
      <w:r w:rsidR="0038006D">
        <w:rPr>
          <w:rFonts w:ascii="Times New Roman" w:eastAsiaTheme="minorHAnsi" w:hAnsi="Times New Roman" w:cs="Times New Roman"/>
          <w:color w:val="767171"/>
          <w:spacing w:val="20"/>
          <w:sz w:val="24"/>
          <w:szCs w:val="24"/>
          <w:bdr w:val="none" w:sz="0" w:space="0" w:color="auto"/>
          <w:lang w:eastAsia="en-US"/>
        </w:rPr>
        <w:t xml:space="preserve"> RD$</w:t>
      </w:r>
      <w:r w:rsidRPr="007B1CCF">
        <w:rPr>
          <w:rFonts w:ascii="Times New Roman" w:eastAsiaTheme="minorHAnsi" w:hAnsi="Times New Roman" w:cs="Times New Roman"/>
          <w:color w:val="767171"/>
          <w:spacing w:val="20"/>
          <w:sz w:val="24"/>
          <w:szCs w:val="24"/>
          <w:bdr w:val="none" w:sz="0" w:space="0" w:color="auto"/>
          <w:lang w:eastAsia="en-US"/>
        </w:rPr>
        <w:t xml:space="preserve">393.7 mil millones (21.3% de la cartera del sistema) versus </w:t>
      </w:r>
      <w:r w:rsidR="0038006D">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324.9 mil</w:t>
      </w:r>
      <w:r w:rsidR="00B92542">
        <w:rPr>
          <w:rFonts w:ascii="Times New Roman" w:eastAsiaTheme="minorHAnsi" w:hAnsi="Times New Roman" w:cs="Times New Roman"/>
          <w:color w:val="767171"/>
          <w:spacing w:val="20"/>
          <w:sz w:val="24"/>
          <w:szCs w:val="24"/>
          <w:bdr w:val="none" w:sz="0" w:space="0" w:color="auto"/>
          <w:lang w:eastAsia="en-US"/>
        </w:rPr>
        <w:t xml:space="preserve"> </w:t>
      </w:r>
      <w:r w:rsidRPr="007B1CCF">
        <w:rPr>
          <w:rFonts w:ascii="Times New Roman" w:eastAsiaTheme="minorHAnsi" w:hAnsi="Times New Roman" w:cs="Times New Roman"/>
          <w:color w:val="767171"/>
          <w:spacing w:val="20"/>
          <w:sz w:val="24"/>
          <w:szCs w:val="24"/>
          <w:bdr w:val="none" w:sz="0" w:space="0" w:color="auto"/>
          <w:lang w:eastAsia="en-US"/>
        </w:rPr>
        <w:t xml:space="preserve">millones (20.7%) en septiembre de 2022. </w:t>
      </w:r>
    </w:p>
    <w:p w14:paraId="2C410EBB" w14:textId="26136EA8"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La solvencia del sistema se mantiene estable. Al mes de septiembre</w:t>
      </w:r>
      <w:r w:rsidRPr="001A0DEC">
        <w:rPr>
          <w:rFonts w:ascii="Times New Roman" w:eastAsiaTheme="minorHAnsi" w:hAnsi="Times New Roman" w:cs="Times New Roman"/>
          <w:color w:val="767171"/>
          <w:spacing w:val="20"/>
          <w:sz w:val="24"/>
          <w:szCs w:val="24"/>
          <w:bdr w:val="none" w:sz="0" w:space="0" w:color="auto"/>
          <w:vertAlign w:val="superscript"/>
          <w:lang w:eastAsia="en-US"/>
        </w:rPr>
        <w:footnoteReference w:id="2"/>
      </w:r>
      <w:r w:rsidRPr="007B1CCF">
        <w:rPr>
          <w:rFonts w:ascii="Times New Roman" w:eastAsiaTheme="minorHAnsi" w:hAnsi="Times New Roman" w:cs="Times New Roman"/>
          <w:color w:val="767171"/>
          <w:spacing w:val="20"/>
          <w:sz w:val="24"/>
          <w:szCs w:val="24"/>
          <w:bdr w:val="none" w:sz="0" w:space="0" w:color="auto"/>
          <w:lang w:eastAsia="en-US"/>
        </w:rPr>
        <w:t xml:space="preserve">, el índice de solvencia del sistema financiero presenta una ligera reducción </w:t>
      </w:r>
      <w:r w:rsidR="003D1BD4">
        <w:rPr>
          <w:rFonts w:ascii="Times New Roman" w:eastAsiaTheme="minorHAnsi" w:hAnsi="Times New Roman" w:cs="Times New Roman"/>
          <w:color w:val="767171"/>
          <w:spacing w:val="20"/>
          <w:sz w:val="24"/>
          <w:szCs w:val="24"/>
          <w:bdr w:val="none" w:sz="0" w:space="0" w:color="auto"/>
          <w:lang w:eastAsia="en-US"/>
        </w:rPr>
        <w:t>intera</w:t>
      </w:r>
      <w:r w:rsidR="003C4496">
        <w:rPr>
          <w:rFonts w:ascii="Times New Roman" w:eastAsiaTheme="minorHAnsi" w:hAnsi="Times New Roman" w:cs="Times New Roman"/>
          <w:color w:val="767171"/>
          <w:spacing w:val="20"/>
          <w:sz w:val="24"/>
          <w:szCs w:val="24"/>
          <w:bdr w:val="none" w:sz="0" w:space="0" w:color="auto"/>
          <w:lang w:eastAsia="en-US"/>
        </w:rPr>
        <w:t>nual</w:t>
      </w:r>
      <w:r w:rsidR="004B51F2">
        <w:rPr>
          <w:rFonts w:ascii="Times New Roman" w:eastAsiaTheme="minorHAnsi" w:hAnsi="Times New Roman" w:cs="Times New Roman"/>
          <w:color w:val="767171"/>
          <w:spacing w:val="20"/>
          <w:sz w:val="24"/>
          <w:szCs w:val="24"/>
          <w:bdr w:val="none" w:sz="0" w:space="0" w:color="auto"/>
          <w:lang w:eastAsia="en-US"/>
        </w:rPr>
        <w:t xml:space="preserve">, </w:t>
      </w:r>
      <w:r w:rsidR="004B51F2" w:rsidRPr="007B1CCF">
        <w:rPr>
          <w:rFonts w:ascii="Times New Roman" w:eastAsiaTheme="minorHAnsi" w:hAnsi="Times New Roman" w:cs="Times New Roman"/>
          <w:color w:val="767171"/>
          <w:spacing w:val="20"/>
          <w:sz w:val="24"/>
          <w:szCs w:val="24"/>
          <w:bdr w:val="none" w:sz="0" w:space="0" w:color="auto"/>
          <w:lang w:eastAsia="en-US"/>
        </w:rPr>
        <w:t xml:space="preserve">ubicándose en 15.94% </w:t>
      </w:r>
      <w:r w:rsidRPr="007B1CCF">
        <w:rPr>
          <w:rFonts w:ascii="Times New Roman" w:eastAsiaTheme="minorHAnsi" w:hAnsi="Times New Roman" w:cs="Times New Roman"/>
          <w:color w:val="767171"/>
          <w:spacing w:val="20"/>
          <w:sz w:val="24"/>
          <w:szCs w:val="24"/>
          <w:bdr w:val="none" w:sz="0" w:space="0" w:color="auto"/>
          <w:lang w:eastAsia="en-US"/>
        </w:rPr>
        <w:t>(-1.41 puntos porcentual</w:t>
      </w:r>
      <w:r w:rsidR="004B51F2">
        <w:rPr>
          <w:rFonts w:ascii="Times New Roman" w:eastAsiaTheme="minorHAnsi" w:hAnsi="Times New Roman" w:cs="Times New Roman"/>
          <w:color w:val="767171"/>
          <w:spacing w:val="20"/>
          <w:sz w:val="24"/>
          <w:szCs w:val="24"/>
          <w:bdr w:val="none" w:sz="0" w:space="0" w:color="auto"/>
          <w:lang w:eastAsia="en-US"/>
        </w:rPr>
        <w:t>es</w:t>
      </w:r>
      <w:r w:rsidRPr="007B1CCF">
        <w:rPr>
          <w:rFonts w:ascii="Times New Roman" w:eastAsiaTheme="minorHAnsi" w:hAnsi="Times New Roman" w:cs="Times New Roman"/>
          <w:color w:val="767171"/>
          <w:spacing w:val="20"/>
          <w:sz w:val="24"/>
          <w:szCs w:val="24"/>
          <w:bdr w:val="none" w:sz="0" w:space="0" w:color="auto"/>
          <w:lang w:eastAsia="en-US"/>
        </w:rPr>
        <w:t>)</w:t>
      </w:r>
      <w:r w:rsidR="000E3D23">
        <w:rPr>
          <w:rFonts w:ascii="Times New Roman" w:eastAsiaTheme="minorHAnsi" w:hAnsi="Times New Roman" w:cs="Times New Roman"/>
          <w:color w:val="767171"/>
          <w:spacing w:val="20"/>
          <w:sz w:val="24"/>
          <w:szCs w:val="24"/>
          <w:bdr w:val="none" w:sz="0" w:space="0" w:color="auto"/>
          <w:lang w:eastAsia="en-US"/>
        </w:rPr>
        <w:t>.</w:t>
      </w:r>
      <w:r w:rsidRPr="007B1CCF">
        <w:rPr>
          <w:rFonts w:ascii="Times New Roman" w:eastAsiaTheme="minorHAnsi" w:hAnsi="Times New Roman" w:cs="Times New Roman"/>
          <w:color w:val="767171"/>
          <w:spacing w:val="20"/>
          <w:sz w:val="24"/>
          <w:szCs w:val="24"/>
          <w:bdr w:val="none" w:sz="0" w:space="0" w:color="auto"/>
          <w:lang w:eastAsia="en-US"/>
        </w:rPr>
        <w:t xml:space="preserve"> </w:t>
      </w:r>
    </w:p>
    <w:p w14:paraId="37A49F8A" w14:textId="59EACA0B"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El patrimonio técnico mantiene la trayectoria de crecimiento saludable. El sistema presenta</w:t>
      </w:r>
      <w:r w:rsidR="00EA6A8E">
        <w:rPr>
          <w:rFonts w:ascii="Times New Roman" w:eastAsiaTheme="minorHAnsi" w:hAnsi="Times New Roman" w:cs="Times New Roman"/>
          <w:color w:val="767171"/>
          <w:spacing w:val="20"/>
          <w:sz w:val="24"/>
          <w:szCs w:val="24"/>
          <w:bdr w:val="none" w:sz="0" w:space="0" w:color="auto"/>
          <w:lang w:eastAsia="en-US"/>
        </w:rPr>
        <w:t xml:space="preserve"> RD$</w:t>
      </w:r>
      <w:r w:rsidRPr="007B1CCF">
        <w:rPr>
          <w:rFonts w:ascii="Times New Roman" w:eastAsiaTheme="minorHAnsi" w:hAnsi="Times New Roman" w:cs="Times New Roman"/>
          <w:color w:val="767171"/>
          <w:spacing w:val="20"/>
          <w:sz w:val="24"/>
          <w:szCs w:val="24"/>
          <w:bdr w:val="none" w:sz="0" w:space="0" w:color="auto"/>
          <w:lang w:eastAsia="en-US"/>
        </w:rPr>
        <w:t>365,</w:t>
      </w:r>
      <w:r w:rsidR="00E55345">
        <w:rPr>
          <w:rFonts w:ascii="Times New Roman" w:eastAsiaTheme="minorHAnsi" w:hAnsi="Times New Roman" w:cs="Times New Roman"/>
          <w:color w:val="767171"/>
          <w:spacing w:val="20"/>
          <w:sz w:val="24"/>
          <w:szCs w:val="24"/>
          <w:bdr w:val="none" w:sz="0" w:space="0" w:color="auto"/>
          <w:lang w:eastAsia="en-US"/>
        </w:rPr>
        <w:t>9</w:t>
      </w:r>
      <w:r w:rsidRPr="007B1CCF">
        <w:rPr>
          <w:rFonts w:ascii="Times New Roman" w:eastAsiaTheme="minorHAnsi" w:hAnsi="Times New Roman" w:cs="Times New Roman"/>
          <w:color w:val="767171"/>
          <w:spacing w:val="20"/>
          <w:sz w:val="24"/>
          <w:szCs w:val="24"/>
          <w:bdr w:val="none" w:sz="0" w:space="0" w:color="auto"/>
          <w:lang w:eastAsia="en-US"/>
        </w:rPr>
        <w:t xml:space="preserve"> mil millones en patrimonio técnico para un incremento interanual de +9.9% con relación a septiembre de 2022. </w:t>
      </w:r>
      <w:bookmarkStart w:id="23" w:name="_Hlk81317776"/>
      <w:r w:rsidRPr="007B1CCF">
        <w:rPr>
          <w:rFonts w:ascii="Times New Roman" w:eastAsiaTheme="minorHAnsi" w:hAnsi="Times New Roman" w:cs="Times New Roman"/>
          <w:color w:val="767171"/>
          <w:spacing w:val="20"/>
          <w:sz w:val="24"/>
          <w:szCs w:val="24"/>
          <w:bdr w:val="none" w:sz="0" w:space="0" w:color="auto"/>
          <w:lang w:eastAsia="en-US"/>
        </w:rPr>
        <w:t>Destacamos que, el 84.5% del capital regulatorio del sistema es capital primario, el de mayor capacidad de absorción de pérdidas.</w:t>
      </w:r>
      <w:bookmarkEnd w:id="23"/>
    </w:p>
    <w:p w14:paraId="41895337" w14:textId="3AE4C6CB"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lastRenderedPageBreak/>
        <w:t xml:space="preserve">El nivel de liquidez en el sistema se mantiene elevado. El balance de las disponibilidades del sistema ascendió a </w:t>
      </w:r>
      <w:r w:rsidR="005A0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564,</w:t>
      </w:r>
      <w:r w:rsidR="00E55345">
        <w:rPr>
          <w:rFonts w:ascii="Times New Roman" w:eastAsiaTheme="minorHAnsi" w:hAnsi="Times New Roman" w:cs="Times New Roman"/>
          <w:color w:val="767171"/>
          <w:spacing w:val="20"/>
          <w:sz w:val="24"/>
          <w:szCs w:val="24"/>
          <w:bdr w:val="none" w:sz="0" w:space="0" w:color="auto"/>
          <w:lang w:eastAsia="en-US"/>
        </w:rPr>
        <w:t>9</w:t>
      </w:r>
      <w:r w:rsidRPr="007B1CCF">
        <w:rPr>
          <w:rFonts w:ascii="Times New Roman" w:eastAsiaTheme="minorHAnsi" w:hAnsi="Times New Roman" w:cs="Times New Roman"/>
          <w:color w:val="767171"/>
          <w:spacing w:val="20"/>
          <w:sz w:val="24"/>
          <w:szCs w:val="24"/>
          <w:bdr w:val="none" w:sz="0" w:space="0" w:color="auto"/>
          <w:lang w:eastAsia="en-US"/>
        </w:rPr>
        <w:t xml:space="preserve"> mil millones, presentando una expansión de </w:t>
      </w:r>
      <w:r w:rsidR="005A0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36,</w:t>
      </w:r>
      <w:r w:rsidR="00E55345">
        <w:rPr>
          <w:rFonts w:ascii="Times New Roman" w:eastAsiaTheme="minorHAnsi" w:hAnsi="Times New Roman" w:cs="Times New Roman"/>
          <w:color w:val="767171"/>
          <w:spacing w:val="20"/>
          <w:sz w:val="24"/>
          <w:szCs w:val="24"/>
          <w:bdr w:val="none" w:sz="0" w:space="0" w:color="auto"/>
          <w:lang w:eastAsia="en-US"/>
        </w:rPr>
        <w:t>4</w:t>
      </w:r>
      <w:r w:rsidRPr="007B1CCF">
        <w:rPr>
          <w:rFonts w:ascii="Times New Roman" w:eastAsiaTheme="minorHAnsi" w:hAnsi="Times New Roman" w:cs="Times New Roman"/>
          <w:color w:val="767171"/>
          <w:spacing w:val="20"/>
          <w:sz w:val="24"/>
          <w:szCs w:val="24"/>
          <w:bdr w:val="none" w:sz="0" w:space="0" w:color="auto"/>
          <w:lang w:eastAsia="en-US"/>
        </w:rPr>
        <w:t xml:space="preserve"> mil millones (+6.9%) con respecto a septiembre de 2022.</w:t>
      </w:r>
    </w:p>
    <w:p w14:paraId="5602BF5A" w14:textId="0E668F0B"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 xml:space="preserve">Las provisiones continúan el proceso de normalización. Las provisiones constituidas se encuentran en </w:t>
      </w:r>
      <w:r w:rsidR="005A0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59</w:t>
      </w:r>
      <w:r w:rsidR="00E55345">
        <w:rPr>
          <w:rFonts w:ascii="Times New Roman" w:eastAsiaTheme="minorHAnsi" w:hAnsi="Times New Roman" w:cs="Times New Roman"/>
          <w:color w:val="767171"/>
          <w:spacing w:val="20"/>
          <w:sz w:val="24"/>
          <w:szCs w:val="24"/>
          <w:bdr w:val="none" w:sz="0" w:space="0" w:color="auto"/>
          <w:lang w:eastAsia="en-US"/>
        </w:rPr>
        <w:t>,</w:t>
      </w:r>
      <w:r w:rsidRPr="007B1CCF">
        <w:rPr>
          <w:rFonts w:ascii="Times New Roman" w:eastAsiaTheme="minorHAnsi" w:hAnsi="Times New Roman" w:cs="Times New Roman"/>
          <w:color w:val="767171"/>
          <w:spacing w:val="20"/>
          <w:sz w:val="24"/>
          <w:szCs w:val="24"/>
          <w:bdr w:val="none" w:sz="0" w:space="0" w:color="auto"/>
          <w:lang w:eastAsia="en-US"/>
        </w:rPr>
        <w:t xml:space="preserve">0 mil millones disminuyendo -6.8% puntos porcentuales respecto al año anterior, equivalente al 3.7% de cobertura de la cartera de créditos total. El gasto cumulativo (últimos 12 meses) al cierre del tercer trimestre de 2023 se coloca en </w:t>
      </w:r>
      <w:r w:rsidR="00B14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15</w:t>
      </w:r>
      <w:r w:rsidR="00E55345">
        <w:rPr>
          <w:rFonts w:ascii="Times New Roman" w:eastAsiaTheme="minorHAnsi" w:hAnsi="Times New Roman" w:cs="Times New Roman"/>
          <w:color w:val="767171"/>
          <w:spacing w:val="20"/>
          <w:sz w:val="24"/>
          <w:szCs w:val="24"/>
          <w:bdr w:val="none" w:sz="0" w:space="0" w:color="auto"/>
          <w:lang w:eastAsia="en-US"/>
        </w:rPr>
        <w:t>,</w:t>
      </w:r>
      <w:r w:rsidRPr="007B1CCF">
        <w:rPr>
          <w:rFonts w:ascii="Times New Roman" w:eastAsiaTheme="minorHAnsi" w:hAnsi="Times New Roman" w:cs="Times New Roman"/>
          <w:color w:val="767171"/>
          <w:spacing w:val="20"/>
          <w:sz w:val="24"/>
          <w:szCs w:val="24"/>
          <w:bdr w:val="none" w:sz="0" w:space="0" w:color="auto"/>
          <w:lang w:eastAsia="en-US"/>
        </w:rPr>
        <w:t>6 mil millones para una variación interanual de -11.8%, evidenciando la continuación en la tendencia de reducción en el gasto de provisiones.</w:t>
      </w:r>
    </w:p>
    <w:p w14:paraId="6B513D92" w14:textId="04F0E55C"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 xml:space="preserve">Los castigos </w:t>
      </w:r>
      <w:r w:rsidR="00F20683">
        <w:rPr>
          <w:rFonts w:ascii="Times New Roman" w:eastAsiaTheme="minorHAnsi" w:hAnsi="Times New Roman" w:cs="Times New Roman"/>
          <w:color w:val="767171"/>
          <w:spacing w:val="20"/>
          <w:sz w:val="24"/>
          <w:szCs w:val="24"/>
          <w:bdr w:val="none" w:sz="0" w:space="0" w:color="auto"/>
          <w:lang w:eastAsia="en-US"/>
        </w:rPr>
        <w:t>mantienen una tendencia de</w:t>
      </w:r>
      <w:r w:rsidRPr="007B1CCF">
        <w:rPr>
          <w:rFonts w:ascii="Times New Roman" w:eastAsiaTheme="minorHAnsi" w:hAnsi="Times New Roman" w:cs="Times New Roman"/>
          <w:color w:val="767171"/>
          <w:spacing w:val="20"/>
          <w:sz w:val="24"/>
          <w:szCs w:val="24"/>
          <w:bdr w:val="none" w:sz="0" w:space="0" w:color="auto"/>
          <w:lang w:eastAsia="en-US"/>
        </w:rPr>
        <w:t xml:space="preserve"> crecimiento. En el acumulado de 12 meses al corte del tercer trimestre del año, se registraron castigos por </w:t>
      </w:r>
      <w:r w:rsidR="005A0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18,</w:t>
      </w:r>
      <w:r w:rsidR="00E55345">
        <w:rPr>
          <w:rFonts w:ascii="Times New Roman" w:eastAsiaTheme="minorHAnsi" w:hAnsi="Times New Roman" w:cs="Times New Roman"/>
          <w:color w:val="767171"/>
          <w:spacing w:val="20"/>
          <w:sz w:val="24"/>
          <w:szCs w:val="24"/>
          <w:bdr w:val="none" w:sz="0" w:space="0" w:color="auto"/>
          <w:lang w:eastAsia="en-US"/>
        </w:rPr>
        <w:t>2</w:t>
      </w:r>
      <w:r w:rsidRPr="007B1CCF">
        <w:rPr>
          <w:rFonts w:ascii="Times New Roman" w:eastAsiaTheme="minorHAnsi" w:hAnsi="Times New Roman" w:cs="Times New Roman"/>
          <w:color w:val="767171"/>
          <w:spacing w:val="20"/>
          <w:sz w:val="24"/>
          <w:szCs w:val="24"/>
          <w:bdr w:val="none" w:sz="0" w:space="0" w:color="auto"/>
          <w:lang w:eastAsia="en-US"/>
        </w:rPr>
        <w:t xml:space="preserve"> mil millones (0.1% de la cartera total) versus </w:t>
      </w:r>
      <w:r w:rsidR="00B14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16,1 mil millones en el mismo periodo del año 2022 (+13.1% interanual).</w:t>
      </w:r>
    </w:p>
    <w:p w14:paraId="616D3B8D" w14:textId="02766EFA"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 xml:space="preserve">El índice de morosidad estresada </w:t>
      </w:r>
      <w:r w:rsidR="007C35BF" w:rsidRPr="007C35BF">
        <w:rPr>
          <w:rFonts w:ascii="Times New Roman" w:eastAsiaTheme="minorHAnsi" w:hAnsi="Times New Roman" w:cs="Times New Roman"/>
          <w:color w:val="767171"/>
          <w:spacing w:val="20"/>
          <w:sz w:val="24"/>
          <w:szCs w:val="24"/>
          <w:bdr w:val="none" w:sz="0" w:space="0" w:color="auto"/>
          <w:lang w:eastAsia="en-US"/>
        </w:rPr>
        <w:t>del sistema se sitúa en 6.84</w:t>
      </w:r>
      <w:r w:rsidR="000270EF" w:rsidRPr="007C35BF">
        <w:rPr>
          <w:rFonts w:ascii="Times New Roman" w:eastAsiaTheme="minorHAnsi" w:hAnsi="Times New Roman" w:cs="Times New Roman"/>
          <w:color w:val="767171"/>
          <w:spacing w:val="20"/>
          <w:sz w:val="24"/>
          <w:szCs w:val="24"/>
          <w:bdr w:val="none" w:sz="0" w:space="0" w:color="auto"/>
          <w:lang w:eastAsia="en-US"/>
        </w:rPr>
        <w:t>%,</w:t>
      </w:r>
      <w:r w:rsidR="000270EF">
        <w:rPr>
          <w:rFonts w:ascii="Times New Roman" w:eastAsiaTheme="minorHAnsi" w:hAnsi="Times New Roman" w:cs="Times New Roman"/>
          <w:color w:val="767171"/>
          <w:spacing w:val="20"/>
          <w:sz w:val="24"/>
          <w:szCs w:val="24"/>
          <w:bdr w:val="none" w:sz="0" w:space="0" w:color="auto"/>
          <w:lang w:eastAsia="en-US"/>
        </w:rPr>
        <w:t xml:space="preserve"> </w:t>
      </w:r>
      <w:r w:rsidR="000270EF" w:rsidRPr="007C35BF">
        <w:rPr>
          <w:rFonts w:ascii="Times New Roman" w:eastAsiaTheme="minorHAnsi" w:hAnsi="Times New Roman" w:cs="Times New Roman"/>
          <w:color w:val="767171"/>
          <w:spacing w:val="20"/>
          <w:sz w:val="24"/>
          <w:szCs w:val="24"/>
          <w:bdr w:val="none" w:sz="0" w:space="0" w:color="auto"/>
          <w:lang w:eastAsia="en-US"/>
        </w:rPr>
        <w:t>continuando</w:t>
      </w:r>
      <w:r w:rsidR="007C35BF" w:rsidRPr="007C35BF">
        <w:rPr>
          <w:rFonts w:ascii="Times New Roman" w:eastAsiaTheme="minorHAnsi" w:hAnsi="Times New Roman" w:cs="Times New Roman"/>
          <w:color w:val="767171"/>
          <w:spacing w:val="20"/>
          <w:sz w:val="24"/>
          <w:szCs w:val="24"/>
          <w:bdr w:val="none" w:sz="0" w:space="0" w:color="auto"/>
          <w:lang w:eastAsia="en-US"/>
        </w:rPr>
        <w:t xml:space="preserve"> con el </w:t>
      </w:r>
      <w:r w:rsidRPr="007B1CCF">
        <w:rPr>
          <w:rFonts w:ascii="Times New Roman" w:eastAsiaTheme="minorHAnsi" w:hAnsi="Times New Roman" w:cs="Times New Roman"/>
          <w:color w:val="767171"/>
          <w:spacing w:val="20"/>
          <w:sz w:val="24"/>
          <w:szCs w:val="24"/>
          <w:bdr w:val="none" w:sz="0" w:space="0" w:color="auto"/>
          <w:lang w:eastAsia="en-US"/>
        </w:rPr>
        <w:t>decrecimiento gradual</w:t>
      </w:r>
      <w:r w:rsidR="007C35BF" w:rsidRPr="007C35BF">
        <w:rPr>
          <w:rFonts w:ascii="Times New Roman" w:eastAsiaTheme="minorHAnsi" w:hAnsi="Times New Roman" w:cs="Times New Roman"/>
          <w:color w:val="767171"/>
          <w:spacing w:val="20"/>
          <w:sz w:val="24"/>
          <w:szCs w:val="24"/>
          <w:bdr w:val="none" w:sz="0" w:space="0" w:color="auto"/>
          <w:lang w:eastAsia="en-US"/>
        </w:rPr>
        <w:t xml:space="preserve">. El índice de morosidad permanece en </w:t>
      </w:r>
      <w:r w:rsidRPr="007B1CCF">
        <w:rPr>
          <w:rFonts w:ascii="Times New Roman" w:eastAsiaTheme="minorHAnsi" w:hAnsi="Times New Roman" w:cs="Times New Roman"/>
          <w:color w:val="767171"/>
          <w:spacing w:val="20"/>
          <w:sz w:val="24"/>
          <w:szCs w:val="24"/>
          <w:bdr w:val="none" w:sz="0" w:space="0" w:color="auto"/>
          <w:lang w:eastAsia="en-US"/>
        </w:rPr>
        <w:t xml:space="preserve">niveles históricamente bajos </w:t>
      </w:r>
      <w:r w:rsidR="007C35BF" w:rsidRPr="007C35BF">
        <w:rPr>
          <w:rFonts w:ascii="Times New Roman" w:eastAsiaTheme="minorHAnsi" w:hAnsi="Times New Roman" w:cs="Times New Roman"/>
          <w:color w:val="767171"/>
          <w:spacing w:val="20"/>
          <w:sz w:val="24"/>
          <w:szCs w:val="24"/>
          <w:bdr w:val="none" w:sz="0" w:space="0" w:color="auto"/>
          <w:lang w:eastAsia="en-US"/>
        </w:rPr>
        <w:t>en</w:t>
      </w:r>
      <w:r w:rsidR="00CE7705">
        <w:rPr>
          <w:rFonts w:ascii="Times New Roman" w:eastAsiaTheme="minorHAnsi" w:hAnsi="Times New Roman" w:cs="Times New Roman"/>
          <w:color w:val="767171"/>
          <w:spacing w:val="20"/>
          <w:sz w:val="24"/>
          <w:szCs w:val="24"/>
          <w:bdr w:val="none" w:sz="0" w:space="0" w:color="auto"/>
          <w:lang w:eastAsia="en-US"/>
        </w:rPr>
        <w:t xml:space="preserve"> </w:t>
      </w:r>
      <w:r w:rsidRPr="007B1CCF">
        <w:rPr>
          <w:rFonts w:ascii="Times New Roman" w:eastAsiaTheme="minorHAnsi" w:hAnsi="Times New Roman" w:cs="Times New Roman"/>
          <w:color w:val="767171"/>
          <w:spacing w:val="20"/>
          <w:sz w:val="24"/>
          <w:szCs w:val="24"/>
          <w:bdr w:val="none" w:sz="0" w:space="0" w:color="auto"/>
          <w:lang w:eastAsia="en-US"/>
        </w:rPr>
        <w:t>1.2%</w:t>
      </w:r>
      <w:r w:rsidR="007C35BF" w:rsidRPr="007C35BF">
        <w:rPr>
          <w:rFonts w:ascii="Times New Roman" w:eastAsiaTheme="minorHAnsi" w:hAnsi="Times New Roman" w:cs="Times New Roman"/>
          <w:color w:val="767171"/>
          <w:spacing w:val="20"/>
          <w:sz w:val="24"/>
          <w:szCs w:val="24"/>
          <w:bdr w:val="none" w:sz="0" w:space="0" w:color="auto"/>
          <w:lang w:eastAsia="en-US"/>
        </w:rPr>
        <w:t xml:space="preserve"> al mes de septiembre 2023, aunque</w:t>
      </w:r>
      <w:r w:rsidRPr="007B1CCF">
        <w:rPr>
          <w:rFonts w:ascii="Times New Roman" w:eastAsiaTheme="minorHAnsi" w:hAnsi="Times New Roman" w:cs="Times New Roman"/>
          <w:color w:val="767171"/>
          <w:spacing w:val="20"/>
          <w:sz w:val="24"/>
          <w:szCs w:val="24"/>
          <w:bdr w:val="none" w:sz="0" w:space="0" w:color="auto"/>
          <w:lang w:eastAsia="en-US"/>
        </w:rPr>
        <w:t xml:space="preserve"> muestra señales de normalización con un ligero incremento</w:t>
      </w:r>
      <w:r w:rsidR="00F05EE2">
        <w:rPr>
          <w:rFonts w:ascii="Times New Roman" w:eastAsiaTheme="minorHAnsi" w:hAnsi="Times New Roman" w:cs="Times New Roman"/>
          <w:color w:val="767171"/>
          <w:spacing w:val="20"/>
          <w:sz w:val="24"/>
          <w:szCs w:val="24"/>
          <w:bdr w:val="none" w:sz="0" w:space="0" w:color="auto"/>
          <w:lang w:eastAsia="en-US"/>
        </w:rPr>
        <w:t xml:space="preserve"> </w:t>
      </w:r>
      <w:r w:rsidR="007C35BF" w:rsidRPr="007C35BF">
        <w:rPr>
          <w:rFonts w:ascii="Times New Roman" w:eastAsiaTheme="minorHAnsi" w:hAnsi="Times New Roman" w:cs="Times New Roman"/>
          <w:color w:val="767171"/>
          <w:spacing w:val="20"/>
          <w:sz w:val="24"/>
          <w:szCs w:val="24"/>
          <w:bdr w:val="none" w:sz="0" w:space="0" w:color="auto"/>
          <w:lang w:eastAsia="en-US"/>
        </w:rPr>
        <w:t>de 0.1 puntos desde el nivel mínimo alcanzado de 1.1%.</w:t>
      </w:r>
      <w:r w:rsidR="00E9294C">
        <w:rPr>
          <w:rFonts w:ascii="Times New Roman" w:eastAsiaTheme="minorHAnsi" w:hAnsi="Times New Roman" w:cs="Times New Roman"/>
          <w:color w:val="767171"/>
          <w:spacing w:val="20"/>
          <w:sz w:val="24"/>
          <w:szCs w:val="24"/>
          <w:bdr w:val="none" w:sz="0" w:space="0" w:color="auto"/>
          <w:lang w:eastAsia="en-US"/>
        </w:rPr>
        <w:t xml:space="preserve"> </w:t>
      </w:r>
      <w:r w:rsidR="00542395">
        <w:rPr>
          <w:rFonts w:ascii="Times New Roman" w:eastAsiaTheme="minorHAnsi" w:hAnsi="Times New Roman" w:cs="Times New Roman"/>
          <w:color w:val="767171"/>
          <w:spacing w:val="20"/>
          <w:sz w:val="24"/>
          <w:szCs w:val="24"/>
          <w:bdr w:val="none" w:sz="0" w:space="0" w:color="auto"/>
          <w:lang w:eastAsia="en-US"/>
        </w:rPr>
        <w:t>Esta normalización</w:t>
      </w:r>
      <w:r w:rsidR="00D81706">
        <w:rPr>
          <w:rFonts w:ascii="Times New Roman" w:eastAsiaTheme="minorHAnsi" w:hAnsi="Times New Roman" w:cs="Times New Roman"/>
          <w:color w:val="767171"/>
          <w:spacing w:val="20"/>
          <w:sz w:val="24"/>
          <w:szCs w:val="24"/>
          <w:bdr w:val="none" w:sz="0" w:space="0" w:color="auto"/>
          <w:lang w:eastAsia="en-US"/>
        </w:rPr>
        <w:t xml:space="preserve"> fue</w:t>
      </w:r>
      <w:r w:rsidR="00542395">
        <w:rPr>
          <w:rFonts w:ascii="Times New Roman" w:eastAsiaTheme="minorHAnsi" w:hAnsi="Times New Roman" w:cs="Times New Roman"/>
          <w:color w:val="767171"/>
          <w:spacing w:val="20"/>
          <w:sz w:val="24"/>
          <w:szCs w:val="24"/>
          <w:bdr w:val="none" w:sz="0" w:space="0" w:color="auto"/>
          <w:lang w:eastAsia="en-US"/>
        </w:rPr>
        <w:t xml:space="preserve"> </w:t>
      </w:r>
      <w:r w:rsidRPr="007B1CCF">
        <w:rPr>
          <w:rFonts w:ascii="Times New Roman" w:eastAsiaTheme="minorHAnsi" w:hAnsi="Times New Roman" w:cs="Times New Roman"/>
          <w:color w:val="767171"/>
          <w:spacing w:val="20"/>
          <w:sz w:val="24"/>
          <w:szCs w:val="24"/>
          <w:bdr w:val="none" w:sz="0" w:space="0" w:color="auto"/>
          <w:lang w:eastAsia="en-US"/>
        </w:rPr>
        <w:t xml:space="preserve">incidida por </w:t>
      </w:r>
      <w:r w:rsidR="00CA753F" w:rsidRPr="007B1CCF">
        <w:rPr>
          <w:rFonts w:ascii="Times New Roman" w:eastAsiaTheme="minorHAnsi" w:hAnsi="Times New Roman" w:cs="Times New Roman"/>
          <w:color w:val="767171"/>
          <w:spacing w:val="20"/>
          <w:sz w:val="24"/>
          <w:szCs w:val="24"/>
          <w:bdr w:val="none" w:sz="0" w:space="0" w:color="auto"/>
          <w:lang w:eastAsia="en-US"/>
        </w:rPr>
        <w:t>la reestructuración</w:t>
      </w:r>
      <w:r w:rsidR="00CA753F">
        <w:rPr>
          <w:rFonts w:ascii="Times New Roman" w:eastAsiaTheme="minorHAnsi" w:hAnsi="Times New Roman" w:cs="Times New Roman"/>
          <w:color w:val="767171"/>
          <w:spacing w:val="20"/>
          <w:sz w:val="24"/>
          <w:szCs w:val="24"/>
          <w:bdr w:val="none" w:sz="0" w:space="0" w:color="auto"/>
          <w:lang w:eastAsia="en-US"/>
        </w:rPr>
        <w:t xml:space="preserve"> d</w:t>
      </w:r>
      <w:r w:rsidRPr="007B1CCF">
        <w:rPr>
          <w:rFonts w:ascii="Times New Roman" w:eastAsiaTheme="minorHAnsi" w:hAnsi="Times New Roman" w:cs="Times New Roman"/>
          <w:color w:val="767171"/>
          <w:spacing w:val="20"/>
          <w:sz w:val="24"/>
          <w:szCs w:val="24"/>
          <w:bdr w:val="none" w:sz="0" w:space="0" w:color="auto"/>
          <w:lang w:eastAsia="en-US"/>
        </w:rPr>
        <w:t xml:space="preserve">el REA y </w:t>
      </w:r>
      <w:r w:rsidR="00CA753F">
        <w:rPr>
          <w:rFonts w:ascii="Times New Roman" w:eastAsiaTheme="minorHAnsi" w:hAnsi="Times New Roman" w:cs="Times New Roman"/>
          <w:color w:val="767171"/>
          <w:spacing w:val="20"/>
          <w:sz w:val="24"/>
          <w:szCs w:val="24"/>
          <w:bdr w:val="none" w:sz="0" w:space="0" w:color="auto"/>
          <w:lang w:eastAsia="en-US"/>
        </w:rPr>
        <w:t xml:space="preserve">una reestructuración </w:t>
      </w:r>
      <w:r w:rsidRPr="007B1CCF">
        <w:rPr>
          <w:rFonts w:ascii="Times New Roman" w:eastAsiaTheme="minorHAnsi" w:hAnsi="Times New Roman" w:cs="Times New Roman"/>
          <w:color w:val="767171"/>
          <w:spacing w:val="20"/>
          <w:sz w:val="24"/>
          <w:szCs w:val="24"/>
          <w:bdr w:val="none" w:sz="0" w:space="0" w:color="auto"/>
          <w:lang w:eastAsia="en-US"/>
        </w:rPr>
        <w:t xml:space="preserve">temporal </w:t>
      </w:r>
      <w:r w:rsidR="00CA753F">
        <w:rPr>
          <w:rFonts w:ascii="Times New Roman" w:eastAsiaTheme="minorHAnsi" w:hAnsi="Times New Roman" w:cs="Times New Roman"/>
          <w:color w:val="767171"/>
          <w:spacing w:val="20"/>
          <w:sz w:val="24"/>
          <w:szCs w:val="24"/>
          <w:bdr w:val="none" w:sz="0" w:space="0" w:color="auto"/>
          <w:lang w:eastAsia="en-US"/>
        </w:rPr>
        <w:t xml:space="preserve">que </w:t>
      </w:r>
      <w:r w:rsidRPr="007B1CCF">
        <w:rPr>
          <w:rFonts w:ascii="Times New Roman" w:eastAsiaTheme="minorHAnsi" w:hAnsi="Times New Roman" w:cs="Times New Roman"/>
          <w:color w:val="767171"/>
          <w:spacing w:val="20"/>
          <w:sz w:val="24"/>
          <w:szCs w:val="24"/>
          <w:bdr w:val="none" w:sz="0" w:space="0" w:color="auto"/>
          <w:lang w:eastAsia="en-US"/>
        </w:rPr>
        <w:t>acumularon 4.75 puntos porcentuales</w:t>
      </w:r>
      <w:r w:rsidR="00980BA5">
        <w:rPr>
          <w:rFonts w:ascii="Times New Roman" w:eastAsiaTheme="minorHAnsi" w:hAnsi="Times New Roman" w:cs="Times New Roman"/>
          <w:color w:val="767171"/>
          <w:spacing w:val="20"/>
          <w:sz w:val="24"/>
          <w:szCs w:val="24"/>
          <w:bdr w:val="none" w:sz="0" w:space="0" w:color="auto"/>
          <w:lang w:eastAsia="en-US"/>
        </w:rPr>
        <w:t xml:space="preserve"> y</w:t>
      </w:r>
      <w:r w:rsidRPr="007B1CCF">
        <w:rPr>
          <w:rFonts w:ascii="Times New Roman" w:eastAsiaTheme="minorHAnsi" w:hAnsi="Times New Roman" w:cs="Times New Roman"/>
          <w:color w:val="767171"/>
          <w:spacing w:val="20"/>
          <w:sz w:val="24"/>
          <w:szCs w:val="24"/>
          <w:bdr w:val="none" w:sz="0" w:space="0" w:color="auto"/>
          <w:lang w:eastAsia="en-US"/>
        </w:rPr>
        <w:t xml:space="preserve"> los castigos de los últimos 12 meses</w:t>
      </w:r>
      <w:r w:rsidR="00730428">
        <w:rPr>
          <w:rFonts w:ascii="Times New Roman" w:eastAsiaTheme="minorHAnsi" w:hAnsi="Times New Roman" w:cs="Times New Roman"/>
          <w:color w:val="767171"/>
          <w:spacing w:val="20"/>
          <w:sz w:val="24"/>
          <w:szCs w:val="24"/>
          <w:bdr w:val="none" w:sz="0" w:space="0" w:color="auto"/>
          <w:lang w:eastAsia="en-US"/>
        </w:rPr>
        <w:t>, que aportaron</w:t>
      </w:r>
      <w:r w:rsidRPr="007B1CCF">
        <w:rPr>
          <w:rFonts w:ascii="Times New Roman" w:eastAsiaTheme="minorHAnsi" w:hAnsi="Times New Roman" w:cs="Times New Roman"/>
          <w:color w:val="767171"/>
          <w:spacing w:val="20"/>
          <w:sz w:val="24"/>
          <w:szCs w:val="24"/>
          <w:bdr w:val="none" w:sz="0" w:space="0" w:color="auto"/>
          <w:lang w:eastAsia="en-US"/>
        </w:rPr>
        <w:t xml:space="preserve"> 0.92 puntos porcentuales. Al evaluar las carteras, </w:t>
      </w:r>
      <w:r w:rsidR="00385F28">
        <w:rPr>
          <w:rFonts w:ascii="Times New Roman" w:eastAsiaTheme="minorHAnsi" w:hAnsi="Times New Roman" w:cs="Times New Roman"/>
          <w:color w:val="767171"/>
          <w:spacing w:val="20"/>
          <w:sz w:val="24"/>
          <w:szCs w:val="24"/>
          <w:bdr w:val="none" w:sz="0" w:space="0" w:color="auto"/>
          <w:lang w:eastAsia="en-US"/>
        </w:rPr>
        <w:t>se destacan</w:t>
      </w:r>
      <w:r w:rsidRPr="007B1CCF">
        <w:rPr>
          <w:rFonts w:ascii="Times New Roman" w:eastAsiaTheme="minorHAnsi" w:hAnsi="Times New Roman" w:cs="Times New Roman"/>
          <w:color w:val="767171"/>
          <w:spacing w:val="20"/>
          <w:sz w:val="24"/>
          <w:szCs w:val="24"/>
          <w:bdr w:val="none" w:sz="0" w:space="0" w:color="auto"/>
          <w:lang w:eastAsia="en-US"/>
        </w:rPr>
        <w:t xml:space="preserve"> la cartera de tarjetas de crédito</w:t>
      </w:r>
      <w:r w:rsidR="008B4192">
        <w:rPr>
          <w:rFonts w:ascii="Times New Roman" w:eastAsiaTheme="minorHAnsi" w:hAnsi="Times New Roman" w:cs="Times New Roman"/>
          <w:color w:val="767171"/>
          <w:spacing w:val="20"/>
          <w:sz w:val="24"/>
          <w:szCs w:val="24"/>
          <w:bdr w:val="none" w:sz="0" w:space="0" w:color="auto"/>
          <w:lang w:eastAsia="en-US"/>
        </w:rPr>
        <w:t>,</w:t>
      </w:r>
      <w:r w:rsidRPr="007B1CCF">
        <w:rPr>
          <w:rFonts w:ascii="Times New Roman" w:eastAsiaTheme="minorHAnsi" w:hAnsi="Times New Roman" w:cs="Times New Roman"/>
          <w:color w:val="767171"/>
          <w:spacing w:val="20"/>
          <w:sz w:val="24"/>
          <w:szCs w:val="24"/>
          <w:bdr w:val="none" w:sz="0" w:space="0" w:color="auto"/>
          <w:lang w:eastAsia="en-US"/>
        </w:rPr>
        <w:t xml:space="preserve"> donde se observa continuación en su convergencia hacía la media histórica </w:t>
      </w:r>
      <w:r w:rsidR="00FD2E16">
        <w:rPr>
          <w:rFonts w:ascii="Times New Roman" w:eastAsiaTheme="minorHAnsi" w:hAnsi="Times New Roman" w:cs="Times New Roman"/>
          <w:color w:val="767171"/>
          <w:spacing w:val="20"/>
          <w:sz w:val="24"/>
          <w:szCs w:val="24"/>
          <w:bdr w:val="none" w:sz="0" w:space="0" w:color="auto"/>
          <w:lang w:eastAsia="en-US"/>
        </w:rPr>
        <w:t xml:space="preserve">de </w:t>
      </w:r>
      <w:r w:rsidRPr="007B1CCF">
        <w:rPr>
          <w:rFonts w:ascii="Times New Roman" w:eastAsiaTheme="minorHAnsi" w:hAnsi="Times New Roman" w:cs="Times New Roman"/>
          <w:color w:val="767171"/>
          <w:spacing w:val="20"/>
          <w:sz w:val="24"/>
          <w:szCs w:val="24"/>
          <w:bdr w:val="none" w:sz="0" w:space="0" w:color="auto"/>
          <w:lang w:eastAsia="en-US"/>
        </w:rPr>
        <w:t>morosidad</w:t>
      </w:r>
      <w:r w:rsidR="005A6C1D">
        <w:rPr>
          <w:rFonts w:ascii="Times New Roman" w:eastAsiaTheme="minorHAnsi" w:hAnsi="Times New Roman" w:cs="Times New Roman"/>
          <w:color w:val="767171"/>
          <w:spacing w:val="20"/>
          <w:sz w:val="24"/>
          <w:szCs w:val="24"/>
          <w:bdr w:val="none" w:sz="0" w:space="0" w:color="auto"/>
          <w:lang w:eastAsia="en-US"/>
        </w:rPr>
        <w:t xml:space="preserve"> </w:t>
      </w:r>
      <w:r w:rsidR="005C5D4D">
        <w:rPr>
          <w:rFonts w:ascii="Times New Roman" w:eastAsiaTheme="minorHAnsi" w:hAnsi="Times New Roman" w:cs="Times New Roman"/>
          <w:color w:val="767171"/>
          <w:spacing w:val="20"/>
          <w:sz w:val="24"/>
          <w:szCs w:val="24"/>
          <w:bdr w:val="none" w:sz="0" w:space="0" w:color="auto"/>
          <w:lang w:eastAsia="en-US"/>
        </w:rPr>
        <w:t>con</w:t>
      </w:r>
      <w:r w:rsidRPr="007B1CCF">
        <w:rPr>
          <w:rFonts w:ascii="Times New Roman" w:eastAsiaTheme="minorHAnsi" w:hAnsi="Times New Roman" w:cs="Times New Roman"/>
          <w:color w:val="767171"/>
          <w:spacing w:val="20"/>
          <w:sz w:val="24"/>
          <w:szCs w:val="24"/>
          <w:bdr w:val="none" w:sz="0" w:space="0" w:color="auto"/>
          <w:lang w:eastAsia="en-US"/>
        </w:rPr>
        <w:t xml:space="preserve"> 4.5 puntos porcentuales, para un incremento </w:t>
      </w:r>
      <w:r w:rsidRPr="007B1CCF">
        <w:rPr>
          <w:rFonts w:ascii="Times New Roman" w:eastAsiaTheme="minorHAnsi" w:hAnsi="Times New Roman" w:cs="Times New Roman"/>
          <w:color w:val="767171"/>
          <w:spacing w:val="20"/>
          <w:sz w:val="24"/>
          <w:szCs w:val="24"/>
          <w:bdr w:val="none" w:sz="0" w:space="0" w:color="auto"/>
          <w:lang w:eastAsia="en-US"/>
        </w:rPr>
        <w:lastRenderedPageBreak/>
        <w:t>absoluto de +1.3 punto</w:t>
      </w:r>
      <w:r w:rsidR="00DC66FD">
        <w:rPr>
          <w:rFonts w:ascii="Times New Roman" w:eastAsiaTheme="minorHAnsi" w:hAnsi="Times New Roman" w:cs="Times New Roman"/>
          <w:color w:val="767171"/>
          <w:spacing w:val="20"/>
          <w:sz w:val="24"/>
          <w:szCs w:val="24"/>
          <w:bdr w:val="none" w:sz="0" w:space="0" w:color="auto"/>
          <w:lang w:eastAsia="en-US"/>
        </w:rPr>
        <w:t>s</w:t>
      </w:r>
      <w:r w:rsidRPr="007B1CCF">
        <w:rPr>
          <w:rFonts w:ascii="Times New Roman" w:eastAsiaTheme="minorHAnsi" w:hAnsi="Times New Roman" w:cs="Times New Roman"/>
          <w:color w:val="767171"/>
          <w:spacing w:val="20"/>
          <w:sz w:val="24"/>
          <w:szCs w:val="24"/>
          <w:bdr w:val="none" w:sz="0" w:space="0" w:color="auto"/>
          <w:lang w:eastAsia="en-US"/>
        </w:rPr>
        <w:t xml:space="preserve"> porcentual</w:t>
      </w:r>
      <w:r w:rsidR="00DC66FD">
        <w:rPr>
          <w:rFonts w:ascii="Times New Roman" w:eastAsiaTheme="minorHAnsi" w:hAnsi="Times New Roman" w:cs="Times New Roman"/>
          <w:color w:val="767171"/>
          <w:spacing w:val="20"/>
          <w:sz w:val="24"/>
          <w:szCs w:val="24"/>
          <w:bdr w:val="none" w:sz="0" w:space="0" w:color="auto"/>
          <w:lang w:eastAsia="en-US"/>
        </w:rPr>
        <w:t>es</w:t>
      </w:r>
      <w:r w:rsidRPr="007B1CCF">
        <w:rPr>
          <w:rFonts w:ascii="Times New Roman" w:eastAsiaTheme="minorHAnsi" w:hAnsi="Times New Roman" w:cs="Times New Roman"/>
          <w:color w:val="767171"/>
          <w:spacing w:val="20"/>
          <w:sz w:val="24"/>
          <w:szCs w:val="24"/>
          <w:bdr w:val="none" w:sz="0" w:space="0" w:color="auto"/>
          <w:lang w:eastAsia="en-US"/>
        </w:rPr>
        <w:t xml:space="preserve"> desde el nivel mínimo histórico alcanzado en mayo </w:t>
      </w:r>
      <w:r w:rsidRPr="00D80D0E">
        <w:rPr>
          <w:rFonts w:ascii="Times New Roman" w:eastAsiaTheme="minorHAnsi" w:hAnsi="Times New Roman" w:cs="Times New Roman"/>
          <w:color w:val="767171"/>
          <w:spacing w:val="20"/>
          <w:sz w:val="24"/>
          <w:szCs w:val="24"/>
          <w:bdr w:val="none" w:sz="0" w:space="0" w:color="auto"/>
          <w:lang w:eastAsia="en-US"/>
        </w:rPr>
        <w:t>2022</w:t>
      </w:r>
      <w:r w:rsidR="00D80D0E" w:rsidRPr="00D80D0E">
        <w:rPr>
          <w:rFonts w:ascii="Times New Roman" w:eastAsiaTheme="minorHAnsi" w:hAnsi="Times New Roman" w:cs="Times New Roman"/>
          <w:color w:val="767171"/>
          <w:spacing w:val="20"/>
          <w:sz w:val="24"/>
          <w:szCs w:val="24"/>
          <w:bdr w:val="none" w:sz="0" w:space="0" w:color="auto"/>
          <w:lang w:eastAsia="en-US"/>
        </w:rPr>
        <w:t>.</w:t>
      </w:r>
    </w:p>
    <w:p w14:paraId="2C20C0C9" w14:textId="40072E23"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bookmarkStart w:id="24" w:name="_Hlk74839316"/>
      <w:r w:rsidRPr="007B1CCF">
        <w:rPr>
          <w:rFonts w:ascii="Times New Roman" w:eastAsiaTheme="minorHAnsi" w:hAnsi="Times New Roman" w:cs="Times New Roman"/>
          <w:color w:val="767171"/>
          <w:spacing w:val="20"/>
          <w:sz w:val="24"/>
          <w:szCs w:val="24"/>
          <w:bdr w:val="none" w:sz="0" w:space="0" w:color="auto"/>
          <w:lang w:eastAsia="en-US"/>
        </w:rPr>
        <w:t xml:space="preserve">El sistema financiero se encuentra en el proceso de gradualidad regulatoria. </w:t>
      </w:r>
      <w:bookmarkEnd w:id="24"/>
      <w:r w:rsidRPr="007B1CCF">
        <w:rPr>
          <w:rFonts w:ascii="Times New Roman" w:eastAsiaTheme="minorHAnsi" w:hAnsi="Times New Roman" w:cs="Times New Roman"/>
          <w:color w:val="767171"/>
          <w:spacing w:val="20"/>
          <w:sz w:val="24"/>
          <w:szCs w:val="24"/>
          <w:bdr w:val="none" w:sz="0" w:space="0" w:color="auto"/>
          <w:lang w:eastAsia="en-US"/>
        </w:rPr>
        <w:t xml:space="preserve">Acorde con lo </w:t>
      </w:r>
      <w:r w:rsidR="00585E45">
        <w:rPr>
          <w:rFonts w:ascii="Times New Roman" w:eastAsiaTheme="minorHAnsi" w:hAnsi="Times New Roman" w:cs="Times New Roman"/>
          <w:color w:val="767171"/>
          <w:spacing w:val="20"/>
          <w:sz w:val="24"/>
          <w:szCs w:val="24"/>
          <w:bdr w:val="none" w:sz="0" w:space="0" w:color="auto"/>
          <w:lang w:eastAsia="en-US"/>
        </w:rPr>
        <w:t>establecido</w:t>
      </w:r>
      <w:r w:rsidRPr="007B1CCF">
        <w:rPr>
          <w:rFonts w:ascii="Times New Roman" w:eastAsiaTheme="minorHAnsi" w:hAnsi="Times New Roman" w:cs="Times New Roman"/>
          <w:color w:val="767171"/>
          <w:spacing w:val="20"/>
          <w:sz w:val="24"/>
          <w:szCs w:val="24"/>
          <w:bdr w:val="none" w:sz="0" w:space="0" w:color="auto"/>
          <w:lang w:eastAsia="en-US"/>
        </w:rPr>
        <w:t xml:space="preserve"> por la Junta Monetaria</w:t>
      </w:r>
      <w:r w:rsidR="00375027">
        <w:rPr>
          <w:rFonts w:ascii="Times New Roman" w:eastAsiaTheme="minorHAnsi" w:hAnsi="Times New Roman" w:cs="Times New Roman"/>
          <w:color w:val="767171"/>
          <w:spacing w:val="20"/>
          <w:sz w:val="24"/>
          <w:szCs w:val="24"/>
          <w:bdr w:val="none" w:sz="0" w:space="0" w:color="auto"/>
          <w:lang w:eastAsia="en-US"/>
        </w:rPr>
        <w:t xml:space="preserve"> en </w:t>
      </w:r>
      <w:r w:rsidR="00B430EC">
        <w:rPr>
          <w:rFonts w:ascii="Times New Roman" w:eastAsiaTheme="minorHAnsi" w:hAnsi="Times New Roman" w:cs="Times New Roman"/>
          <w:color w:val="767171"/>
          <w:spacing w:val="20"/>
          <w:sz w:val="24"/>
          <w:szCs w:val="24"/>
          <w:bdr w:val="none" w:sz="0" w:space="0" w:color="auto"/>
          <w:lang w:eastAsia="en-US"/>
        </w:rPr>
        <w:t>la circular 007/22</w:t>
      </w:r>
      <w:r w:rsidRPr="007B1CCF">
        <w:rPr>
          <w:rFonts w:ascii="Times New Roman" w:eastAsiaTheme="minorHAnsi" w:hAnsi="Times New Roman" w:cs="Times New Roman"/>
          <w:color w:val="767171"/>
          <w:spacing w:val="20"/>
          <w:sz w:val="24"/>
          <w:szCs w:val="24"/>
          <w:bdr w:val="none" w:sz="0" w:space="0" w:color="auto"/>
          <w:lang w:eastAsia="en-US"/>
        </w:rPr>
        <w:t xml:space="preserve">, la gradualidad regulatoria concluirá el 31 de diciembre 2023. La Superintendencia mantiene el seguimiento de la evolución y el nivel de cumplimiento de las entidades. El total de brecha de provisiones a septiembre de 2023 es de </w:t>
      </w:r>
      <w:r w:rsidR="00F627B2">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235 millones, equivalente a una reducción de -55.5% respecto a septiembre 2022.</w:t>
      </w:r>
    </w:p>
    <w:p w14:paraId="6B05A4A4" w14:textId="0A1DFE49" w:rsidR="007B1CCF" w:rsidRPr="007B1CCF"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El sistema financiero permanece rentable</w:t>
      </w:r>
      <w:r w:rsidR="00D80D0E">
        <w:rPr>
          <w:rFonts w:ascii="Times New Roman" w:eastAsiaTheme="minorHAnsi" w:hAnsi="Times New Roman" w:cs="Times New Roman"/>
          <w:color w:val="767171"/>
          <w:spacing w:val="20"/>
          <w:sz w:val="24"/>
          <w:szCs w:val="24"/>
          <w:bdr w:val="none" w:sz="0" w:space="0" w:color="auto"/>
          <w:lang w:eastAsia="en-US"/>
        </w:rPr>
        <w:t>,</w:t>
      </w:r>
      <w:r w:rsidRPr="007B1CCF">
        <w:rPr>
          <w:rFonts w:ascii="Times New Roman" w:eastAsiaTheme="minorHAnsi" w:hAnsi="Times New Roman" w:cs="Times New Roman"/>
          <w:color w:val="767171"/>
          <w:spacing w:val="20"/>
          <w:sz w:val="24"/>
          <w:szCs w:val="24"/>
          <w:bdr w:val="none" w:sz="0" w:space="0" w:color="auto"/>
          <w:lang w:eastAsia="en-US"/>
        </w:rPr>
        <w:t xml:space="preserve"> registrando utilidades antes de impuestos sobre la renta por </w:t>
      </w:r>
      <w:r w:rsidR="00B14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73,</w:t>
      </w:r>
      <w:r w:rsidR="000F759D">
        <w:rPr>
          <w:rFonts w:ascii="Times New Roman" w:eastAsiaTheme="minorHAnsi" w:hAnsi="Times New Roman" w:cs="Times New Roman"/>
          <w:color w:val="767171"/>
          <w:spacing w:val="20"/>
          <w:sz w:val="24"/>
          <w:szCs w:val="24"/>
          <w:bdr w:val="none" w:sz="0" w:space="0" w:color="auto"/>
          <w:lang w:eastAsia="en-US"/>
        </w:rPr>
        <w:t>1</w:t>
      </w:r>
      <w:r w:rsidRPr="007B1CCF">
        <w:rPr>
          <w:rFonts w:ascii="Times New Roman" w:eastAsiaTheme="minorHAnsi" w:hAnsi="Times New Roman" w:cs="Times New Roman"/>
          <w:color w:val="767171"/>
          <w:spacing w:val="20"/>
          <w:sz w:val="24"/>
          <w:szCs w:val="24"/>
          <w:bdr w:val="none" w:sz="0" w:space="0" w:color="auto"/>
          <w:lang w:eastAsia="en-US"/>
        </w:rPr>
        <w:t xml:space="preserve"> millones, y presentando un indicador de rentabilidad del patrimonio (ROE) de 26.4%. Asimismo, la rentabilidad promedio de los activos (ROA) se mantuvo en un 3.0%. El comportamiento del sistema financiero muestra que la eficiencia operativa se encuentra en 61.6% observándose una mejora respecto al año anterior, lo cual indica que al mes de septiembre por cada </w:t>
      </w:r>
      <w:r w:rsidR="00B14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 xml:space="preserve">100 de ingresos el sistema financiero </w:t>
      </w:r>
      <w:r w:rsidR="005F2185">
        <w:rPr>
          <w:rFonts w:ascii="Times New Roman" w:eastAsiaTheme="minorHAnsi" w:hAnsi="Times New Roman" w:cs="Times New Roman"/>
          <w:color w:val="767171"/>
          <w:spacing w:val="20"/>
          <w:sz w:val="24"/>
          <w:szCs w:val="24"/>
          <w:bdr w:val="none" w:sz="0" w:space="0" w:color="auto"/>
          <w:lang w:eastAsia="en-US"/>
        </w:rPr>
        <w:t xml:space="preserve">incurre en </w:t>
      </w:r>
      <w:r w:rsidR="00FE57FE">
        <w:rPr>
          <w:rFonts w:ascii="Times New Roman" w:eastAsiaTheme="minorHAnsi" w:hAnsi="Times New Roman" w:cs="Times New Roman"/>
          <w:color w:val="767171"/>
          <w:spacing w:val="20"/>
          <w:sz w:val="24"/>
          <w:szCs w:val="24"/>
          <w:bdr w:val="none" w:sz="0" w:space="0" w:color="auto"/>
          <w:lang w:eastAsia="en-US"/>
        </w:rPr>
        <w:t>el gasto de</w:t>
      </w:r>
      <w:r w:rsidRPr="007B1CCF">
        <w:rPr>
          <w:rFonts w:ascii="Times New Roman" w:eastAsiaTheme="minorHAnsi" w:hAnsi="Times New Roman" w:cs="Times New Roman"/>
          <w:color w:val="767171"/>
          <w:spacing w:val="20"/>
          <w:sz w:val="24"/>
          <w:szCs w:val="24"/>
          <w:bdr w:val="none" w:sz="0" w:space="0" w:color="auto"/>
          <w:lang w:eastAsia="en-US"/>
        </w:rPr>
        <w:t xml:space="preserve"> </w:t>
      </w:r>
      <w:r w:rsidR="00B14BA4">
        <w:rPr>
          <w:rFonts w:ascii="Times New Roman" w:eastAsiaTheme="minorHAnsi" w:hAnsi="Times New Roman" w:cs="Times New Roman"/>
          <w:color w:val="767171"/>
          <w:spacing w:val="20"/>
          <w:sz w:val="24"/>
          <w:szCs w:val="24"/>
          <w:bdr w:val="none" w:sz="0" w:space="0" w:color="auto"/>
          <w:lang w:eastAsia="en-US"/>
        </w:rPr>
        <w:t>RD$</w:t>
      </w:r>
      <w:r w:rsidRPr="007B1CCF">
        <w:rPr>
          <w:rFonts w:ascii="Times New Roman" w:eastAsiaTheme="minorHAnsi" w:hAnsi="Times New Roman" w:cs="Times New Roman"/>
          <w:color w:val="767171"/>
          <w:spacing w:val="20"/>
          <w:sz w:val="24"/>
          <w:szCs w:val="24"/>
          <w:bdr w:val="none" w:sz="0" w:space="0" w:color="auto"/>
          <w:lang w:eastAsia="en-US"/>
        </w:rPr>
        <w:t>61.6 pesos</w:t>
      </w:r>
      <w:r w:rsidR="00A919DB">
        <w:rPr>
          <w:rFonts w:ascii="Times New Roman" w:eastAsiaTheme="minorHAnsi" w:hAnsi="Times New Roman" w:cs="Times New Roman"/>
          <w:color w:val="767171"/>
          <w:spacing w:val="20"/>
          <w:sz w:val="24"/>
          <w:szCs w:val="24"/>
          <w:bdr w:val="none" w:sz="0" w:space="0" w:color="auto"/>
          <w:lang w:eastAsia="en-US"/>
        </w:rPr>
        <w:t xml:space="preserve"> para llevar a cabo</w:t>
      </w:r>
      <w:r w:rsidRPr="007B1CCF">
        <w:rPr>
          <w:rFonts w:ascii="Times New Roman" w:eastAsiaTheme="minorHAnsi" w:hAnsi="Times New Roman" w:cs="Times New Roman"/>
          <w:color w:val="767171"/>
          <w:spacing w:val="20"/>
          <w:sz w:val="24"/>
          <w:szCs w:val="24"/>
          <w:bdr w:val="none" w:sz="0" w:space="0" w:color="auto"/>
          <w:lang w:eastAsia="en-US"/>
        </w:rPr>
        <w:t xml:space="preserve"> sus operaciones.</w:t>
      </w:r>
    </w:p>
    <w:p w14:paraId="13FAB0E5" w14:textId="35FDC3A6" w:rsidR="007B1CCF" w:rsidRPr="000E23D9" w:rsidRDefault="007B1CCF" w:rsidP="0042752A">
      <w:pPr>
        <w:pStyle w:val="Cuerpomemorias"/>
        <w:numPr>
          <w:ilvl w:val="0"/>
          <w:numId w:val="16"/>
        </w:numPr>
        <w:spacing w:after="160"/>
        <w:ind w:left="357" w:hanging="357"/>
        <w:contextualSpacing w:val="0"/>
        <w:rPr>
          <w:rFonts w:ascii="Times New Roman" w:eastAsiaTheme="minorHAnsi" w:hAnsi="Times New Roman" w:cs="Times New Roman"/>
          <w:color w:val="767171"/>
          <w:spacing w:val="20"/>
          <w:sz w:val="24"/>
          <w:szCs w:val="24"/>
          <w:bdr w:val="none" w:sz="0" w:space="0" w:color="auto"/>
          <w:lang w:eastAsia="en-US"/>
        </w:rPr>
      </w:pPr>
      <w:r w:rsidRPr="007B1CCF">
        <w:rPr>
          <w:rFonts w:ascii="Times New Roman" w:eastAsiaTheme="minorHAnsi" w:hAnsi="Times New Roman" w:cs="Times New Roman"/>
          <w:color w:val="767171"/>
          <w:spacing w:val="20"/>
          <w:sz w:val="24"/>
          <w:szCs w:val="24"/>
          <w:bdr w:val="none" w:sz="0" w:space="0" w:color="auto"/>
          <w:lang w:eastAsia="en-US"/>
        </w:rPr>
        <w:t>En términos de inclusión financiera, la</w:t>
      </w:r>
      <w:r w:rsidR="00134001">
        <w:rPr>
          <w:rFonts w:ascii="Times New Roman" w:eastAsiaTheme="minorHAnsi" w:hAnsi="Times New Roman" w:cs="Times New Roman"/>
          <w:color w:val="767171"/>
          <w:spacing w:val="20"/>
          <w:sz w:val="24"/>
          <w:szCs w:val="24"/>
          <w:bdr w:val="none" w:sz="0" w:space="0" w:color="auto"/>
          <w:lang w:eastAsia="en-US"/>
        </w:rPr>
        <w:t xml:space="preserve"> cantidad de</w:t>
      </w:r>
      <w:r w:rsidRPr="007B1CCF">
        <w:rPr>
          <w:rFonts w:ascii="Times New Roman" w:eastAsiaTheme="minorHAnsi" w:hAnsi="Times New Roman" w:cs="Times New Roman"/>
          <w:color w:val="767171"/>
          <w:spacing w:val="20"/>
          <w:sz w:val="24"/>
          <w:szCs w:val="24"/>
          <w:bdr w:val="none" w:sz="0" w:space="0" w:color="auto"/>
          <w:lang w:eastAsia="en-US"/>
        </w:rPr>
        <w:t xml:space="preserve"> personas físicas con créditos en el sistema financiero ascendieron a </w:t>
      </w:r>
      <w:r w:rsidRPr="000E23D9">
        <w:rPr>
          <w:rFonts w:ascii="Times New Roman" w:eastAsiaTheme="minorHAnsi" w:hAnsi="Times New Roman" w:cs="Times New Roman"/>
          <w:color w:val="767171"/>
          <w:spacing w:val="20"/>
          <w:sz w:val="24"/>
          <w:szCs w:val="24"/>
          <w:bdr w:val="none" w:sz="0" w:space="0" w:color="auto"/>
          <w:lang w:eastAsia="en-US"/>
        </w:rPr>
        <w:t>2,301,676 (32.9% de la población mayor de 18 años), para un incremento con relación a septiembre de 2022 de 230,135 (11.1%).</w:t>
      </w:r>
    </w:p>
    <w:p w14:paraId="289499F9" w14:textId="77777777" w:rsidR="006B204A" w:rsidRDefault="006B204A" w:rsidP="0042752A">
      <w:pPr>
        <w:spacing w:afterLines="160" w:after="384" w:line="360" w:lineRule="auto"/>
        <w:jc w:val="center"/>
        <w:rPr>
          <w:b/>
          <w:lang w:val="es-DO"/>
        </w:rPr>
      </w:pPr>
    </w:p>
    <w:p w14:paraId="3772AC16" w14:textId="77777777" w:rsidR="0042752A" w:rsidRDefault="0042752A" w:rsidP="0042752A">
      <w:pPr>
        <w:spacing w:afterLines="160" w:after="384" w:line="360" w:lineRule="auto"/>
        <w:jc w:val="center"/>
        <w:rPr>
          <w:b/>
          <w:lang w:val="es-DO"/>
        </w:rPr>
      </w:pPr>
    </w:p>
    <w:p w14:paraId="41541CD9" w14:textId="78820B79" w:rsidR="00754C7E" w:rsidRPr="000E23D9" w:rsidRDefault="00D00E05" w:rsidP="000E6F34">
      <w:pPr>
        <w:pStyle w:val="Estilo3"/>
        <w:spacing w:after="160" w:line="360" w:lineRule="auto"/>
        <w:rPr>
          <w:b/>
        </w:rPr>
      </w:pPr>
      <w:bookmarkStart w:id="25" w:name="_Toc155354609"/>
      <w:r w:rsidRPr="000E6F34">
        <w:rPr>
          <w:b/>
          <w:szCs w:val="24"/>
        </w:rPr>
        <w:lastRenderedPageBreak/>
        <w:t>3</w:t>
      </w:r>
      <w:r w:rsidR="00E52ED4" w:rsidRPr="000E6F34">
        <w:rPr>
          <w:b/>
          <w:szCs w:val="24"/>
        </w:rPr>
        <w:t>.</w:t>
      </w:r>
      <w:r w:rsidR="000E6F34" w:rsidRPr="000E6F34">
        <w:rPr>
          <w:b/>
          <w:szCs w:val="24"/>
        </w:rPr>
        <w:t>2</w:t>
      </w:r>
      <w:r w:rsidR="00E52ED4" w:rsidRPr="000E6F34">
        <w:rPr>
          <w:b/>
          <w:szCs w:val="24"/>
        </w:rPr>
        <w:t xml:space="preserve"> Supervisión de entidades </w:t>
      </w:r>
      <w:bookmarkEnd w:id="20"/>
      <w:bookmarkEnd w:id="21"/>
      <w:r w:rsidR="0087042B" w:rsidRPr="000E23D9">
        <w:rPr>
          <w:b/>
        </w:rPr>
        <w:t xml:space="preserve">de intermediación financiera y </w:t>
      </w:r>
      <w:r w:rsidR="00754C7E" w:rsidRPr="000E23D9">
        <w:rPr>
          <w:b/>
        </w:rPr>
        <w:t>cambiarias</w:t>
      </w:r>
      <w:bookmarkEnd w:id="25"/>
    </w:p>
    <w:p w14:paraId="1FB0C383" w14:textId="4F25BF43" w:rsidR="00754C7E" w:rsidRPr="00754C7E" w:rsidRDefault="00754C7E" w:rsidP="006B204A">
      <w:pPr>
        <w:spacing w:line="360" w:lineRule="auto"/>
        <w:jc w:val="both"/>
        <w:rPr>
          <w:rFonts w:eastAsia="Calibri"/>
          <w:lang w:val="es-DO"/>
        </w:rPr>
      </w:pPr>
      <w:r w:rsidRPr="000E23D9">
        <w:rPr>
          <w:rFonts w:eastAsia="Calibri"/>
          <w:lang w:val="es-DO"/>
        </w:rPr>
        <w:t>Con el objetivo de preservar el adecuado funcionamiento de las entidades de intermediación financieras y cambiarias</w:t>
      </w:r>
      <w:r w:rsidR="004222FF" w:rsidRPr="000E23D9">
        <w:rPr>
          <w:rFonts w:eastAsia="Calibri"/>
          <w:lang w:val="es-DO"/>
        </w:rPr>
        <w:t>, en el período comprendido entre enero y diciembre de 2023</w:t>
      </w:r>
      <w:r w:rsidR="008C5D48" w:rsidRPr="000E23D9">
        <w:rPr>
          <w:rFonts w:eastAsia="Calibri"/>
          <w:lang w:val="es-DO"/>
        </w:rPr>
        <w:t>,</w:t>
      </w:r>
      <w:r w:rsidRPr="000E23D9">
        <w:rPr>
          <w:rFonts w:eastAsia="Calibri"/>
          <w:lang w:val="es-DO"/>
        </w:rPr>
        <w:t xml:space="preserve"> la Superintendencia de Bancos de la República Dominicana realizó sesenta y ocho (68) inspecciones </w:t>
      </w:r>
      <w:bookmarkStart w:id="26" w:name="_Int_OmbYVclI"/>
      <w:r w:rsidRPr="000E23D9">
        <w:rPr>
          <w:rFonts w:eastAsia="Calibri"/>
          <w:lang w:val="es-DO"/>
        </w:rPr>
        <w:t>in-situ</w:t>
      </w:r>
      <w:bookmarkEnd w:id="26"/>
      <w:r w:rsidRPr="000E23D9">
        <w:rPr>
          <w:rFonts w:eastAsia="Calibri"/>
          <w:lang w:val="es-DO"/>
        </w:rPr>
        <w:t xml:space="preserve"> y </w:t>
      </w:r>
      <w:bookmarkStart w:id="27" w:name="_Int_ToDQR1Fz"/>
      <w:r w:rsidRPr="000E23D9">
        <w:rPr>
          <w:rFonts w:eastAsia="Calibri"/>
          <w:lang w:val="es-DO"/>
        </w:rPr>
        <w:t>extra-situ</w:t>
      </w:r>
      <w:bookmarkEnd w:id="27"/>
      <w:r w:rsidRPr="000E23D9">
        <w:rPr>
          <w:rFonts w:eastAsia="Calibri"/>
          <w:lang w:val="es-DO"/>
        </w:rPr>
        <w:t>. De esas</w:t>
      </w:r>
      <w:r w:rsidRPr="00754C7E">
        <w:rPr>
          <w:rFonts w:eastAsia="Calibri"/>
          <w:lang w:val="es-DO"/>
        </w:rPr>
        <w:t xml:space="preserve"> inspecciones, veintiuno (21) fueron realizadas en Bancos de Servicios Múltiples, nueve (9) en Asociaciones de Ahorros y Préstamos, catorce (14) en Bancos de Ahorro y Crédito, cuatro (4) </w:t>
      </w:r>
      <w:r w:rsidR="007F3000">
        <w:rPr>
          <w:rFonts w:eastAsia="Calibri"/>
          <w:lang w:val="es-DO"/>
        </w:rPr>
        <w:t>en</w:t>
      </w:r>
      <w:r w:rsidRPr="00754C7E">
        <w:rPr>
          <w:rFonts w:eastAsia="Calibri"/>
          <w:lang w:val="es-DO"/>
        </w:rPr>
        <w:t xml:space="preserve"> Corporaciones de Crédito, dos (2) </w:t>
      </w:r>
      <w:r w:rsidR="007F3000">
        <w:rPr>
          <w:rFonts w:eastAsia="Calibri"/>
          <w:lang w:val="es-DO"/>
        </w:rPr>
        <w:t>en</w:t>
      </w:r>
      <w:r w:rsidRPr="00754C7E">
        <w:rPr>
          <w:rFonts w:eastAsia="Calibri"/>
          <w:lang w:val="es-DO"/>
        </w:rPr>
        <w:t xml:space="preserve"> Entidades Estatales y dieciocho (18) en Entidades Cambiarias y </w:t>
      </w:r>
      <w:bookmarkStart w:id="28" w:name="_Int_jU0xaVuk"/>
      <w:r w:rsidRPr="00754C7E">
        <w:rPr>
          <w:rFonts w:eastAsia="Calibri"/>
          <w:lang w:val="es-DO"/>
        </w:rPr>
        <w:t>Remesadoras</w:t>
      </w:r>
      <w:bookmarkEnd w:id="28"/>
      <w:r w:rsidRPr="00754C7E">
        <w:rPr>
          <w:rFonts w:eastAsia="Calibri"/>
          <w:lang w:val="es-DO"/>
        </w:rPr>
        <w:t>.</w:t>
      </w:r>
    </w:p>
    <w:p w14:paraId="5B494670" w14:textId="77777777" w:rsidR="00754C7E" w:rsidRPr="00754C7E" w:rsidRDefault="00754C7E" w:rsidP="006B204A">
      <w:pPr>
        <w:spacing w:line="360" w:lineRule="auto"/>
        <w:rPr>
          <w:rFonts w:eastAsia="Calibri"/>
          <w:lang w:val="es-DO"/>
        </w:rPr>
      </w:pPr>
      <w:r w:rsidRPr="00754C7E">
        <w:rPr>
          <w:rFonts w:eastAsia="Calibri"/>
          <w:lang w:val="es-DO"/>
        </w:rPr>
        <w:t>Las inspecciones de campo realizadas se enfocaron en los siguientes aspectos:</w:t>
      </w:r>
    </w:p>
    <w:p w14:paraId="25202C54" w14:textId="77777777"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Calidad de la cartera de créditos.</w:t>
      </w:r>
    </w:p>
    <w:p w14:paraId="5E514CBC" w14:textId="77777777"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Evaluación de las operaciones de tesorería y captaciones.</w:t>
      </w:r>
    </w:p>
    <w:p w14:paraId="6FF9A74E" w14:textId="77777777"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Gobierno corporativo.</w:t>
      </w:r>
    </w:p>
    <w:p w14:paraId="57944176" w14:textId="77777777"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Calidad de los activos.</w:t>
      </w:r>
    </w:p>
    <w:p w14:paraId="6DA03BE2" w14:textId="6BE0ABD4"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Tarjeta de crédito</w:t>
      </w:r>
      <w:r w:rsidR="002E4487">
        <w:rPr>
          <w:rFonts w:ascii="Times New Roman" w:hAnsi="Times New Roman"/>
          <w:color w:val="767171"/>
          <w:spacing w:val="20"/>
          <w:sz w:val="24"/>
          <w:szCs w:val="24"/>
        </w:rPr>
        <w:t>.</w:t>
      </w:r>
    </w:p>
    <w:p w14:paraId="37263C25" w14:textId="252CDA1B"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Auditoría interna</w:t>
      </w:r>
      <w:r w:rsidR="002E4487">
        <w:rPr>
          <w:rFonts w:ascii="Times New Roman" w:hAnsi="Times New Roman"/>
          <w:color w:val="767171"/>
          <w:spacing w:val="20"/>
          <w:sz w:val="24"/>
          <w:szCs w:val="24"/>
        </w:rPr>
        <w:t>.</w:t>
      </w:r>
    </w:p>
    <w:p w14:paraId="50DE38C6" w14:textId="5C8D7CD4"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Gestión de riesgos</w:t>
      </w:r>
      <w:r w:rsidR="00654FEC">
        <w:rPr>
          <w:rFonts w:ascii="Times New Roman" w:hAnsi="Times New Roman"/>
          <w:color w:val="767171"/>
          <w:spacing w:val="20"/>
          <w:sz w:val="24"/>
          <w:szCs w:val="24"/>
        </w:rPr>
        <w:t>.</w:t>
      </w:r>
    </w:p>
    <w:p w14:paraId="7834DBE4" w14:textId="3AFAB220"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Análisis financiero</w:t>
      </w:r>
      <w:r w:rsidR="00654FEC">
        <w:rPr>
          <w:rFonts w:ascii="Times New Roman" w:hAnsi="Times New Roman"/>
          <w:color w:val="767171"/>
          <w:spacing w:val="20"/>
          <w:sz w:val="24"/>
          <w:szCs w:val="24"/>
        </w:rPr>
        <w:t>.</w:t>
      </w:r>
    </w:p>
    <w:p w14:paraId="1EE4C379" w14:textId="3E9038B0"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Adecuación patrimonial</w:t>
      </w:r>
      <w:r w:rsidR="00654FEC">
        <w:rPr>
          <w:rFonts w:ascii="Times New Roman" w:hAnsi="Times New Roman"/>
          <w:color w:val="767171"/>
          <w:spacing w:val="20"/>
          <w:sz w:val="24"/>
          <w:szCs w:val="24"/>
        </w:rPr>
        <w:t>.</w:t>
      </w:r>
    </w:p>
    <w:p w14:paraId="492BC65C" w14:textId="3DDB8138"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Evaluación de las utilidades</w:t>
      </w:r>
      <w:r w:rsidR="00654FEC">
        <w:rPr>
          <w:rFonts w:ascii="Times New Roman" w:hAnsi="Times New Roman"/>
          <w:color w:val="767171"/>
          <w:spacing w:val="20"/>
          <w:sz w:val="24"/>
          <w:szCs w:val="24"/>
        </w:rPr>
        <w:t>.</w:t>
      </w:r>
    </w:p>
    <w:p w14:paraId="2F658340" w14:textId="28F90D8C" w:rsidR="00754C7E" w:rsidRPr="001A0DEC"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lastRenderedPageBreak/>
        <w:t>Riesgo operacional</w:t>
      </w:r>
      <w:r w:rsidR="00654FEC">
        <w:rPr>
          <w:rFonts w:ascii="Times New Roman" w:hAnsi="Times New Roman"/>
          <w:color w:val="767171"/>
          <w:spacing w:val="20"/>
          <w:sz w:val="24"/>
          <w:szCs w:val="24"/>
        </w:rPr>
        <w:t>.</w:t>
      </w:r>
    </w:p>
    <w:p w14:paraId="2ABBE779" w14:textId="0BDF0A7A" w:rsidR="00B245B1" w:rsidRPr="0010269A" w:rsidRDefault="00754C7E" w:rsidP="00CB4994">
      <w:pPr>
        <w:pStyle w:val="Prrafodelista"/>
        <w:numPr>
          <w:ilvl w:val="0"/>
          <w:numId w:val="17"/>
        </w:numPr>
        <w:spacing w:line="360" w:lineRule="auto"/>
        <w:contextualSpacing w:val="0"/>
        <w:jc w:val="both"/>
        <w:rPr>
          <w:rFonts w:ascii="Times New Roman" w:hAnsi="Times New Roman"/>
          <w:color w:val="767171"/>
          <w:spacing w:val="20"/>
          <w:sz w:val="24"/>
          <w:szCs w:val="24"/>
        </w:rPr>
      </w:pPr>
      <w:r w:rsidRPr="001A0DEC">
        <w:rPr>
          <w:rFonts w:ascii="Times New Roman" w:hAnsi="Times New Roman"/>
          <w:color w:val="767171"/>
          <w:spacing w:val="20"/>
          <w:sz w:val="24"/>
          <w:szCs w:val="24"/>
        </w:rPr>
        <w:t>Plataforma tecnológica y aspectos relacionados a la protección de los derechos de los usuarios de los productos y servicios.</w:t>
      </w:r>
    </w:p>
    <w:p w14:paraId="35A4C7B4" w14:textId="4612A297" w:rsidR="00B245B1" w:rsidRPr="00B245B1" w:rsidRDefault="00B245B1" w:rsidP="006B204A">
      <w:pPr>
        <w:spacing w:line="360" w:lineRule="auto"/>
        <w:ind w:left="360"/>
        <w:jc w:val="center"/>
        <w:rPr>
          <w:b/>
          <w:bCs/>
          <w:lang w:val="es-DO"/>
        </w:rPr>
      </w:pPr>
      <w:r w:rsidRPr="00B245B1">
        <w:rPr>
          <w:b/>
          <w:lang w:val="es-DO"/>
        </w:rPr>
        <w:t xml:space="preserve">Tabla </w:t>
      </w:r>
      <w:r w:rsidR="00482BC0">
        <w:rPr>
          <w:b/>
          <w:lang w:val="es-DO"/>
        </w:rPr>
        <w:t>2</w:t>
      </w:r>
      <w:r w:rsidRPr="00B245B1">
        <w:rPr>
          <w:b/>
          <w:lang w:val="es-DO"/>
        </w:rPr>
        <w:t xml:space="preserve">. </w:t>
      </w:r>
      <w:r w:rsidRPr="00B245B1">
        <w:rPr>
          <w:b/>
          <w:bCs/>
          <w:lang w:val="es-DO"/>
        </w:rPr>
        <w:t>Inspecciones realizadas a entidades de intermediación financiera por tipo de entidad.</w:t>
      </w:r>
    </w:p>
    <w:tbl>
      <w:tblPr>
        <w:tblW w:w="7376" w:type="dxa"/>
        <w:jc w:val="center"/>
        <w:tblCellMar>
          <w:top w:w="15" w:type="dxa"/>
          <w:left w:w="70" w:type="dxa"/>
          <w:bottom w:w="15" w:type="dxa"/>
          <w:right w:w="70" w:type="dxa"/>
        </w:tblCellMar>
        <w:tblLook w:val="04A0" w:firstRow="1" w:lastRow="0" w:firstColumn="1" w:lastColumn="0" w:noHBand="0" w:noVBand="1"/>
      </w:tblPr>
      <w:tblGrid>
        <w:gridCol w:w="5146"/>
        <w:gridCol w:w="2230"/>
      </w:tblGrid>
      <w:tr w:rsidR="00B245B1" w:rsidRPr="00B245B1" w14:paraId="2BD1C475" w14:textId="77777777" w:rsidTr="00C539DA">
        <w:trPr>
          <w:trHeight w:val="298"/>
          <w:jc w:val="center"/>
        </w:trPr>
        <w:tc>
          <w:tcPr>
            <w:tcW w:w="5146" w:type="dxa"/>
            <w:tcBorders>
              <w:top w:val="single" w:sz="8" w:space="0" w:color="auto"/>
              <w:left w:val="single" w:sz="8" w:space="0" w:color="auto"/>
              <w:bottom w:val="single" w:sz="8" w:space="0" w:color="auto"/>
              <w:right w:val="single" w:sz="8" w:space="0" w:color="000000"/>
            </w:tcBorders>
            <w:shd w:val="clear" w:color="auto" w:fill="011C50"/>
            <w:noWrap/>
            <w:vAlign w:val="center"/>
            <w:hideMark/>
          </w:tcPr>
          <w:p w14:paraId="0D8E11B8" w14:textId="77777777" w:rsidR="00B245B1" w:rsidRPr="00B245B1" w:rsidRDefault="00B245B1" w:rsidP="006B204A">
            <w:pPr>
              <w:spacing w:after="0" w:line="360" w:lineRule="auto"/>
              <w:rPr>
                <w:b/>
                <w:bCs/>
                <w:color w:val="FFFFFF"/>
                <w:lang w:val="es-DO"/>
              </w:rPr>
            </w:pPr>
            <w:r w:rsidRPr="00B245B1">
              <w:rPr>
                <w:b/>
                <w:bCs/>
                <w:color w:val="FFFFFF"/>
                <w:lang w:val="es-DO"/>
              </w:rPr>
              <w:t>Tipo de Entidad</w:t>
            </w:r>
          </w:p>
        </w:tc>
        <w:tc>
          <w:tcPr>
            <w:tcW w:w="2230" w:type="dxa"/>
            <w:tcBorders>
              <w:top w:val="single" w:sz="8" w:space="0" w:color="auto"/>
              <w:left w:val="single" w:sz="8" w:space="0" w:color="auto"/>
              <w:bottom w:val="single" w:sz="8" w:space="0" w:color="auto"/>
              <w:right w:val="single" w:sz="8" w:space="0" w:color="000000"/>
            </w:tcBorders>
            <w:shd w:val="clear" w:color="auto" w:fill="011C50"/>
            <w:noWrap/>
            <w:vAlign w:val="bottom"/>
            <w:hideMark/>
          </w:tcPr>
          <w:p w14:paraId="1E4A84B5" w14:textId="77777777" w:rsidR="00B245B1" w:rsidRPr="00B245B1" w:rsidRDefault="00B245B1" w:rsidP="006B204A">
            <w:pPr>
              <w:spacing w:after="0" w:line="360" w:lineRule="auto"/>
              <w:jc w:val="center"/>
              <w:rPr>
                <w:b/>
                <w:bCs/>
                <w:color w:val="FFFFFF"/>
                <w:lang w:val="es-DO"/>
              </w:rPr>
            </w:pPr>
            <w:r w:rsidRPr="00B245B1">
              <w:rPr>
                <w:b/>
                <w:bCs/>
                <w:color w:val="FFFFFF"/>
                <w:lang w:val="es-DO"/>
              </w:rPr>
              <w:t>Cantidad de Inspecciones</w:t>
            </w:r>
          </w:p>
        </w:tc>
      </w:tr>
      <w:tr w:rsidR="00B245B1" w:rsidRPr="00B245B1" w14:paraId="1485A041" w14:textId="77777777" w:rsidTr="00156B19">
        <w:trPr>
          <w:trHeight w:val="298"/>
          <w:jc w:val="center"/>
        </w:trPr>
        <w:tc>
          <w:tcPr>
            <w:tcW w:w="5146" w:type="dxa"/>
            <w:tcBorders>
              <w:top w:val="single" w:sz="4" w:space="0" w:color="auto"/>
              <w:left w:val="single" w:sz="4" w:space="0" w:color="auto"/>
              <w:bottom w:val="single" w:sz="4" w:space="0" w:color="auto"/>
              <w:right w:val="single" w:sz="4" w:space="0" w:color="auto"/>
            </w:tcBorders>
            <w:noWrap/>
            <w:vAlign w:val="bottom"/>
            <w:hideMark/>
          </w:tcPr>
          <w:p w14:paraId="296A98E4" w14:textId="77777777" w:rsidR="00B245B1" w:rsidRPr="00B245B1" w:rsidRDefault="00B245B1" w:rsidP="006B204A">
            <w:pPr>
              <w:spacing w:after="0" w:line="360" w:lineRule="auto"/>
              <w:rPr>
                <w:b/>
                <w:bCs/>
                <w:lang w:val="es-DO"/>
              </w:rPr>
            </w:pPr>
            <w:r w:rsidRPr="00B245B1">
              <w:rPr>
                <w:b/>
                <w:bCs/>
                <w:lang w:val="es-DO"/>
              </w:rPr>
              <w:t>Bancos Múltiples</w:t>
            </w:r>
          </w:p>
        </w:tc>
        <w:tc>
          <w:tcPr>
            <w:tcW w:w="2230" w:type="dxa"/>
            <w:tcBorders>
              <w:top w:val="single" w:sz="4" w:space="0" w:color="auto"/>
              <w:left w:val="nil"/>
              <w:bottom w:val="single" w:sz="4" w:space="0" w:color="auto"/>
              <w:right w:val="single" w:sz="4" w:space="0" w:color="auto"/>
            </w:tcBorders>
            <w:noWrap/>
            <w:vAlign w:val="bottom"/>
            <w:hideMark/>
          </w:tcPr>
          <w:p w14:paraId="79783B3E" w14:textId="77777777" w:rsidR="00B245B1" w:rsidRPr="00B245B1" w:rsidRDefault="00B245B1" w:rsidP="006B204A">
            <w:pPr>
              <w:spacing w:after="0" w:line="360" w:lineRule="auto"/>
              <w:jc w:val="center"/>
              <w:rPr>
                <w:lang w:val="es-DO"/>
              </w:rPr>
            </w:pPr>
            <w:r w:rsidRPr="00B245B1">
              <w:rPr>
                <w:lang w:val="es-DO"/>
              </w:rPr>
              <w:t>21</w:t>
            </w:r>
          </w:p>
        </w:tc>
      </w:tr>
      <w:tr w:rsidR="00B245B1" w:rsidRPr="00B245B1" w14:paraId="0F1D1130" w14:textId="77777777" w:rsidTr="00156B19">
        <w:trPr>
          <w:trHeight w:val="298"/>
          <w:jc w:val="center"/>
        </w:trPr>
        <w:tc>
          <w:tcPr>
            <w:tcW w:w="5146" w:type="dxa"/>
            <w:tcBorders>
              <w:top w:val="nil"/>
              <w:left w:val="single" w:sz="4" w:space="0" w:color="auto"/>
              <w:bottom w:val="single" w:sz="4" w:space="0" w:color="auto"/>
              <w:right w:val="single" w:sz="4" w:space="0" w:color="auto"/>
            </w:tcBorders>
            <w:noWrap/>
            <w:vAlign w:val="bottom"/>
          </w:tcPr>
          <w:p w14:paraId="65619249" w14:textId="77777777" w:rsidR="00B245B1" w:rsidRPr="00B245B1" w:rsidRDefault="00B245B1" w:rsidP="006B204A">
            <w:pPr>
              <w:spacing w:after="0" w:line="360" w:lineRule="auto"/>
              <w:rPr>
                <w:b/>
                <w:bCs/>
                <w:lang w:val="es-DO"/>
              </w:rPr>
            </w:pPr>
            <w:r w:rsidRPr="00B245B1">
              <w:rPr>
                <w:b/>
                <w:bCs/>
                <w:lang w:val="es-DO"/>
              </w:rPr>
              <w:t>Asociaciones de Ahorros y Préstamos</w:t>
            </w:r>
          </w:p>
        </w:tc>
        <w:tc>
          <w:tcPr>
            <w:tcW w:w="2230" w:type="dxa"/>
            <w:tcBorders>
              <w:top w:val="nil"/>
              <w:left w:val="nil"/>
              <w:bottom w:val="single" w:sz="4" w:space="0" w:color="auto"/>
              <w:right w:val="single" w:sz="4" w:space="0" w:color="auto"/>
            </w:tcBorders>
            <w:noWrap/>
            <w:vAlign w:val="bottom"/>
          </w:tcPr>
          <w:p w14:paraId="6B35EEF5" w14:textId="77777777" w:rsidR="00B245B1" w:rsidRPr="00B245B1" w:rsidRDefault="00B245B1" w:rsidP="006B204A">
            <w:pPr>
              <w:spacing w:after="0" w:line="360" w:lineRule="auto"/>
              <w:jc w:val="center"/>
              <w:rPr>
                <w:lang w:val="es-DO"/>
              </w:rPr>
            </w:pPr>
            <w:r w:rsidRPr="00B245B1">
              <w:rPr>
                <w:lang w:val="es-DO"/>
              </w:rPr>
              <w:t>9</w:t>
            </w:r>
          </w:p>
        </w:tc>
      </w:tr>
      <w:tr w:rsidR="00B245B1" w:rsidRPr="00B245B1" w14:paraId="4888C3B1" w14:textId="77777777" w:rsidTr="00156B19">
        <w:trPr>
          <w:trHeight w:val="298"/>
          <w:jc w:val="center"/>
        </w:trPr>
        <w:tc>
          <w:tcPr>
            <w:tcW w:w="5146" w:type="dxa"/>
            <w:tcBorders>
              <w:top w:val="nil"/>
              <w:left w:val="single" w:sz="4" w:space="0" w:color="auto"/>
              <w:bottom w:val="single" w:sz="4" w:space="0" w:color="auto"/>
              <w:right w:val="single" w:sz="4" w:space="0" w:color="auto"/>
            </w:tcBorders>
            <w:noWrap/>
            <w:vAlign w:val="bottom"/>
            <w:hideMark/>
          </w:tcPr>
          <w:p w14:paraId="69290C5E" w14:textId="77777777" w:rsidR="00B245B1" w:rsidRPr="00B245B1" w:rsidRDefault="00B245B1" w:rsidP="006B204A">
            <w:pPr>
              <w:spacing w:after="0" w:line="360" w:lineRule="auto"/>
              <w:rPr>
                <w:b/>
                <w:bCs/>
                <w:lang w:val="es-DO"/>
              </w:rPr>
            </w:pPr>
            <w:r w:rsidRPr="00B245B1">
              <w:rPr>
                <w:b/>
                <w:bCs/>
                <w:lang w:val="es-DO"/>
              </w:rPr>
              <w:t>Bancos de Ahorro y Crédito</w:t>
            </w:r>
          </w:p>
        </w:tc>
        <w:tc>
          <w:tcPr>
            <w:tcW w:w="2230" w:type="dxa"/>
            <w:tcBorders>
              <w:top w:val="nil"/>
              <w:left w:val="nil"/>
              <w:bottom w:val="single" w:sz="4" w:space="0" w:color="auto"/>
              <w:right w:val="single" w:sz="4" w:space="0" w:color="auto"/>
            </w:tcBorders>
            <w:noWrap/>
            <w:vAlign w:val="bottom"/>
            <w:hideMark/>
          </w:tcPr>
          <w:p w14:paraId="66CC593F" w14:textId="77777777" w:rsidR="00B245B1" w:rsidRPr="00B245B1" w:rsidRDefault="00B245B1" w:rsidP="006B204A">
            <w:pPr>
              <w:spacing w:after="0" w:line="360" w:lineRule="auto"/>
              <w:jc w:val="center"/>
              <w:rPr>
                <w:lang w:val="es-DO"/>
              </w:rPr>
            </w:pPr>
            <w:r w:rsidRPr="00B245B1">
              <w:rPr>
                <w:lang w:val="es-DO"/>
              </w:rPr>
              <w:t>14</w:t>
            </w:r>
          </w:p>
        </w:tc>
      </w:tr>
      <w:tr w:rsidR="00B245B1" w:rsidRPr="00B245B1" w14:paraId="0B060B90" w14:textId="77777777" w:rsidTr="00156B19">
        <w:trPr>
          <w:trHeight w:val="298"/>
          <w:jc w:val="center"/>
        </w:trPr>
        <w:tc>
          <w:tcPr>
            <w:tcW w:w="5146" w:type="dxa"/>
            <w:tcBorders>
              <w:top w:val="nil"/>
              <w:left w:val="single" w:sz="4" w:space="0" w:color="auto"/>
              <w:bottom w:val="single" w:sz="4" w:space="0" w:color="auto"/>
              <w:right w:val="single" w:sz="4" w:space="0" w:color="auto"/>
            </w:tcBorders>
            <w:noWrap/>
            <w:vAlign w:val="bottom"/>
            <w:hideMark/>
          </w:tcPr>
          <w:p w14:paraId="41C8362A" w14:textId="77777777" w:rsidR="00B245B1" w:rsidRPr="00B245B1" w:rsidRDefault="00B245B1" w:rsidP="006B204A">
            <w:pPr>
              <w:spacing w:after="0" w:line="360" w:lineRule="auto"/>
              <w:rPr>
                <w:b/>
                <w:bCs/>
                <w:lang w:val="es-DO"/>
              </w:rPr>
            </w:pPr>
            <w:r w:rsidRPr="00B245B1">
              <w:rPr>
                <w:b/>
                <w:bCs/>
                <w:lang w:val="es-DO"/>
              </w:rPr>
              <w:t>Corporaciones Crédito</w:t>
            </w:r>
          </w:p>
        </w:tc>
        <w:tc>
          <w:tcPr>
            <w:tcW w:w="2230" w:type="dxa"/>
            <w:tcBorders>
              <w:top w:val="nil"/>
              <w:left w:val="nil"/>
              <w:bottom w:val="single" w:sz="4" w:space="0" w:color="auto"/>
              <w:right w:val="single" w:sz="4" w:space="0" w:color="auto"/>
            </w:tcBorders>
            <w:noWrap/>
            <w:vAlign w:val="bottom"/>
            <w:hideMark/>
          </w:tcPr>
          <w:p w14:paraId="38D2D36F" w14:textId="77777777" w:rsidR="00B245B1" w:rsidRPr="00B245B1" w:rsidRDefault="00B245B1" w:rsidP="006B204A">
            <w:pPr>
              <w:spacing w:after="0" w:line="360" w:lineRule="auto"/>
              <w:jc w:val="center"/>
              <w:rPr>
                <w:lang w:val="es-DO"/>
              </w:rPr>
            </w:pPr>
            <w:r w:rsidRPr="00B245B1">
              <w:rPr>
                <w:lang w:val="es-DO"/>
              </w:rPr>
              <w:t>4</w:t>
            </w:r>
          </w:p>
        </w:tc>
      </w:tr>
      <w:tr w:rsidR="00B245B1" w:rsidRPr="00B245B1" w14:paraId="3D7C0B8D" w14:textId="77777777" w:rsidTr="00156B19">
        <w:trPr>
          <w:trHeight w:val="298"/>
          <w:jc w:val="center"/>
        </w:trPr>
        <w:tc>
          <w:tcPr>
            <w:tcW w:w="5146" w:type="dxa"/>
            <w:tcBorders>
              <w:top w:val="nil"/>
              <w:left w:val="single" w:sz="4" w:space="0" w:color="auto"/>
              <w:bottom w:val="single" w:sz="4" w:space="0" w:color="auto"/>
              <w:right w:val="single" w:sz="4" w:space="0" w:color="auto"/>
            </w:tcBorders>
            <w:noWrap/>
            <w:vAlign w:val="bottom"/>
          </w:tcPr>
          <w:p w14:paraId="01F65CAC" w14:textId="77777777" w:rsidR="00B245B1" w:rsidRPr="00B245B1" w:rsidRDefault="00B245B1" w:rsidP="006B204A">
            <w:pPr>
              <w:spacing w:after="0" w:line="360" w:lineRule="auto"/>
              <w:rPr>
                <w:b/>
                <w:bCs/>
                <w:lang w:val="es-DO"/>
              </w:rPr>
            </w:pPr>
            <w:r w:rsidRPr="00B245B1">
              <w:rPr>
                <w:b/>
                <w:bCs/>
                <w:lang w:val="es-DO"/>
              </w:rPr>
              <w:t>Entidades Estatales</w:t>
            </w:r>
          </w:p>
        </w:tc>
        <w:tc>
          <w:tcPr>
            <w:tcW w:w="2230" w:type="dxa"/>
            <w:tcBorders>
              <w:top w:val="nil"/>
              <w:left w:val="nil"/>
              <w:bottom w:val="single" w:sz="4" w:space="0" w:color="auto"/>
              <w:right w:val="single" w:sz="4" w:space="0" w:color="auto"/>
            </w:tcBorders>
            <w:noWrap/>
            <w:vAlign w:val="bottom"/>
          </w:tcPr>
          <w:p w14:paraId="634DDF4A" w14:textId="77777777" w:rsidR="00B245B1" w:rsidRPr="00B245B1" w:rsidRDefault="00B245B1" w:rsidP="006B204A">
            <w:pPr>
              <w:spacing w:after="0" w:line="360" w:lineRule="auto"/>
              <w:jc w:val="center"/>
              <w:rPr>
                <w:lang w:val="es-DO"/>
              </w:rPr>
            </w:pPr>
            <w:r w:rsidRPr="00B245B1">
              <w:rPr>
                <w:lang w:val="es-DO"/>
              </w:rPr>
              <w:t>2</w:t>
            </w:r>
          </w:p>
        </w:tc>
      </w:tr>
      <w:tr w:rsidR="00B245B1" w:rsidRPr="00B245B1" w14:paraId="44B92320" w14:textId="77777777" w:rsidTr="00156B19">
        <w:trPr>
          <w:trHeight w:val="298"/>
          <w:jc w:val="center"/>
        </w:trPr>
        <w:tc>
          <w:tcPr>
            <w:tcW w:w="5146" w:type="dxa"/>
            <w:tcBorders>
              <w:top w:val="nil"/>
              <w:left w:val="single" w:sz="4" w:space="0" w:color="auto"/>
              <w:bottom w:val="single" w:sz="4" w:space="0" w:color="auto"/>
              <w:right w:val="single" w:sz="4" w:space="0" w:color="auto"/>
            </w:tcBorders>
            <w:noWrap/>
            <w:vAlign w:val="bottom"/>
            <w:hideMark/>
          </w:tcPr>
          <w:p w14:paraId="5AD3FFC1" w14:textId="77777777" w:rsidR="00B245B1" w:rsidRPr="00B245B1" w:rsidRDefault="00B245B1" w:rsidP="006B204A">
            <w:pPr>
              <w:spacing w:after="0" w:line="360" w:lineRule="auto"/>
              <w:rPr>
                <w:b/>
                <w:bCs/>
                <w:lang w:val="es-DO"/>
              </w:rPr>
            </w:pPr>
            <w:r w:rsidRPr="00B245B1">
              <w:rPr>
                <w:b/>
                <w:bCs/>
                <w:lang w:val="es-DO"/>
              </w:rPr>
              <w:t>Agentes de Remesas y Cambio</w:t>
            </w:r>
          </w:p>
        </w:tc>
        <w:tc>
          <w:tcPr>
            <w:tcW w:w="2230" w:type="dxa"/>
            <w:tcBorders>
              <w:top w:val="nil"/>
              <w:left w:val="nil"/>
              <w:bottom w:val="single" w:sz="4" w:space="0" w:color="auto"/>
              <w:right w:val="single" w:sz="4" w:space="0" w:color="auto"/>
            </w:tcBorders>
            <w:noWrap/>
            <w:vAlign w:val="bottom"/>
            <w:hideMark/>
          </w:tcPr>
          <w:p w14:paraId="12077FA9" w14:textId="77777777" w:rsidR="00B245B1" w:rsidRPr="00B245B1" w:rsidRDefault="00B245B1" w:rsidP="006B204A">
            <w:pPr>
              <w:spacing w:after="0" w:line="360" w:lineRule="auto"/>
              <w:jc w:val="center"/>
              <w:rPr>
                <w:lang w:val="es-DO"/>
              </w:rPr>
            </w:pPr>
            <w:r w:rsidRPr="00B245B1">
              <w:rPr>
                <w:lang w:val="es-DO"/>
              </w:rPr>
              <w:t>18</w:t>
            </w:r>
          </w:p>
        </w:tc>
      </w:tr>
      <w:tr w:rsidR="00B245B1" w:rsidRPr="00B245B1" w14:paraId="247A12B5" w14:textId="77777777" w:rsidTr="00AD7CB3">
        <w:trPr>
          <w:trHeight w:val="298"/>
          <w:jc w:val="center"/>
        </w:trPr>
        <w:tc>
          <w:tcPr>
            <w:tcW w:w="5146" w:type="dxa"/>
            <w:tcBorders>
              <w:top w:val="nil"/>
              <w:left w:val="single" w:sz="4" w:space="0" w:color="auto"/>
              <w:bottom w:val="single" w:sz="4" w:space="0" w:color="auto"/>
              <w:right w:val="single" w:sz="4" w:space="0" w:color="auto"/>
            </w:tcBorders>
            <w:shd w:val="clear" w:color="auto" w:fill="011C50"/>
            <w:noWrap/>
            <w:vAlign w:val="center"/>
          </w:tcPr>
          <w:p w14:paraId="0D856D54" w14:textId="4C1F3B04" w:rsidR="00B245B1" w:rsidRPr="00B245B1" w:rsidRDefault="00B245B1" w:rsidP="006B204A">
            <w:pPr>
              <w:spacing w:after="0" w:line="360" w:lineRule="auto"/>
              <w:rPr>
                <w:b/>
                <w:bCs/>
                <w:color w:val="FFFFFF"/>
                <w:lang w:val="es-DO"/>
              </w:rPr>
            </w:pPr>
            <w:proofErr w:type="gramStart"/>
            <w:r w:rsidRPr="00B245B1">
              <w:rPr>
                <w:b/>
                <w:bCs/>
                <w:color w:val="FFFFFF"/>
                <w:lang w:val="es-DO"/>
              </w:rPr>
              <w:t>Total</w:t>
            </w:r>
            <w:proofErr w:type="gramEnd"/>
            <w:r w:rsidRPr="00B245B1">
              <w:rPr>
                <w:b/>
                <w:bCs/>
                <w:color w:val="FFFFFF"/>
                <w:lang w:val="es-DO"/>
              </w:rPr>
              <w:t xml:space="preserve"> </w:t>
            </w:r>
            <w:r w:rsidR="00A60768">
              <w:rPr>
                <w:b/>
                <w:bCs/>
                <w:color w:val="FFFFFF"/>
                <w:lang w:val="es-DO"/>
              </w:rPr>
              <w:t xml:space="preserve">de </w:t>
            </w:r>
            <w:r w:rsidR="000F69FF">
              <w:rPr>
                <w:b/>
                <w:bCs/>
                <w:color w:val="FFFFFF"/>
                <w:lang w:val="es-DO"/>
              </w:rPr>
              <w:t>i</w:t>
            </w:r>
            <w:r w:rsidRPr="00B245B1">
              <w:rPr>
                <w:b/>
                <w:bCs/>
                <w:color w:val="FFFFFF"/>
                <w:lang w:val="es-DO"/>
              </w:rPr>
              <w:t>nspecciones</w:t>
            </w:r>
          </w:p>
        </w:tc>
        <w:tc>
          <w:tcPr>
            <w:tcW w:w="2230" w:type="dxa"/>
            <w:tcBorders>
              <w:top w:val="nil"/>
              <w:left w:val="nil"/>
              <w:bottom w:val="single" w:sz="4" w:space="0" w:color="auto"/>
              <w:right w:val="single" w:sz="4" w:space="0" w:color="auto"/>
            </w:tcBorders>
            <w:shd w:val="clear" w:color="auto" w:fill="011C50"/>
            <w:noWrap/>
            <w:vAlign w:val="center"/>
          </w:tcPr>
          <w:p w14:paraId="52BFD5CE" w14:textId="77777777" w:rsidR="00B245B1" w:rsidRPr="00B245B1" w:rsidRDefault="00B245B1" w:rsidP="006B204A">
            <w:pPr>
              <w:spacing w:after="0" w:line="360" w:lineRule="auto"/>
              <w:jc w:val="center"/>
              <w:rPr>
                <w:b/>
                <w:bCs/>
                <w:color w:val="FFFFFF"/>
                <w:lang w:val="es-DO"/>
              </w:rPr>
            </w:pPr>
            <w:r w:rsidRPr="00B245B1">
              <w:rPr>
                <w:b/>
                <w:bCs/>
                <w:color w:val="FFFFFF"/>
                <w:lang w:val="es-DO"/>
              </w:rPr>
              <w:t>68</w:t>
            </w:r>
          </w:p>
        </w:tc>
      </w:tr>
    </w:tbl>
    <w:p w14:paraId="213AFC5C" w14:textId="5B4E6B45" w:rsidR="004B1CE5" w:rsidRDefault="004B1CE5" w:rsidP="006B204A">
      <w:pPr>
        <w:spacing w:after="0" w:line="360" w:lineRule="auto"/>
        <w:jc w:val="center"/>
        <w:rPr>
          <w:rFonts w:eastAsia="Calibri"/>
          <w:lang w:val="es-DO"/>
        </w:rPr>
      </w:pPr>
      <w:r w:rsidRPr="00AD7CB3">
        <w:rPr>
          <w:rFonts w:eastAsia="Calibri"/>
          <w:b/>
          <w:bCs/>
          <w:lang w:val="es-DO"/>
        </w:rPr>
        <w:t>Fuente</w:t>
      </w:r>
      <w:r w:rsidRPr="00AD7CB3">
        <w:rPr>
          <w:rFonts w:eastAsia="Calibri"/>
          <w:lang w:val="es-DO"/>
        </w:rPr>
        <w:t xml:space="preserve">: </w:t>
      </w:r>
      <w:r w:rsidR="003C2EF1" w:rsidRPr="00AD7CB3">
        <w:rPr>
          <w:rFonts w:eastAsia="Calibri"/>
          <w:lang w:val="es-DO"/>
        </w:rPr>
        <w:t>Elabo</w:t>
      </w:r>
      <w:r w:rsidR="000F69FF" w:rsidRPr="00AD7CB3">
        <w:rPr>
          <w:rFonts w:eastAsia="Calibri"/>
          <w:lang w:val="es-DO"/>
        </w:rPr>
        <w:t>rado por las d</w:t>
      </w:r>
      <w:r w:rsidRPr="00AD7CB3">
        <w:rPr>
          <w:rFonts w:eastAsia="Calibri"/>
          <w:lang w:val="es-DO"/>
        </w:rPr>
        <w:t>irecciones de Supervisión de entidades de intermediación financiera y cambiarias de la Superintendencia de Bancos.</w:t>
      </w:r>
    </w:p>
    <w:p w14:paraId="29BE5A80" w14:textId="77777777" w:rsidR="006B204A" w:rsidRPr="00AD7CB3" w:rsidRDefault="006B204A" w:rsidP="006B204A">
      <w:pPr>
        <w:spacing w:after="0" w:line="360" w:lineRule="auto"/>
        <w:jc w:val="center"/>
        <w:rPr>
          <w:rFonts w:eastAsia="Calibri"/>
          <w:lang w:val="es-DO"/>
        </w:rPr>
      </w:pPr>
    </w:p>
    <w:p w14:paraId="58DF0B01" w14:textId="626CFF8A" w:rsidR="004B1CE5" w:rsidRDefault="006A31E5" w:rsidP="006B204A">
      <w:pPr>
        <w:spacing w:line="360" w:lineRule="auto"/>
        <w:jc w:val="both"/>
        <w:rPr>
          <w:lang w:val="es-DO"/>
        </w:rPr>
      </w:pPr>
      <w:bookmarkStart w:id="29" w:name="_Toc122435006"/>
      <w:bookmarkStart w:id="30" w:name="_Toc123046911"/>
      <w:r w:rsidRPr="006A31E5">
        <w:rPr>
          <w:lang w:val="es-DO"/>
        </w:rPr>
        <w:t>En materia de supervisión consolidada, se realizaron mesas de trabajo con la Superintendencia de Seguros, la Superintendencia de Pensiones y la Superintendencia del Mercado de Valores, con el objetivo de promover la cooperación y el intercambio de información para una efectiva supervisión de los grupos financieros</w:t>
      </w:r>
      <w:r w:rsidR="0010269A">
        <w:rPr>
          <w:lang w:val="es-DO"/>
        </w:rPr>
        <w:t>.</w:t>
      </w:r>
    </w:p>
    <w:p w14:paraId="3D0B04A3" w14:textId="4AA834C2" w:rsidR="000F05A5" w:rsidRDefault="000F05A5" w:rsidP="006B204A">
      <w:pPr>
        <w:spacing w:line="360" w:lineRule="auto"/>
        <w:jc w:val="both"/>
        <w:rPr>
          <w:rFonts w:eastAsia="Calibri"/>
          <w:lang w:val="es-DO"/>
        </w:rPr>
      </w:pPr>
      <w:r>
        <w:rPr>
          <w:lang w:val="es-DO"/>
        </w:rPr>
        <w:t xml:space="preserve">Para dar cumplimiento a lo establecido en la </w:t>
      </w:r>
      <w:r w:rsidRPr="002F1C34">
        <w:rPr>
          <w:rFonts w:eastAsia="Calibri"/>
          <w:lang w:val="es-ES"/>
        </w:rPr>
        <w:t xml:space="preserve">Ley sobre Fideicomisos Público Núm. </w:t>
      </w:r>
      <w:r>
        <w:rPr>
          <w:rFonts w:eastAsia="Calibri"/>
          <w:lang w:val="es-ES"/>
        </w:rPr>
        <w:t>2</w:t>
      </w:r>
      <w:r w:rsidRPr="002F1C34">
        <w:rPr>
          <w:rFonts w:eastAsia="Calibri"/>
          <w:lang w:val="es-ES"/>
        </w:rPr>
        <w:t>8-23, promulgada por el Poder Ejecutivo en fecha 17 de marzo de 2023</w:t>
      </w:r>
      <w:r w:rsidR="00952397">
        <w:rPr>
          <w:rFonts w:eastAsia="Calibri"/>
          <w:lang w:val="es-ES"/>
        </w:rPr>
        <w:t xml:space="preserve">, se </w:t>
      </w:r>
      <w:r w:rsidR="00FE41E2">
        <w:rPr>
          <w:rFonts w:eastAsia="Calibri"/>
          <w:lang w:val="es-ES"/>
        </w:rPr>
        <w:t xml:space="preserve">creó </w:t>
      </w:r>
      <w:r w:rsidR="00F227F1" w:rsidRPr="00F227F1">
        <w:rPr>
          <w:rFonts w:eastAsia="Calibri"/>
          <w:lang w:val="es-DO"/>
        </w:rPr>
        <w:t xml:space="preserve">el Departamento de Supervisión del </w:t>
      </w:r>
      <w:r w:rsidR="00F227F1" w:rsidRPr="00F227F1">
        <w:rPr>
          <w:rFonts w:eastAsia="Calibri"/>
          <w:lang w:val="es-DO"/>
        </w:rPr>
        <w:lastRenderedPageBreak/>
        <w:t>Mercado Fiduciario, con el objetivo de fortalecer los procedimientos y prácticas de supervisión que impactaran directamente a las entidades que conforman el mercado fiduciario.</w:t>
      </w:r>
    </w:p>
    <w:p w14:paraId="3D84EAB3" w14:textId="77777777" w:rsidR="003F7B26" w:rsidRPr="003F7B26" w:rsidRDefault="003F7B26" w:rsidP="006B204A">
      <w:pPr>
        <w:spacing w:line="360" w:lineRule="auto"/>
        <w:jc w:val="both"/>
        <w:rPr>
          <w:rFonts w:eastAsia="Calibri"/>
          <w:lang w:val="es-DO"/>
        </w:rPr>
      </w:pPr>
      <w:r w:rsidRPr="003F7B26">
        <w:rPr>
          <w:rFonts w:eastAsia="Calibri"/>
          <w:lang w:val="es-DO"/>
        </w:rPr>
        <w:t xml:space="preserve">Como parte de las acciones del eje estratégico que promueve la Estabilidad Financiera y Macro-Prudencial y la implementación del Marco de Supervisión Basado en Riesgos, la Superintendencia de Bancos recibió la asistencia técnica del Toronto Centre (TC) con el fin de robustecer el Marco y las prácticas de supervisión. Entre las actividades concluidas con dicho organismo se destacan: </w:t>
      </w:r>
    </w:p>
    <w:p w14:paraId="2F2C9983" w14:textId="7E3BAED8" w:rsidR="003F7B26" w:rsidRPr="003F7B26" w:rsidRDefault="003F7B26" w:rsidP="00CB4994">
      <w:pPr>
        <w:pStyle w:val="Prrafodelista"/>
        <w:numPr>
          <w:ilvl w:val="0"/>
          <w:numId w:val="18"/>
        </w:numPr>
        <w:spacing w:line="360" w:lineRule="auto"/>
        <w:ind w:left="643"/>
        <w:contextualSpacing w:val="0"/>
        <w:jc w:val="both"/>
        <w:rPr>
          <w:rFonts w:ascii="Times New Roman" w:hAnsi="Times New Roman"/>
          <w:color w:val="767171"/>
          <w:spacing w:val="20"/>
          <w:sz w:val="24"/>
          <w:szCs w:val="24"/>
        </w:rPr>
      </w:pPr>
      <w:r w:rsidRPr="003F7B26">
        <w:rPr>
          <w:rFonts w:ascii="Times New Roman" w:hAnsi="Times New Roman"/>
          <w:color w:val="767171"/>
          <w:spacing w:val="20"/>
          <w:sz w:val="24"/>
          <w:szCs w:val="24"/>
        </w:rPr>
        <w:t>Desarrollo de estrategia de capacitación para nivelar el conocimiento sobre SBR en los supervisores</w:t>
      </w:r>
      <w:r w:rsidR="006204B1">
        <w:rPr>
          <w:rFonts w:ascii="Times New Roman" w:hAnsi="Times New Roman"/>
          <w:color w:val="767171"/>
          <w:spacing w:val="20"/>
          <w:sz w:val="24"/>
          <w:szCs w:val="24"/>
        </w:rPr>
        <w:t>.</w:t>
      </w:r>
    </w:p>
    <w:p w14:paraId="5D0A112D" w14:textId="36FE042D" w:rsidR="003F7B26" w:rsidRPr="003F7B26" w:rsidRDefault="003F7B26" w:rsidP="00CB4994">
      <w:pPr>
        <w:pStyle w:val="Prrafodelista"/>
        <w:numPr>
          <w:ilvl w:val="0"/>
          <w:numId w:val="18"/>
        </w:numPr>
        <w:spacing w:line="360" w:lineRule="auto"/>
        <w:ind w:left="643"/>
        <w:contextualSpacing w:val="0"/>
        <w:jc w:val="both"/>
        <w:rPr>
          <w:rFonts w:ascii="Times New Roman" w:hAnsi="Times New Roman"/>
          <w:color w:val="767171"/>
          <w:spacing w:val="20"/>
          <w:sz w:val="24"/>
          <w:szCs w:val="24"/>
        </w:rPr>
      </w:pPr>
      <w:r w:rsidRPr="003F7B26">
        <w:rPr>
          <w:rFonts w:ascii="Times New Roman" w:hAnsi="Times New Roman"/>
          <w:color w:val="767171"/>
          <w:spacing w:val="20"/>
          <w:sz w:val="24"/>
          <w:szCs w:val="24"/>
        </w:rPr>
        <w:t>Revisión de los criterios de evaluación y guías de las funciones de control de gestión de riesgos (FCGR)</w:t>
      </w:r>
      <w:r w:rsidR="006204B1">
        <w:rPr>
          <w:rFonts w:ascii="Times New Roman" w:hAnsi="Times New Roman"/>
          <w:color w:val="767171"/>
          <w:spacing w:val="20"/>
          <w:sz w:val="24"/>
          <w:szCs w:val="24"/>
        </w:rPr>
        <w:t>.</w:t>
      </w:r>
    </w:p>
    <w:p w14:paraId="6641DC56" w14:textId="2626ADF5" w:rsidR="003F7B26" w:rsidRPr="003F7B26" w:rsidRDefault="003F7B26" w:rsidP="00CB4994">
      <w:pPr>
        <w:pStyle w:val="Prrafodelista"/>
        <w:numPr>
          <w:ilvl w:val="0"/>
          <w:numId w:val="18"/>
        </w:numPr>
        <w:spacing w:line="360" w:lineRule="auto"/>
        <w:ind w:left="643"/>
        <w:contextualSpacing w:val="0"/>
        <w:jc w:val="both"/>
        <w:rPr>
          <w:rFonts w:ascii="Times New Roman" w:hAnsi="Times New Roman"/>
          <w:color w:val="767171"/>
          <w:spacing w:val="20"/>
          <w:sz w:val="24"/>
          <w:szCs w:val="24"/>
        </w:rPr>
      </w:pPr>
      <w:r w:rsidRPr="003F7B26">
        <w:rPr>
          <w:rFonts w:ascii="Times New Roman" w:hAnsi="Times New Roman"/>
          <w:color w:val="767171"/>
          <w:spacing w:val="20"/>
          <w:sz w:val="24"/>
          <w:szCs w:val="24"/>
        </w:rPr>
        <w:t>Revisión de los criterios de evaluación de la calificación de riesgo neto global y riesgo compuesto</w:t>
      </w:r>
      <w:r w:rsidR="006204B1">
        <w:rPr>
          <w:rFonts w:ascii="Times New Roman" w:hAnsi="Times New Roman"/>
          <w:color w:val="767171"/>
          <w:spacing w:val="20"/>
          <w:sz w:val="24"/>
          <w:szCs w:val="24"/>
        </w:rPr>
        <w:t>.</w:t>
      </w:r>
    </w:p>
    <w:p w14:paraId="07AECC27" w14:textId="37B0D75E" w:rsidR="003F7B26" w:rsidRPr="003F7B26" w:rsidRDefault="003F7B26" w:rsidP="00CB4994">
      <w:pPr>
        <w:pStyle w:val="Prrafodelista"/>
        <w:numPr>
          <w:ilvl w:val="0"/>
          <w:numId w:val="18"/>
        </w:numPr>
        <w:spacing w:line="360" w:lineRule="auto"/>
        <w:ind w:left="643"/>
        <w:contextualSpacing w:val="0"/>
        <w:jc w:val="both"/>
        <w:rPr>
          <w:rFonts w:ascii="Times New Roman" w:hAnsi="Times New Roman"/>
          <w:color w:val="767171"/>
          <w:spacing w:val="20"/>
          <w:sz w:val="24"/>
          <w:szCs w:val="24"/>
        </w:rPr>
      </w:pPr>
      <w:r w:rsidRPr="003F7B26">
        <w:rPr>
          <w:rFonts w:ascii="Times New Roman" w:hAnsi="Times New Roman"/>
          <w:color w:val="767171"/>
          <w:spacing w:val="20"/>
          <w:sz w:val="24"/>
          <w:szCs w:val="24"/>
        </w:rPr>
        <w:t>Revisión y actualización de la guía de conocimiento del negocio e identificación de las actividades significativas</w:t>
      </w:r>
      <w:r w:rsidR="006204B1">
        <w:rPr>
          <w:rFonts w:ascii="Times New Roman" w:hAnsi="Times New Roman"/>
          <w:color w:val="767171"/>
          <w:spacing w:val="20"/>
          <w:sz w:val="24"/>
          <w:szCs w:val="24"/>
        </w:rPr>
        <w:t>.</w:t>
      </w:r>
    </w:p>
    <w:p w14:paraId="57DA9FC6" w14:textId="4A110100" w:rsidR="003F7B26" w:rsidRPr="003F7B26" w:rsidRDefault="003F7B26" w:rsidP="00CB4994">
      <w:pPr>
        <w:pStyle w:val="Prrafodelista"/>
        <w:numPr>
          <w:ilvl w:val="0"/>
          <w:numId w:val="18"/>
        </w:numPr>
        <w:spacing w:line="360" w:lineRule="auto"/>
        <w:ind w:left="643"/>
        <w:contextualSpacing w:val="0"/>
        <w:jc w:val="both"/>
        <w:rPr>
          <w:rFonts w:ascii="Times New Roman" w:hAnsi="Times New Roman"/>
          <w:color w:val="767171"/>
          <w:spacing w:val="20"/>
          <w:sz w:val="24"/>
          <w:szCs w:val="24"/>
        </w:rPr>
      </w:pPr>
      <w:r w:rsidRPr="003F7B26">
        <w:rPr>
          <w:rFonts w:ascii="Times New Roman" w:hAnsi="Times New Roman"/>
          <w:color w:val="767171"/>
          <w:spacing w:val="20"/>
          <w:sz w:val="24"/>
          <w:szCs w:val="24"/>
        </w:rPr>
        <w:t>Diseño de una política de muestreo de cartera de créditos</w:t>
      </w:r>
      <w:r w:rsidR="006204B1">
        <w:rPr>
          <w:rFonts w:ascii="Times New Roman" w:hAnsi="Times New Roman"/>
          <w:color w:val="767171"/>
          <w:spacing w:val="20"/>
          <w:sz w:val="24"/>
          <w:szCs w:val="24"/>
        </w:rPr>
        <w:t>.</w:t>
      </w:r>
    </w:p>
    <w:p w14:paraId="79306430" w14:textId="1B9F6311" w:rsidR="003F7B26" w:rsidRPr="003F7B26" w:rsidRDefault="003F7B26" w:rsidP="00CB4994">
      <w:pPr>
        <w:pStyle w:val="Prrafodelista"/>
        <w:numPr>
          <w:ilvl w:val="0"/>
          <w:numId w:val="18"/>
        </w:numPr>
        <w:spacing w:line="360" w:lineRule="auto"/>
        <w:ind w:left="643"/>
        <w:contextualSpacing w:val="0"/>
        <w:jc w:val="both"/>
        <w:rPr>
          <w:rFonts w:ascii="Times New Roman" w:hAnsi="Times New Roman"/>
          <w:color w:val="767171"/>
          <w:spacing w:val="20"/>
          <w:sz w:val="24"/>
          <w:szCs w:val="24"/>
        </w:rPr>
      </w:pPr>
      <w:r w:rsidRPr="003F7B26">
        <w:rPr>
          <w:rFonts w:ascii="Times New Roman" w:hAnsi="Times New Roman"/>
          <w:color w:val="767171"/>
          <w:spacing w:val="20"/>
          <w:sz w:val="24"/>
          <w:szCs w:val="24"/>
        </w:rPr>
        <w:t>Elaboración de un modelo de actividades de supervisión; entre otras.</w:t>
      </w:r>
    </w:p>
    <w:p w14:paraId="18BF1AA2" w14:textId="16DD3744" w:rsidR="00352655" w:rsidRPr="003F7B26" w:rsidRDefault="003F7B26" w:rsidP="006B204A">
      <w:pPr>
        <w:spacing w:line="360" w:lineRule="auto"/>
        <w:jc w:val="both"/>
        <w:rPr>
          <w:rFonts w:eastAsia="Calibri"/>
          <w:lang w:val="es-DO"/>
        </w:rPr>
      </w:pPr>
      <w:r w:rsidRPr="003F7B26">
        <w:rPr>
          <w:rFonts w:eastAsia="Calibri"/>
          <w:lang w:val="es-DO"/>
        </w:rPr>
        <w:t xml:space="preserve">Como parte de las acciones para el cierre de brechas identificadas en la autoevaluación de los Principios Básicos de Basilea </w:t>
      </w:r>
      <w:r w:rsidR="00BA2132">
        <w:rPr>
          <w:rFonts w:eastAsia="Calibri"/>
          <w:lang w:val="es-DO"/>
        </w:rPr>
        <w:t>llevada a cabo en</w:t>
      </w:r>
      <w:r w:rsidRPr="003F7B26">
        <w:rPr>
          <w:rFonts w:eastAsia="Calibri"/>
          <w:lang w:val="es-DO"/>
        </w:rPr>
        <w:t xml:space="preserve"> septiembre de 2022, se inició el desarrollo de un aplicativo interno para centralizar las actuaciones y nivel de profundización en la evaluación de riesgos realizadas por los equipos de los Departamentos de Supervisión.</w:t>
      </w:r>
    </w:p>
    <w:p w14:paraId="7FB5FE4D" w14:textId="7BC11D1A" w:rsidR="00E52ED4" w:rsidRPr="00C865B6" w:rsidRDefault="00C94DAB" w:rsidP="006B204A">
      <w:pPr>
        <w:pStyle w:val="Estilo3"/>
        <w:spacing w:after="160" w:line="360" w:lineRule="auto"/>
        <w:rPr>
          <w:b/>
          <w:szCs w:val="24"/>
        </w:rPr>
      </w:pPr>
      <w:bookmarkStart w:id="31" w:name="_Toc155354610"/>
      <w:r>
        <w:rPr>
          <w:b/>
          <w:szCs w:val="24"/>
        </w:rPr>
        <w:lastRenderedPageBreak/>
        <w:t>3</w:t>
      </w:r>
      <w:r w:rsidR="00E52ED4" w:rsidRPr="00C865B6">
        <w:rPr>
          <w:b/>
          <w:szCs w:val="24"/>
        </w:rPr>
        <w:t>.</w:t>
      </w:r>
      <w:r w:rsidR="000E6F34">
        <w:rPr>
          <w:b/>
          <w:szCs w:val="24"/>
        </w:rPr>
        <w:t>3</w:t>
      </w:r>
      <w:r w:rsidR="00E52ED4" w:rsidRPr="00C865B6">
        <w:rPr>
          <w:b/>
          <w:szCs w:val="24"/>
        </w:rPr>
        <w:t xml:space="preserve"> Monitoreo de riesgos</w:t>
      </w:r>
      <w:bookmarkEnd w:id="29"/>
      <w:bookmarkEnd w:id="30"/>
      <w:bookmarkEnd w:id="31"/>
    </w:p>
    <w:p w14:paraId="03E9C11E" w14:textId="46B3A9BC" w:rsidR="00E52ED4" w:rsidRPr="001D3CD4" w:rsidRDefault="00E52ED4" w:rsidP="006B204A">
      <w:pPr>
        <w:spacing w:line="360" w:lineRule="auto"/>
        <w:jc w:val="both"/>
        <w:rPr>
          <w:lang w:val="es-DO"/>
        </w:rPr>
      </w:pPr>
      <w:r w:rsidRPr="00C865B6">
        <w:rPr>
          <w:lang w:val="es-DO"/>
        </w:rPr>
        <w:t>La Superintendencia de Bancos, dentro de sus labores de supervisión</w:t>
      </w:r>
      <w:r w:rsidR="00833A32">
        <w:rPr>
          <w:lang w:val="es-DO"/>
        </w:rPr>
        <w:t>,</w:t>
      </w:r>
      <w:r w:rsidRPr="00C865B6">
        <w:rPr>
          <w:lang w:val="es-DO"/>
        </w:rPr>
        <w:t xml:space="preserve"> realiza</w:t>
      </w:r>
      <w:r w:rsidR="003326FB">
        <w:rPr>
          <w:lang w:val="es-DO"/>
        </w:rPr>
        <w:t xml:space="preserve"> </w:t>
      </w:r>
      <w:r w:rsidRPr="00C865B6">
        <w:rPr>
          <w:lang w:val="es-DO"/>
        </w:rPr>
        <w:t xml:space="preserve">un proceso continuo de identificación, análisis y monitoreo de los principales riesgos a los que están expuestas las </w:t>
      </w:r>
      <w:r w:rsidR="00AA4B27">
        <w:rPr>
          <w:lang w:val="es-DO"/>
        </w:rPr>
        <w:t>entidades</w:t>
      </w:r>
      <w:r w:rsidRPr="00C865B6">
        <w:rPr>
          <w:lang w:val="es-DO"/>
        </w:rPr>
        <w:t>. En el año 202</w:t>
      </w:r>
      <w:r w:rsidR="00FF55B6">
        <w:rPr>
          <w:lang w:val="es-DO"/>
        </w:rPr>
        <w:t>3</w:t>
      </w:r>
      <w:r w:rsidRPr="00C865B6">
        <w:rPr>
          <w:lang w:val="es-DO"/>
        </w:rPr>
        <w:t xml:space="preserve">, los resultados alcanzados por la Superintendencia de Bancos en materia de </w:t>
      </w:r>
      <w:r w:rsidRPr="001D3CD4">
        <w:rPr>
          <w:lang w:val="es-DO"/>
        </w:rPr>
        <w:t xml:space="preserve">monitoreo de riesgos se centraron </w:t>
      </w:r>
      <w:r w:rsidR="001C50F2" w:rsidRPr="001D3CD4">
        <w:rPr>
          <w:rFonts w:eastAsia="Calibri"/>
          <w:lang w:val="es-DO"/>
        </w:rPr>
        <w:t>en la mejora en la gestión de riesgos y</w:t>
      </w:r>
      <w:r w:rsidR="00C2248A" w:rsidRPr="001D3CD4">
        <w:rPr>
          <w:rFonts w:eastAsia="Calibri"/>
          <w:lang w:val="es-DO"/>
        </w:rPr>
        <w:t xml:space="preserve"> en el</w:t>
      </w:r>
      <w:r w:rsidR="001C50F2" w:rsidRPr="001D3CD4">
        <w:rPr>
          <w:rFonts w:eastAsia="Calibri"/>
          <w:lang w:val="es-DO"/>
        </w:rPr>
        <w:t xml:space="preserve"> cumplimiento </w:t>
      </w:r>
      <w:proofErr w:type="spellStart"/>
      <w:r w:rsidR="002B4072" w:rsidRPr="001D3CD4">
        <w:rPr>
          <w:rFonts w:eastAsia="Calibri"/>
          <w:lang w:val="es-DO"/>
        </w:rPr>
        <w:t>Macro</w:t>
      </w:r>
      <w:r w:rsidR="001C50F2" w:rsidRPr="001D3CD4">
        <w:rPr>
          <w:rFonts w:eastAsia="Calibri"/>
          <w:lang w:val="es-DO"/>
        </w:rPr>
        <w:t>-prudencial</w:t>
      </w:r>
      <w:proofErr w:type="spellEnd"/>
      <w:r w:rsidR="001C50F2" w:rsidRPr="001D3CD4">
        <w:rPr>
          <w:rFonts w:eastAsia="Calibri"/>
          <w:lang w:val="es-DO"/>
        </w:rPr>
        <w:t xml:space="preserve"> oportuno por parte de las EIF a través de</w:t>
      </w:r>
      <w:r w:rsidR="00306AF8">
        <w:rPr>
          <w:rFonts w:eastAsia="Calibri"/>
          <w:lang w:val="es-DO"/>
        </w:rPr>
        <w:t xml:space="preserve"> los siguientes logros</w:t>
      </w:r>
      <w:r w:rsidR="001C50F2" w:rsidRPr="001D3CD4">
        <w:rPr>
          <w:rFonts w:eastAsia="Calibri"/>
          <w:lang w:val="es-DO"/>
        </w:rPr>
        <w:t>:</w:t>
      </w:r>
    </w:p>
    <w:p w14:paraId="4F5BC830" w14:textId="5B1479A6" w:rsidR="003A178D" w:rsidRDefault="00306AF8" w:rsidP="00CB4994">
      <w:pPr>
        <w:pStyle w:val="Prrafodelista"/>
        <w:numPr>
          <w:ilvl w:val="0"/>
          <w:numId w:val="19"/>
        </w:numPr>
        <w:spacing w:line="360" w:lineRule="auto"/>
        <w:contextualSpacing w:val="0"/>
        <w:jc w:val="both"/>
        <w:rPr>
          <w:rFonts w:ascii="Times New Roman" w:hAnsi="Times New Roman"/>
          <w:color w:val="767171"/>
          <w:spacing w:val="20"/>
          <w:sz w:val="24"/>
          <w:szCs w:val="24"/>
        </w:rPr>
      </w:pPr>
      <w:r>
        <w:rPr>
          <w:rFonts w:ascii="Times New Roman" w:hAnsi="Times New Roman"/>
          <w:color w:val="767171"/>
          <w:spacing w:val="20"/>
          <w:sz w:val="24"/>
          <w:szCs w:val="24"/>
        </w:rPr>
        <w:t>Desarrollada</w:t>
      </w:r>
      <w:r w:rsidR="002D1AB9" w:rsidRPr="001D3CD4">
        <w:rPr>
          <w:rFonts w:ascii="Times New Roman" w:hAnsi="Times New Roman"/>
          <w:color w:val="767171"/>
          <w:spacing w:val="20"/>
          <w:sz w:val="24"/>
          <w:szCs w:val="24"/>
        </w:rPr>
        <w:t xml:space="preserve"> 12 actividades de </w:t>
      </w:r>
      <w:r w:rsidR="00F478EE" w:rsidRPr="001D3CD4">
        <w:rPr>
          <w:rFonts w:ascii="Times New Roman" w:hAnsi="Times New Roman"/>
          <w:color w:val="767171"/>
          <w:spacing w:val="20"/>
          <w:sz w:val="24"/>
          <w:szCs w:val="24"/>
        </w:rPr>
        <w:t>capacitación sobre</w:t>
      </w:r>
      <w:r w:rsidR="002D1AB9" w:rsidRPr="001D3CD4">
        <w:rPr>
          <w:rFonts w:ascii="Times New Roman" w:hAnsi="Times New Roman"/>
          <w:color w:val="767171"/>
          <w:spacing w:val="20"/>
          <w:sz w:val="24"/>
          <w:szCs w:val="24"/>
        </w:rPr>
        <w:t xml:space="preserve"> el uso adecuado de las herramientas de remisión de reportes regulatorios donde se han beneficiado más de 500 colaboradores de las entidades de intermediación financiera y cambiaria</w:t>
      </w:r>
      <w:r w:rsidR="002D1AB9" w:rsidRPr="00901E73">
        <w:rPr>
          <w:rFonts w:ascii="Times New Roman" w:hAnsi="Times New Roman"/>
          <w:color w:val="767171"/>
          <w:spacing w:val="20"/>
          <w:sz w:val="24"/>
          <w:szCs w:val="24"/>
        </w:rPr>
        <w:t>, sobre temas asociados a riesgos, conforme el Manual de Requerimientos de Información de la Administración Monetaria y Financiera (MRI AMF), recalcando la importancia sobre la calidad de los datos.</w:t>
      </w:r>
    </w:p>
    <w:p w14:paraId="4FC622DF" w14:textId="75F53A2C" w:rsidR="001D3CD4" w:rsidRDefault="00306AF8" w:rsidP="00CB4994">
      <w:pPr>
        <w:pStyle w:val="Prrafodelista"/>
        <w:numPr>
          <w:ilvl w:val="0"/>
          <w:numId w:val="19"/>
        </w:numPr>
        <w:spacing w:line="360" w:lineRule="auto"/>
        <w:contextualSpacing w:val="0"/>
        <w:jc w:val="both"/>
        <w:rPr>
          <w:rFonts w:ascii="Times New Roman" w:hAnsi="Times New Roman"/>
          <w:color w:val="767171"/>
          <w:spacing w:val="20"/>
          <w:sz w:val="24"/>
          <w:szCs w:val="24"/>
        </w:rPr>
      </w:pPr>
      <w:r>
        <w:rPr>
          <w:rFonts w:ascii="Times New Roman" w:hAnsi="Times New Roman"/>
          <w:color w:val="767171"/>
          <w:spacing w:val="20"/>
          <w:sz w:val="24"/>
          <w:szCs w:val="24"/>
        </w:rPr>
        <w:t>Implementado</w:t>
      </w:r>
      <w:r w:rsidR="002D1AB9" w:rsidRPr="00901E73">
        <w:rPr>
          <w:rFonts w:ascii="Times New Roman" w:hAnsi="Times New Roman"/>
          <w:color w:val="767171"/>
          <w:spacing w:val="20"/>
          <w:sz w:val="24"/>
          <w:szCs w:val="24"/>
        </w:rPr>
        <w:t xml:space="preserve"> </w:t>
      </w:r>
      <w:r>
        <w:rPr>
          <w:rFonts w:ascii="Times New Roman" w:hAnsi="Times New Roman"/>
          <w:color w:val="767171"/>
          <w:spacing w:val="20"/>
          <w:sz w:val="24"/>
          <w:szCs w:val="24"/>
        </w:rPr>
        <w:t>el</w:t>
      </w:r>
      <w:r w:rsidR="002D1AB9" w:rsidRPr="00901E73">
        <w:rPr>
          <w:rFonts w:ascii="Times New Roman" w:hAnsi="Times New Roman"/>
          <w:color w:val="767171"/>
          <w:spacing w:val="20"/>
          <w:sz w:val="24"/>
          <w:szCs w:val="24"/>
        </w:rPr>
        <w:t xml:space="preserve"> Piloto “Gestión Grupos de Riesgo” en el Portal SB Interactivo, para fines de recepción de las solicitudes de creación y eliminación de nuevos grupos, así como de vinculaciones y desvinculaciones a grupos de riesgos existentes.</w:t>
      </w:r>
    </w:p>
    <w:p w14:paraId="6F332591" w14:textId="7364DB81" w:rsidR="006A4A05" w:rsidRPr="001D3CD4" w:rsidRDefault="002D1AB9" w:rsidP="00CB4994">
      <w:pPr>
        <w:pStyle w:val="Prrafodelista"/>
        <w:numPr>
          <w:ilvl w:val="0"/>
          <w:numId w:val="19"/>
        </w:numPr>
        <w:spacing w:line="360" w:lineRule="auto"/>
        <w:contextualSpacing w:val="0"/>
        <w:jc w:val="both"/>
        <w:rPr>
          <w:rFonts w:ascii="Times New Roman" w:hAnsi="Times New Roman"/>
        </w:rPr>
      </w:pPr>
      <w:r w:rsidRPr="00901E73">
        <w:rPr>
          <w:rFonts w:ascii="Times New Roman" w:hAnsi="Times New Roman"/>
          <w:color w:val="767171"/>
          <w:spacing w:val="20"/>
          <w:sz w:val="24"/>
          <w:szCs w:val="24"/>
        </w:rPr>
        <w:t xml:space="preserve">Puesta a disposición </w:t>
      </w:r>
      <w:r w:rsidR="006E267D">
        <w:rPr>
          <w:rFonts w:ascii="Times New Roman" w:hAnsi="Times New Roman"/>
          <w:color w:val="767171"/>
          <w:spacing w:val="20"/>
          <w:sz w:val="24"/>
          <w:szCs w:val="24"/>
        </w:rPr>
        <w:t>la</w:t>
      </w:r>
      <w:r w:rsidRPr="00901E73">
        <w:rPr>
          <w:rFonts w:ascii="Times New Roman" w:hAnsi="Times New Roman"/>
          <w:color w:val="767171"/>
          <w:spacing w:val="20"/>
          <w:sz w:val="24"/>
          <w:szCs w:val="24"/>
        </w:rPr>
        <w:t xml:space="preserve"> Circular sobre </w:t>
      </w:r>
      <w:r w:rsidR="006E267D">
        <w:rPr>
          <w:rFonts w:ascii="Times New Roman" w:hAnsi="Times New Roman"/>
          <w:color w:val="767171"/>
          <w:spacing w:val="20"/>
          <w:sz w:val="24"/>
          <w:szCs w:val="24"/>
        </w:rPr>
        <w:t>el</w:t>
      </w:r>
      <w:r w:rsidRPr="00901E73">
        <w:rPr>
          <w:rFonts w:ascii="Times New Roman" w:hAnsi="Times New Roman"/>
          <w:color w:val="767171"/>
          <w:spacing w:val="20"/>
          <w:sz w:val="24"/>
          <w:szCs w:val="24"/>
        </w:rPr>
        <w:t xml:space="preserve"> Manejo de Excesos de Provisiones, estableciendo los criterios para </w:t>
      </w:r>
      <w:r w:rsidR="1D78D840" w:rsidRPr="00901E73">
        <w:rPr>
          <w:rFonts w:ascii="Times New Roman" w:hAnsi="Times New Roman"/>
          <w:color w:val="767171"/>
          <w:spacing w:val="20"/>
          <w:sz w:val="24"/>
          <w:szCs w:val="24"/>
        </w:rPr>
        <w:t>manejar</w:t>
      </w:r>
      <w:r w:rsidRPr="00901E73">
        <w:rPr>
          <w:rFonts w:ascii="Times New Roman" w:hAnsi="Times New Roman"/>
          <w:color w:val="767171"/>
          <w:spacing w:val="20"/>
          <w:sz w:val="24"/>
          <w:szCs w:val="24"/>
        </w:rPr>
        <w:t xml:space="preserve"> los excedentes de provisiones y el uso adecuado de cada </w:t>
      </w:r>
      <w:r w:rsidR="1D78D840" w:rsidRPr="00901E73">
        <w:rPr>
          <w:rFonts w:ascii="Times New Roman" w:hAnsi="Times New Roman"/>
          <w:color w:val="767171"/>
          <w:spacing w:val="20"/>
          <w:sz w:val="24"/>
          <w:szCs w:val="24"/>
        </w:rPr>
        <w:t>cuenta contable</w:t>
      </w:r>
      <w:r w:rsidRPr="00901E73">
        <w:rPr>
          <w:rFonts w:ascii="Times New Roman" w:hAnsi="Times New Roman"/>
          <w:color w:val="767171"/>
          <w:spacing w:val="20"/>
          <w:sz w:val="24"/>
          <w:szCs w:val="24"/>
        </w:rPr>
        <w:t xml:space="preserve"> de provisiones.</w:t>
      </w:r>
    </w:p>
    <w:p w14:paraId="20803301" w14:textId="17F0AF83" w:rsidR="005217E9" w:rsidRDefault="005217E9" w:rsidP="006B204A">
      <w:pPr>
        <w:spacing w:line="360" w:lineRule="auto"/>
        <w:jc w:val="both"/>
        <w:rPr>
          <w:rFonts w:eastAsia="Calibri"/>
          <w:lang w:val="es-DO"/>
        </w:rPr>
      </w:pPr>
      <w:r>
        <w:rPr>
          <w:lang w:val="es-DO"/>
        </w:rPr>
        <w:t>En cuanto a</w:t>
      </w:r>
      <w:r w:rsidR="00BF2CB5">
        <w:rPr>
          <w:lang w:val="es-DO"/>
        </w:rPr>
        <w:t xml:space="preserve"> la </w:t>
      </w:r>
      <w:r w:rsidR="00222444">
        <w:rPr>
          <w:rFonts w:eastAsia="Calibri"/>
          <w:lang w:val="es-DO"/>
        </w:rPr>
        <w:t>p</w:t>
      </w:r>
      <w:r w:rsidR="006A4A05" w:rsidRPr="006A4A05">
        <w:rPr>
          <w:rFonts w:eastAsia="Calibri"/>
          <w:lang w:val="es-DO"/>
        </w:rPr>
        <w:t>romoción de la implementación mejores prácticas internacionales</w:t>
      </w:r>
      <w:r w:rsidR="00222444">
        <w:rPr>
          <w:rFonts w:eastAsia="Calibri"/>
          <w:lang w:val="es-DO"/>
        </w:rPr>
        <w:t>, se han desarrollado las siguientes iniciativas:</w:t>
      </w:r>
    </w:p>
    <w:p w14:paraId="08DB13D7" w14:textId="22B43B2B" w:rsidR="00222444" w:rsidRPr="00222444" w:rsidRDefault="00222444" w:rsidP="00CB4994">
      <w:pPr>
        <w:numPr>
          <w:ilvl w:val="0"/>
          <w:numId w:val="2"/>
        </w:numPr>
        <w:spacing w:line="360" w:lineRule="auto"/>
        <w:jc w:val="both"/>
        <w:rPr>
          <w:rFonts w:eastAsia="Calibri"/>
          <w:lang w:val="es-DO"/>
        </w:rPr>
      </w:pPr>
      <w:r w:rsidRPr="00222444">
        <w:rPr>
          <w:rFonts w:eastAsia="Calibri"/>
          <w:lang w:val="es-DO"/>
        </w:rPr>
        <w:t>Participación de seis</w:t>
      </w:r>
      <w:r w:rsidRPr="00901E73">
        <w:rPr>
          <w:rFonts w:eastAsia="Calibri"/>
          <w:lang w:val="es-DO"/>
        </w:rPr>
        <w:t xml:space="preserve"> </w:t>
      </w:r>
      <w:r w:rsidRPr="00222444">
        <w:rPr>
          <w:rFonts w:eastAsia="Calibri"/>
          <w:lang w:val="es-DO"/>
        </w:rPr>
        <w:t xml:space="preserve">(6) mesas de trabajo sobre valor razonable, con miras a evaluar los riesgos y retos en la implementación en el </w:t>
      </w:r>
      <w:r w:rsidRPr="00222444">
        <w:rPr>
          <w:rFonts w:eastAsia="Calibri"/>
          <w:lang w:val="es-DO"/>
        </w:rPr>
        <w:lastRenderedPageBreak/>
        <w:t>Sistema Financiero Nacional, con los responsables de las Unidades de Riesgos, Tesorería y Finanzas recibiendo retroalimentación sobre los retos para una adecuada implementación.</w:t>
      </w:r>
    </w:p>
    <w:p w14:paraId="5794DC2C" w14:textId="169A6BC1" w:rsidR="00222444" w:rsidRPr="00222444" w:rsidRDefault="00222444" w:rsidP="00CB4994">
      <w:pPr>
        <w:numPr>
          <w:ilvl w:val="0"/>
          <w:numId w:val="2"/>
        </w:numPr>
        <w:spacing w:line="360" w:lineRule="auto"/>
        <w:jc w:val="both"/>
        <w:rPr>
          <w:rFonts w:eastAsia="Calibri"/>
          <w:lang w:val="es-DO"/>
        </w:rPr>
      </w:pPr>
      <w:r w:rsidRPr="00222444">
        <w:rPr>
          <w:rFonts w:eastAsia="Calibri"/>
          <w:lang w:val="es-DO"/>
        </w:rPr>
        <w:t>Publicación del “Instructivo sobre el Proceso de Evaluación de Adecuación del Capital Interno (ICAAP)” cuyo objetivo es brindar a las entidades los principios, lineamientos básicos y componentes fundamentales, para el proceso de evaluación interna del capital, así como establecer el formato para la remisión del Informe de Autoevaluación de Capital (IAC).</w:t>
      </w:r>
    </w:p>
    <w:p w14:paraId="04CF5F40" w14:textId="49040AFF" w:rsidR="00222444" w:rsidRPr="00222444" w:rsidRDefault="00222444" w:rsidP="00CB4994">
      <w:pPr>
        <w:numPr>
          <w:ilvl w:val="0"/>
          <w:numId w:val="2"/>
        </w:numPr>
        <w:spacing w:line="360" w:lineRule="auto"/>
        <w:jc w:val="both"/>
        <w:rPr>
          <w:rFonts w:eastAsia="Calibri"/>
          <w:lang w:val="es-DO"/>
        </w:rPr>
      </w:pPr>
      <w:r w:rsidRPr="00222444">
        <w:rPr>
          <w:rFonts w:eastAsia="Calibri"/>
          <w:lang w:val="es-DO"/>
        </w:rPr>
        <w:t>Análisis comparativo sobre la implementación de la taxonomía verde,</w:t>
      </w:r>
      <w:r w:rsidR="004B4223">
        <w:rPr>
          <w:rFonts w:eastAsia="Calibri"/>
          <w:lang w:val="es-DO"/>
        </w:rPr>
        <w:t xml:space="preserve"> </w:t>
      </w:r>
      <w:r w:rsidRPr="00222444">
        <w:rPr>
          <w:rFonts w:eastAsia="Calibri"/>
          <w:lang w:val="es-DO"/>
        </w:rPr>
        <w:t>evaluando los requerimientos normativos de riesgo de crédito para fines de clasificación y gestión, con relación a los procesos de implementación internacionales.</w:t>
      </w:r>
    </w:p>
    <w:p w14:paraId="5EADFF07" w14:textId="28C7789F" w:rsidR="005A38DB" w:rsidRDefault="005A38DB" w:rsidP="006B204A">
      <w:pPr>
        <w:spacing w:line="360" w:lineRule="auto"/>
        <w:jc w:val="both"/>
        <w:rPr>
          <w:rFonts w:eastAsia="Calibri"/>
          <w:lang w:val="es-DO"/>
        </w:rPr>
      </w:pPr>
      <w:r>
        <w:rPr>
          <w:lang w:val="es-DO"/>
        </w:rPr>
        <w:t xml:space="preserve">Durante el 2023, la Superintendencia de Bancos </w:t>
      </w:r>
      <w:r w:rsidR="001273DD">
        <w:rPr>
          <w:lang w:val="es-DO"/>
        </w:rPr>
        <w:t xml:space="preserve">se ha enfocado en </w:t>
      </w:r>
      <w:r w:rsidR="00D26B15">
        <w:rPr>
          <w:lang w:val="es-DO"/>
        </w:rPr>
        <w:t xml:space="preserve">la </w:t>
      </w:r>
      <w:r w:rsidR="00F61CEE">
        <w:rPr>
          <w:rFonts w:eastAsia="Calibri"/>
          <w:lang w:val="es-DO"/>
        </w:rPr>
        <w:t>e</w:t>
      </w:r>
      <w:r w:rsidR="00D26B15" w:rsidRPr="00D26B15">
        <w:rPr>
          <w:rFonts w:eastAsia="Calibri"/>
          <w:lang w:val="es-DO"/>
        </w:rPr>
        <w:t xml:space="preserve">standarización de los requerimientos de información y </w:t>
      </w:r>
      <w:r w:rsidR="00906865">
        <w:rPr>
          <w:rFonts w:eastAsia="Calibri"/>
          <w:lang w:val="es-DO"/>
        </w:rPr>
        <w:t>en</w:t>
      </w:r>
      <w:r w:rsidR="00D26B15" w:rsidRPr="00D26B15">
        <w:rPr>
          <w:rFonts w:eastAsia="Calibri"/>
          <w:lang w:val="es-DO"/>
        </w:rPr>
        <w:t xml:space="preserve"> </w:t>
      </w:r>
      <w:r w:rsidR="00906865">
        <w:rPr>
          <w:rFonts w:eastAsia="Calibri"/>
          <w:lang w:val="es-DO"/>
        </w:rPr>
        <w:t>la continuación de fortalecimiento de</w:t>
      </w:r>
      <w:r w:rsidR="00D26B15" w:rsidRPr="00D26B15">
        <w:rPr>
          <w:rFonts w:eastAsia="Calibri"/>
          <w:lang w:val="es-DO"/>
        </w:rPr>
        <w:t xml:space="preserve"> las capacidades técnicas a través de iniciativas como</w:t>
      </w:r>
      <w:r w:rsidR="00D26B15">
        <w:rPr>
          <w:rFonts w:eastAsia="Calibri"/>
          <w:lang w:val="es-DO"/>
        </w:rPr>
        <w:t>:</w:t>
      </w:r>
    </w:p>
    <w:p w14:paraId="566F4B88" w14:textId="1D2C0BD5" w:rsidR="00D4095F" w:rsidRPr="00D4095F" w:rsidRDefault="00D4095F" w:rsidP="00CB4994">
      <w:pPr>
        <w:numPr>
          <w:ilvl w:val="0"/>
          <w:numId w:val="3"/>
        </w:numPr>
        <w:spacing w:line="360" w:lineRule="auto"/>
        <w:jc w:val="both"/>
        <w:rPr>
          <w:rFonts w:eastAsia="Calibri"/>
          <w:lang w:val="es-DO"/>
        </w:rPr>
      </w:pPr>
      <w:r w:rsidRPr="00D4095F">
        <w:rPr>
          <w:rFonts w:eastAsia="Calibri"/>
          <w:lang w:val="es-DO"/>
        </w:rPr>
        <w:t>Implementación del Manual de Requerimientos de Información de la Administración Monetaria y Financiera (MRI AMF), con miras a centralizar y simplificar los requerimientos de información y eliminar duplicidades.</w:t>
      </w:r>
    </w:p>
    <w:p w14:paraId="06B18616" w14:textId="7A5581B1" w:rsidR="00D4095F" w:rsidRPr="00D4095F" w:rsidRDefault="00D4095F" w:rsidP="00CB4994">
      <w:pPr>
        <w:numPr>
          <w:ilvl w:val="0"/>
          <w:numId w:val="3"/>
        </w:numPr>
        <w:spacing w:line="360" w:lineRule="auto"/>
        <w:jc w:val="both"/>
        <w:rPr>
          <w:rFonts w:eastAsia="Calibri"/>
          <w:lang w:val="es-DO"/>
        </w:rPr>
      </w:pPr>
      <w:r w:rsidRPr="00D4095F">
        <w:rPr>
          <w:rFonts w:eastAsia="Calibri"/>
          <w:lang w:val="es-DO"/>
        </w:rPr>
        <w:t>Implementación en los reportes regulatorios de las adecuaciones del Manual de Contabilidad conforme las actualizaciones realizadas.</w:t>
      </w:r>
    </w:p>
    <w:p w14:paraId="6371C020" w14:textId="64E4A744" w:rsidR="00D4095F" w:rsidRDefault="00D4095F" w:rsidP="00CB4994">
      <w:pPr>
        <w:numPr>
          <w:ilvl w:val="0"/>
          <w:numId w:val="3"/>
        </w:numPr>
        <w:spacing w:line="360" w:lineRule="auto"/>
        <w:jc w:val="both"/>
        <w:rPr>
          <w:rFonts w:eastAsia="Calibri"/>
          <w:lang w:val="es-DO"/>
        </w:rPr>
      </w:pPr>
      <w:r w:rsidRPr="00D4095F">
        <w:rPr>
          <w:rFonts w:eastAsia="Calibri"/>
          <w:lang w:val="es-DO"/>
        </w:rPr>
        <w:t xml:space="preserve">Publicación del “Informe sobre el Comportamiento de la Cartera de Créditos en Moneda Extranjera” y del “Informe sobre evolución </w:t>
      </w:r>
      <w:r w:rsidRPr="00D4095F">
        <w:rPr>
          <w:rFonts w:eastAsia="Calibri"/>
          <w:lang w:val="es-DO"/>
        </w:rPr>
        <w:lastRenderedPageBreak/>
        <w:t>de la cartera del Sector Agropecuario” al corte de diciembre de 2022.</w:t>
      </w:r>
    </w:p>
    <w:p w14:paraId="3D89FAB3" w14:textId="77777777" w:rsidR="003E735A" w:rsidRDefault="003E735A" w:rsidP="00CA473C">
      <w:pPr>
        <w:spacing w:line="360" w:lineRule="auto"/>
        <w:ind w:left="360"/>
        <w:jc w:val="both"/>
        <w:rPr>
          <w:rFonts w:eastAsia="Calibri"/>
          <w:lang w:val="es-DO"/>
        </w:rPr>
      </w:pPr>
      <w:bookmarkStart w:id="32" w:name="_Toc122435007"/>
      <w:bookmarkStart w:id="33" w:name="_Toc123046912"/>
    </w:p>
    <w:p w14:paraId="76DC9B6F" w14:textId="503EBFD9" w:rsidR="00E52ED4" w:rsidRPr="00C865B6" w:rsidRDefault="00C94DAB" w:rsidP="006B204A">
      <w:pPr>
        <w:pStyle w:val="Estilo3"/>
        <w:spacing w:before="0" w:after="240" w:line="360" w:lineRule="auto"/>
        <w:rPr>
          <w:b/>
          <w:bCs w:val="0"/>
          <w:noProof/>
          <w:szCs w:val="24"/>
          <w:lang w:eastAsia="es-ES"/>
        </w:rPr>
      </w:pPr>
      <w:bookmarkStart w:id="34" w:name="_Toc155354611"/>
      <w:r w:rsidRPr="00681BD5">
        <w:rPr>
          <w:b/>
          <w:szCs w:val="24"/>
        </w:rPr>
        <w:t>3</w:t>
      </w:r>
      <w:r w:rsidR="00E52ED4" w:rsidRPr="00681BD5">
        <w:rPr>
          <w:b/>
          <w:szCs w:val="24"/>
        </w:rPr>
        <w:t>.</w:t>
      </w:r>
      <w:r w:rsidR="000E6F34">
        <w:rPr>
          <w:b/>
          <w:bCs w:val="0"/>
          <w:szCs w:val="24"/>
        </w:rPr>
        <w:t>4</w:t>
      </w:r>
      <w:r w:rsidR="00E52ED4" w:rsidRPr="00C865B6">
        <w:rPr>
          <w:b/>
          <w:bCs w:val="0"/>
          <w:szCs w:val="24"/>
        </w:rPr>
        <w:t xml:space="preserve"> Supervisión de Prevención del Lavado de Activos y Financiamiento al Terrorismo (PLAFT)</w:t>
      </w:r>
      <w:bookmarkEnd w:id="32"/>
      <w:bookmarkEnd w:id="33"/>
      <w:bookmarkEnd w:id="34"/>
    </w:p>
    <w:p w14:paraId="0278196C" w14:textId="7A8B1C90" w:rsidR="00B37843" w:rsidRPr="00B37843" w:rsidRDefault="00B37843" w:rsidP="006B204A">
      <w:pPr>
        <w:spacing w:after="120" w:line="360" w:lineRule="auto"/>
        <w:jc w:val="both"/>
        <w:rPr>
          <w:lang w:val="es-DO"/>
        </w:rPr>
      </w:pPr>
      <w:r w:rsidRPr="00B37843">
        <w:rPr>
          <w:lang w:val="es-DO"/>
        </w:rPr>
        <w:t xml:space="preserve">La Superintendencia de Bancos (SB), como autoridad competente en las funciones de prevención y sanción de delitos financieros en los ámbitos de su jurisdicción, se encarga de ejecutar supervisiones </w:t>
      </w:r>
      <w:r w:rsidRPr="00B37843">
        <w:rPr>
          <w:i/>
          <w:iCs/>
          <w:lang w:val="es-DO"/>
        </w:rPr>
        <w:t>in situ</w:t>
      </w:r>
      <w:r w:rsidRPr="00B37843">
        <w:rPr>
          <w:lang w:val="es-DO"/>
        </w:rPr>
        <w:t xml:space="preserve"> y </w:t>
      </w:r>
      <w:r w:rsidRPr="00B37843">
        <w:rPr>
          <w:i/>
          <w:iCs/>
          <w:lang w:val="es-DO"/>
        </w:rPr>
        <w:t>extra situ</w:t>
      </w:r>
      <w:r w:rsidRPr="00B37843">
        <w:rPr>
          <w:lang w:val="es-DO"/>
        </w:rPr>
        <w:t xml:space="preserve"> con enfoque basado en riesgo (EBR), a fin de dar cumplimiento a la Ley 155-17 contra el Lavado de Activos y el Financiamiento del Terrorismo y sus normas complementarias. Al respecto, durante el período 2023, la Superintendencia de Bancos ha realizado las actividades que le son atribuidas por la normativa vigente, citando los siguientes logros:</w:t>
      </w:r>
    </w:p>
    <w:p w14:paraId="018DE04D" w14:textId="48F256D5" w:rsidR="00B37843" w:rsidRDefault="00B37843" w:rsidP="00CB4994">
      <w:pPr>
        <w:pStyle w:val="Prrafodelista"/>
        <w:numPr>
          <w:ilvl w:val="0"/>
          <w:numId w:val="19"/>
        </w:numPr>
        <w:spacing w:line="360" w:lineRule="auto"/>
        <w:contextualSpacing w:val="0"/>
        <w:jc w:val="both"/>
        <w:rPr>
          <w:rFonts w:ascii="Times New Roman" w:hAnsi="Times New Roman"/>
          <w:color w:val="767171"/>
          <w:spacing w:val="20"/>
          <w:sz w:val="24"/>
          <w:szCs w:val="24"/>
        </w:rPr>
      </w:pPr>
      <w:r w:rsidRPr="00476E4F">
        <w:rPr>
          <w:rFonts w:ascii="Times New Roman" w:hAnsi="Times New Roman"/>
          <w:color w:val="767171"/>
          <w:spacing w:val="20"/>
          <w:sz w:val="24"/>
          <w:szCs w:val="24"/>
        </w:rPr>
        <w:t>Realizada dieciséis (16) inspecciones a sujetos obligados. Dichas inspecciones se enfocaron en la evaluación de la gestión de riesgos realizadas por las entidades para la prevención de lavado de activos, financiamiento del terrorismo y de la proliferación de armas de destrucción masiva (PLAFTPADM), la debida diligencia en la etapa de vinculación y mantenimiento de la relación comercial, la función de los órganos de control, el diseño y ejecución del plan de capacitación y la estructura de cumplimiento</w:t>
      </w:r>
      <w:r>
        <w:rPr>
          <w:rFonts w:ascii="Times New Roman" w:hAnsi="Times New Roman"/>
          <w:color w:val="767171"/>
          <w:spacing w:val="20"/>
          <w:sz w:val="24"/>
          <w:szCs w:val="24"/>
        </w:rPr>
        <w:t>.</w:t>
      </w:r>
    </w:p>
    <w:p w14:paraId="78B08173" w14:textId="50AE28F7" w:rsidR="00476E4F" w:rsidRDefault="00B37843" w:rsidP="00CB4994">
      <w:pPr>
        <w:pStyle w:val="Prrafodelista"/>
        <w:numPr>
          <w:ilvl w:val="0"/>
          <w:numId w:val="24"/>
        </w:numPr>
        <w:spacing w:line="360" w:lineRule="auto"/>
        <w:contextualSpacing w:val="0"/>
        <w:jc w:val="both"/>
        <w:rPr>
          <w:rFonts w:ascii="Times New Roman" w:hAnsi="Times New Roman"/>
          <w:color w:val="767171"/>
          <w:spacing w:val="20"/>
          <w:sz w:val="24"/>
          <w:szCs w:val="24"/>
        </w:rPr>
      </w:pPr>
      <w:r w:rsidRPr="008556BB">
        <w:rPr>
          <w:rFonts w:ascii="Times New Roman" w:hAnsi="Times New Roman"/>
          <w:color w:val="767171"/>
          <w:spacing w:val="20"/>
          <w:sz w:val="24"/>
          <w:szCs w:val="24"/>
        </w:rPr>
        <w:t>Supervisados diez (10) bancos múltiples, cuatro (4) asociaciones de ahorros y préstamos, un (1) agente de cambio y remesas, así como una (1) sociedad fiduciaria</w:t>
      </w:r>
      <w:r w:rsidR="001925CF" w:rsidRPr="008556BB">
        <w:rPr>
          <w:rFonts w:ascii="Times New Roman" w:hAnsi="Times New Roman"/>
          <w:color w:val="767171"/>
          <w:spacing w:val="20"/>
          <w:sz w:val="24"/>
          <w:szCs w:val="24"/>
        </w:rPr>
        <w:t>.</w:t>
      </w:r>
      <w:r w:rsidRPr="008556BB">
        <w:rPr>
          <w:rFonts w:ascii="Times New Roman" w:hAnsi="Times New Roman"/>
          <w:color w:val="767171"/>
          <w:spacing w:val="20"/>
          <w:sz w:val="24"/>
          <w:szCs w:val="24"/>
        </w:rPr>
        <w:t xml:space="preserve"> </w:t>
      </w:r>
      <w:r w:rsidR="001925CF" w:rsidRPr="008556BB">
        <w:rPr>
          <w:rFonts w:ascii="Times New Roman" w:hAnsi="Times New Roman"/>
          <w:color w:val="767171"/>
          <w:spacing w:val="20"/>
          <w:sz w:val="24"/>
          <w:szCs w:val="24"/>
        </w:rPr>
        <w:t>C</w:t>
      </w:r>
      <w:r w:rsidRPr="008556BB">
        <w:rPr>
          <w:rFonts w:ascii="Times New Roman" w:hAnsi="Times New Roman"/>
          <w:color w:val="767171"/>
          <w:spacing w:val="20"/>
          <w:sz w:val="24"/>
          <w:szCs w:val="24"/>
        </w:rPr>
        <w:t xml:space="preserve">on las inspecciones ejecutadas, esta gestión (2021 – 2023) ha logrado </w:t>
      </w:r>
      <w:r w:rsidR="001925CF" w:rsidRPr="008556BB">
        <w:rPr>
          <w:rFonts w:ascii="Times New Roman" w:hAnsi="Times New Roman"/>
          <w:color w:val="767171"/>
          <w:spacing w:val="20"/>
          <w:sz w:val="24"/>
          <w:szCs w:val="24"/>
        </w:rPr>
        <w:t>supervisar</w:t>
      </w:r>
      <w:r w:rsidRPr="008556BB">
        <w:rPr>
          <w:rFonts w:ascii="Times New Roman" w:hAnsi="Times New Roman"/>
          <w:color w:val="767171"/>
          <w:spacing w:val="20"/>
          <w:sz w:val="24"/>
          <w:szCs w:val="24"/>
        </w:rPr>
        <w:t xml:space="preserve"> </w:t>
      </w:r>
      <w:r w:rsidRPr="008556BB">
        <w:rPr>
          <w:rFonts w:ascii="Times New Roman" w:hAnsi="Times New Roman"/>
          <w:color w:val="767171"/>
          <w:spacing w:val="20"/>
          <w:sz w:val="24"/>
          <w:szCs w:val="24"/>
        </w:rPr>
        <w:lastRenderedPageBreak/>
        <w:t>entidades que representan más 90% de los activos totales del sector financiero y cambiario.</w:t>
      </w:r>
    </w:p>
    <w:p w14:paraId="38E13F8D" w14:textId="60782C64" w:rsidR="00B37843" w:rsidRDefault="00B37843" w:rsidP="00CB4994">
      <w:pPr>
        <w:pStyle w:val="Prrafodelista"/>
        <w:numPr>
          <w:ilvl w:val="0"/>
          <w:numId w:val="19"/>
        </w:numPr>
        <w:spacing w:line="360" w:lineRule="auto"/>
        <w:contextualSpacing w:val="0"/>
        <w:jc w:val="both"/>
        <w:rPr>
          <w:rFonts w:ascii="Times New Roman" w:hAnsi="Times New Roman"/>
          <w:color w:val="767171"/>
          <w:spacing w:val="20"/>
          <w:sz w:val="24"/>
          <w:szCs w:val="24"/>
        </w:rPr>
      </w:pPr>
      <w:r w:rsidRPr="00476E4F">
        <w:rPr>
          <w:rFonts w:ascii="Times New Roman" w:hAnsi="Times New Roman"/>
          <w:color w:val="767171"/>
          <w:spacing w:val="20"/>
          <w:sz w:val="24"/>
          <w:szCs w:val="24"/>
        </w:rPr>
        <w:t xml:space="preserve">Fortalecida la Metodología Interna de Supervisión Basada en Riesgos PLAFTPADM, </w:t>
      </w:r>
      <w:r w:rsidR="00E812E9">
        <w:rPr>
          <w:rFonts w:ascii="Times New Roman" w:hAnsi="Times New Roman"/>
          <w:color w:val="767171"/>
          <w:spacing w:val="20"/>
          <w:sz w:val="24"/>
          <w:szCs w:val="24"/>
        </w:rPr>
        <w:t>a partir de</w:t>
      </w:r>
      <w:r w:rsidRPr="00476E4F">
        <w:rPr>
          <w:rFonts w:ascii="Times New Roman" w:hAnsi="Times New Roman"/>
          <w:color w:val="767171"/>
          <w:spacing w:val="20"/>
          <w:sz w:val="24"/>
          <w:szCs w:val="24"/>
        </w:rPr>
        <w:t xml:space="preserve"> la cual se diseñaron e implementaron las políticas y los procedimientos para la realización de los trabajos de inspección</w:t>
      </w:r>
      <w:r w:rsidR="00EE44D3">
        <w:rPr>
          <w:rFonts w:ascii="Times New Roman" w:hAnsi="Times New Roman"/>
          <w:color w:val="767171"/>
          <w:spacing w:val="20"/>
          <w:sz w:val="24"/>
          <w:szCs w:val="24"/>
        </w:rPr>
        <w:t xml:space="preserve">. </w:t>
      </w:r>
      <w:r w:rsidR="008C0DC6">
        <w:rPr>
          <w:rFonts w:ascii="Times New Roman" w:hAnsi="Times New Roman"/>
          <w:color w:val="767171"/>
          <w:spacing w:val="20"/>
          <w:sz w:val="24"/>
          <w:szCs w:val="24"/>
        </w:rPr>
        <w:t>Cabe destacar qu</w:t>
      </w:r>
      <w:r w:rsidR="00B72D77">
        <w:rPr>
          <w:rFonts w:ascii="Times New Roman" w:hAnsi="Times New Roman"/>
          <w:color w:val="767171"/>
          <w:spacing w:val="20"/>
          <w:sz w:val="24"/>
          <w:szCs w:val="24"/>
        </w:rPr>
        <w:t>e</w:t>
      </w:r>
      <w:r w:rsidR="00B14501">
        <w:rPr>
          <w:rFonts w:ascii="Times New Roman" w:hAnsi="Times New Roman"/>
          <w:color w:val="767171"/>
          <w:spacing w:val="20"/>
          <w:sz w:val="24"/>
          <w:szCs w:val="24"/>
        </w:rPr>
        <w:t>,</w:t>
      </w:r>
      <w:r w:rsidR="00B72D77">
        <w:rPr>
          <w:rFonts w:ascii="Times New Roman" w:hAnsi="Times New Roman"/>
          <w:color w:val="767171"/>
          <w:spacing w:val="20"/>
          <w:sz w:val="24"/>
          <w:szCs w:val="24"/>
        </w:rPr>
        <w:t xml:space="preserve"> </w:t>
      </w:r>
      <w:r w:rsidR="006F7A6F">
        <w:rPr>
          <w:rFonts w:ascii="Times New Roman" w:hAnsi="Times New Roman"/>
          <w:color w:val="767171"/>
          <w:spacing w:val="20"/>
          <w:sz w:val="24"/>
          <w:szCs w:val="24"/>
        </w:rPr>
        <w:t>gracias a estos esfuerzos,</w:t>
      </w:r>
      <w:r w:rsidRPr="00476E4F">
        <w:rPr>
          <w:rFonts w:ascii="Times New Roman" w:hAnsi="Times New Roman"/>
          <w:color w:val="767171"/>
          <w:spacing w:val="20"/>
          <w:sz w:val="24"/>
          <w:szCs w:val="24"/>
        </w:rPr>
        <w:t xml:space="preserve"> el proceso de supervisión PLAFTPADM </w:t>
      </w:r>
      <w:r w:rsidR="009F6AFE">
        <w:rPr>
          <w:rFonts w:ascii="Times New Roman" w:hAnsi="Times New Roman"/>
          <w:color w:val="767171"/>
          <w:spacing w:val="20"/>
          <w:sz w:val="24"/>
          <w:szCs w:val="24"/>
        </w:rPr>
        <w:t xml:space="preserve">fue </w:t>
      </w:r>
      <w:r w:rsidRPr="00476E4F">
        <w:rPr>
          <w:rFonts w:ascii="Times New Roman" w:hAnsi="Times New Roman"/>
          <w:color w:val="767171"/>
          <w:spacing w:val="20"/>
          <w:sz w:val="24"/>
          <w:szCs w:val="24"/>
        </w:rPr>
        <w:t>certifica</w:t>
      </w:r>
      <w:r w:rsidR="009F6AFE">
        <w:rPr>
          <w:rFonts w:ascii="Times New Roman" w:hAnsi="Times New Roman"/>
          <w:color w:val="767171"/>
          <w:spacing w:val="20"/>
          <w:sz w:val="24"/>
          <w:szCs w:val="24"/>
        </w:rPr>
        <w:t xml:space="preserve">do bajo </w:t>
      </w:r>
      <w:r w:rsidR="00117AC0">
        <w:rPr>
          <w:rFonts w:ascii="Times New Roman" w:hAnsi="Times New Roman"/>
          <w:color w:val="767171"/>
          <w:spacing w:val="20"/>
          <w:sz w:val="24"/>
          <w:szCs w:val="24"/>
        </w:rPr>
        <w:t>el</w:t>
      </w:r>
      <w:r w:rsidR="009F6AFE">
        <w:rPr>
          <w:rFonts w:ascii="Times New Roman" w:hAnsi="Times New Roman"/>
          <w:color w:val="767171"/>
          <w:spacing w:val="20"/>
          <w:sz w:val="24"/>
          <w:szCs w:val="24"/>
        </w:rPr>
        <w:t xml:space="preserve"> </w:t>
      </w:r>
      <w:r w:rsidR="00117AC0">
        <w:rPr>
          <w:rFonts w:ascii="Times New Roman" w:hAnsi="Times New Roman"/>
          <w:color w:val="767171"/>
          <w:spacing w:val="20"/>
          <w:sz w:val="24"/>
          <w:szCs w:val="24"/>
        </w:rPr>
        <w:t>estándar</w:t>
      </w:r>
      <w:r w:rsidRPr="00476E4F">
        <w:rPr>
          <w:rFonts w:ascii="Times New Roman" w:hAnsi="Times New Roman"/>
          <w:color w:val="767171"/>
          <w:spacing w:val="20"/>
          <w:sz w:val="24"/>
          <w:szCs w:val="24"/>
        </w:rPr>
        <w:t xml:space="preserve"> ISO 9001:2015 sobre Sistema de Gestión de la Calidad.</w:t>
      </w:r>
    </w:p>
    <w:p w14:paraId="3373F581" w14:textId="0674706C" w:rsidR="00FB229E" w:rsidRDefault="00B37843" w:rsidP="00CB4994">
      <w:pPr>
        <w:pStyle w:val="Prrafodelista"/>
        <w:numPr>
          <w:ilvl w:val="0"/>
          <w:numId w:val="19"/>
        </w:numPr>
        <w:spacing w:line="360" w:lineRule="auto"/>
        <w:contextualSpacing w:val="0"/>
        <w:jc w:val="both"/>
        <w:rPr>
          <w:rFonts w:ascii="Times New Roman" w:hAnsi="Times New Roman"/>
          <w:color w:val="767171"/>
          <w:spacing w:val="20"/>
          <w:sz w:val="24"/>
          <w:szCs w:val="24"/>
        </w:rPr>
      </w:pPr>
      <w:r w:rsidRPr="00476E4F">
        <w:rPr>
          <w:rFonts w:ascii="Times New Roman" w:hAnsi="Times New Roman"/>
          <w:color w:val="767171"/>
          <w:spacing w:val="20"/>
          <w:sz w:val="24"/>
          <w:szCs w:val="24"/>
        </w:rPr>
        <w:t>Emitidas un total de 300 respuestas a solicitudes de opiniones técnicas realizadas por los sujetos obligados a través del Departamento de Registro y Autorizaciones relacionadas a cumplimiento regulatorio. Dicho monto, representa un aumento de productividad de más del 63% con relación al año 2022. Asimismo, fueron atendidas aproximadamente 225 consultas vinculantes sometidas por las entidades reguladas y supervisadas, representando un aumento de productividad de más de 400% con relación al año 2022.</w:t>
      </w:r>
    </w:p>
    <w:p w14:paraId="172F5454" w14:textId="01B0836D" w:rsidR="00676650" w:rsidRPr="00676650" w:rsidRDefault="00B37843" w:rsidP="00CB4994">
      <w:pPr>
        <w:pStyle w:val="Prrafodelista"/>
        <w:numPr>
          <w:ilvl w:val="0"/>
          <w:numId w:val="19"/>
        </w:numPr>
        <w:spacing w:line="360" w:lineRule="auto"/>
        <w:contextualSpacing w:val="0"/>
        <w:jc w:val="both"/>
        <w:rPr>
          <w:rFonts w:ascii="Times New Roman" w:hAnsi="Times New Roman"/>
          <w:color w:val="767171"/>
          <w:spacing w:val="20"/>
          <w:sz w:val="24"/>
          <w:szCs w:val="24"/>
        </w:rPr>
      </w:pPr>
      <w:r w:rsidRPr="00476E4F">
        <w:rPr>
          <w:rFonts w:ascii="Times New Roman" w:hAnsi="Times New Roman"/>
          <w:color w:val="767171"/>
          <w:spacing w:val="20"/>
          <w:sz w:val="24"/>
          <w:szCs w:val="24"/>
        </w:rPr>
        <w:t xml:space="preserve">Implementada una versión mejorada de la herramienta para la clasificación del nivel de riesgo de LAFTPADM (Matriz de Riesgo) de las entidades </w:t>
      </w:r>
      <w:r w:rsidR="0077439D">
        <w:rPr>
          <w:rFonts w:ascii="Times New Roman" w:hAnsi="Times New Roman"/>
          <w:color w:val="767171"/>
          <w:spacing w:val="20"/>
          <w:sz w:val="24"/>
          <w:szCs w:val="24"/>
        </w:rPr>
        <w:t>supervisadas</w:t>
      </w:r>
      <w:r w:rsidRPr="00476E4F">
        <w:rPr>
          <w:rFonts w:ascii="Times New Roman" w:hAnsi="Times New Roman"/>
          <w:color w:val="767171"/>
          <w:spacing w:val="20"/>
          <w:sz w:val="24"/>
          <w:szCs w:val="24"/>
        </w:rPr>
        <w:t xml:space="preserve">, la cual considera los cuatro (4) factores de riesgo establecidos en la normativa vigente: i) Clientes; </w:t>
      </w:r>
      <w:proofErr w:type="spellStart"/>
      <w:r w:rsidRPr="00476E4F">
        <w:rPr>
          <w:rFonts w:ascii="Times New Roman" w:hAnsi="Times New Roman"/>
          <w:color w:val="767171"/>
          <w:spacing w:val="20"/>
          <w:sz w:val="24"/>
          <w:szCs w:val="24"/>
        </w:rPr>
        <w:t>ii</w:t>
      </w:r>
      <w:proofErr w:type="spellEnd"/>
      <w:r w:rsidRPr="00476E4F">
        <w:rPr>
          <w:rFonts w:ascii="Times New Roman" w:hAnsi="Times New Roman"/>
          <w:color w:val="767171"/>
          <w:spacing w:val="20"/>
          <w:sz w:val="24"/>
          <w:szCs w:val="24"/>
        </w:rPr>
        <w:t xml:space="preserve">) Productos/Servicios; </w:t>
      </w:r>
      <w:proofErr w:type="spellStart"/>
      <w:r w:rsidRPr="00476E4F">
        <w:rPr>
          <w:rFonts w:ascii="Times New Roman" w:hAnsi="Times New Roman"/>
          <w:color w:val="767171"/>
          <w:spacing w:val="20"/>
          <w:sz w:val="24"/>
          <w:szCs w:val="24"/>
        </w:rPr>
        <w:t>iii</w:t>
      </w:r>
      <w:proofErr w:type="spellEnd"/>
      <w:r w:rsidRPr="00476E4F">
        <w:rPr>
          <w:rFonts w:ascii="Times New Roman" w:hAnsi="Times New Roman"/>
          <w:color w:val="767171"/>
          <w:spacing w:val="20"/>
          <w:sz w:val="24"/>
          <w:szCs w:val="24"/>
        </w:rPr>
        <w:t xml:space="preserve">) Canales; y </w:t>
      </w:r>
      <w:proofErr w:type="spellStart"/>
      <w:r w:rsidRPr="00476E4F">
        <w:rPr>
          <w:rFonts w:ascii="Times New Roman" w:hAnsi="Times New Roman"/>
          <w:color w:val="767171"/>
          <w:spacing w:val="20"/>
          <w:sz w:val="24"/>
          <w:szCs w:val="24"/>
        </w:rPr>
        <w:t>iv</w:t>
      </w:r>
      <w:proofErr w:type="spellEnd"/>
      <w:r w:rsidRPr="00476E4F">
        <w:rPr>
          <w:rFonts w:ascii="Times New Roman" w:hAnsi="Times New Roman"/>
          <w:color w:val="767171"/>
          <w:spacing w:val="20"/>
          <w:sz w:val="24"/>
          <w:szCs w:val="24"/>
        </w:rPr>
        <w:t xml:space="preserve">) Zona </w:t>
      </w:r>
      <w:r w:rsidR="00A4792E">
        <w:rPr>
          <w:rFonts w:ascii="Times New Roman" w:hAnsi="Times New Roman"/>
          <w:color w:val="767171"/>
          <w:spacing w:val="20"/>
          <w:sz w:val="24"/>
          <w:szCs w:val="24"/>
        </w:rPr>
        <w:t>g</w:t>
      </w:r>
      <w:r w:rsidRPr="008B7DCC">
        <w:rPr>
          <w:rFonts w:ascii="Times New Roman" w:hAnsi="Times New Roman"/>
          <w:color w:val="767171"/>
          <w:spacing w:val="20"/>
          <w:sz w:val="24"/>
          <w:szCs w:val="24"/>
        </w:rPr>
        <w:t>eográfica.</w:t>
      </w:r>
      <w:r w:rsidRPr="00476E4F">
        <w:rPr>
          <w:rFonts w:ascii="Times New Roman" w:hAnsi="Times New Roman"/>
          <w:color w:val="767171"/>
          <w:spacing w:val="20"/>
          <w:sz w:val="24"/>
          <w:szCs w:val="24"/>
        </w:rPr>
        <w:t xml:space="preserve"> Con estas inclusiones se optimizó significativamente la evaluación integral de los supervisados, proporcionando el insumo necesario p</w:t>
      </w:r>
      <w:r w:rsidRPr="006E122C">
        <w:rPr>
          <w:rFonts w:ascii="Times New Roman" w:hAnsi="Times New Roman"/>
          <w:color w:val="767171"/>
          <w:spacing w:val="20"/>
          <w:sz w:val="24"/>
          <w:szCs w:val="24"/>
        </w:rPr>
        <w:t xml:space="preserve">ara la determinación de las entidades que serán incluidas en el plan de supervisión, así como para monitorear </w:t>
      </w:r>
      <w:r w:rsidR="00A4792E">
        <w:rPr>
          <w:rFonts w:ascii="Times New Roman" w:hAnsi="Times New Roman"/>
          <w:color w:val="767171"/>
          <w:spacing w:val="20"/>
          <w:sz w:val="24"/>
          <w:szCs w:val="24"/>
        </w:rPr>
        <w:t>la evolución</w:t>
      </w:r>
      <w:r w:rsidRPr="006E122C">
        <w:rPr>
          <w:rFonts w:ascii="Times New Roman" w:hAnsi="Times New Roman"/>
          <w:color w:val="767171"/>
          <w:spacing w:val="20"/>
          <w:sz w:val="24"/>
          <w:szCs w:val="24"/>
        </w:rPr>
        <w:t xml:space="preserve"> sus perfiles de riesgo.</w:t>
      </w:r>
    </w:p>
    <w:p w14:paraId="10B5CE6B" w14:textId="4CC6EB14" w:rsidR="00B37843" w:rsidRDefault="00AD417F" w:rsidP="00CB4994">
      <w:pPr>
        <w:pStyle w:val="Prrafodelista"/>
        <w:numPr>
          <w:ilvl w:val="0"/>
          <w:numId w:val="19"/>
        </w:numPr>
        <w:spacing w:line="360" w:lineRule="auto"/>
        <w:contextualSpacing w:val="0"/>
        <w:jc w:val="both"/>
        <w:rPr>
          <w:rFonts w:ascii="Times New Roman" w:hAnsi="Times New Roman"/>
          <w:color w:val="767171"/>
          <w:spacing w:val="20"/>
          <w:sz w:val="24"/>
          <w:szCs w:val="24"/>
        </w:rPr>
      </w:pPr>
      <w:r>
        <w:rPr>
          <w:rFonts w:ascii="Times New Roman" w:hAnsi="Times New Roman"/>
          <w:color w:val="767171"/>
          <w:spacing w:val="20"/>
          <w:sz w:val="24"/>
          <w:szCs w:val="24"/>
        </w:rPr>
        <w:lastRenderedPageBreak/>
        <w:t>Puesta en marcha</w:t>
      </w:r>
      <w:r w:rsidR="00B37843" w:rsidRPr="008B7DCC">
        <w:rPr>
          <w:rFonts w:ascii="Times New Roman" w:hAnsi="Times New Roman"/>
          <w:color w:val="767171"/>
          <w:spacing w:val="20"/>
          <w:sz w:val="24"/>
          <w:szCs w:val="24"/>
        </w:rPr>
        <w:t xml:space="preserve"> </w:t>
      </w:r>
      <w:r w:rsidR="005D5312">
        <w:rPr>
          <w:rFonts w:ascii="Times New Roman" w:hAnsi="Times New Roman"/>
          <w:color w:val="767171"/>
          <w:spacing w:val="20"/>
          <w:sz w:val="24"/>
          <w:szCs w:val="24"/>
        </w:rPr>
        <w:t>d</w:t>
      </w:r>
      <w:r w:rsidRPr="008B7DCC">
        <w:rPr>
          <w:rFonts w:ascii="Times New Roman" w:hAnsi="Times New Roman"/>
          <w:color w:val="767171"/>
          <w:spacing w:val="20"/>
          <w:sz w:val="24"/>
          <w:szCs w:val="24"/>
        </w:rPr>
        <w:t>el “Módulo de Solicitud Financiera” a través del “SB Interactivo”</w:t>
      </w:r>
      <w:r w:rsidR="005D5312">
        <w:rPr>
          <w:rFonts w:ascii="Times New Roman" w:hAnsi="Times New Roman"/>
          <w:color w:val="767171"/>
          <w:spacing w:val="20"/>
          <w:sz w:val="24"/>
          <w:szCs w:val="24"/>
        </w:rPr>
        <w:t>, el</w:t>
      </w:r>
      <w:r w:rsidR="00B37843" w:rsidRPr="00476E4F">
        <w:rPr>
          <w:rFonts w:ascii="Times New Roman" w:hAnsi="Times New Roman"/>
          <w:color w:val="767171"/>
          <w:spacing w:val="20"/>
          <w:sz w:val="24"/>
          <w:szCs w:val="24"/>
        </w:rPr>
        <w:t xml:space="preserve"> cual, junto a la utilización de las firmas electrónicas, permiten un intercambio más ágil y seguro de las informaciones solicitadas </w:t>
      </w:r>
      <w:r w:rsidR="00BE32FB">
        <w:rPr>
          <w:rFonts w:ascii="Times New Roman" w:hAnsi="Times New Roman"/>
          <w:color w:val="767171"/>
          <w:spacing w:val="20"/>
          <w:sz w:val="24"/>
          <w:szCs w:val="24"/>
        </w:rPr>
        <w:t>por</w:t>
      </w:r>
      <w:r w:rsidR="00B37843" w:rsidRPr="008B7DCC">
        <w:rPr>
          <w:rFonts w:ascii="Times New Roman" w:hAnsi="Times New Roman"/>
          <w:color w:val="767171"/>
          <w:spacing w:val="20"/>
          <w:sz w:val="24"/>
          <w:szCs w:val="24"/>
        </w:rPr>
        <w:t xml:space="preserve"> </w:t>
      </w:r>
      <w:r w:rsidR="009A75FA" w:rsidRPr="008B7DCC">
        <w:rPr>
          <w:rFonts w:ascii="Times New Roman" w:hAnsi="Times New Roman"/>
          <w:color w:val="767171"/>
          <w:spacing w:val="20"/>
          <w:sz w:val="24"/>
          <w:szCs w:val="24"/>
        </w:rPr>
        <w:t>organismos competentes en materia de LAFTPADM</w:t>
      </w:r>
      <w:r w:rsidR="00B37843" w:rsidRPr="008B7DCC">
        <w:rPr>
          <w:rFonts w:ascii="Times New Roman" w:hAnsi="Times New Roman"/>
          <w:color w:val="767171"/>
          <w:spacing w:val="20"/>
          <w:sz w:val="24"/>
          <w:szCs w:val="24"/>
        </w:rPr>
        <w:t>.</w:t>
      </w:r>
      <w:r w:rsidR="00B37843" w:rsidRPr="00476E4F">
        <w:rPr>
          <w:rFonts w:ascii="Times New Roman" w:hAnsi="Times New Roman"/>
          <w:color w:val="767171"/>
          <w:spacing w:val="20"/>
          <w:sz w:val="24"/>
          <w:szCs w:val="24"/>
        </w:rPr>
        <w:t xml:space="preserve"> </w:t>
      </w:r>
      <w:r w:rsidR="00B37843" w:rsidRPr="008B7DCC">
        <w:rPr>
          <w:rFonts w:ascii="Times New Roman" w:hAnsi="Times New Roman"/>
          <w:color w:val="767171"/>
          <w:spacing w:val="20"/>
          <w:sz w:val="24"/>
          <w:szCs w:val="24"/>
        </w:rPr>
        <w:t xml:space="preserve">Durante el año 2023 las solicitudes </w:t>
      </w:r>
      <w:r w:rsidR="007676CC">
        <w:rPr>
          <w:rFonts w:ascii="Times New Roman" w:hAnsi="Times New Roman"/>
          <w:color w:val="767171"/>
          <w:spacing w:val="20"/>
          <w:sz w:val="24"/>
          <w:szCs w:val="24"/>
        </w:rPr>
        <w:t>recibidas</w:t>
      </w:r>
      <w:r w:rsidR="00B37843" w:rsidRPr="008B7DCC">
        <w:rPr>
          <w:rFonts w:ascii="Times New Roman" w:hAnsi="Times New Roman"/>
          <w:color w:val="767171"/>
          <w:spacing w:val="20"/>
          <w:sz w:val="24"/>
          <w:szCs w:val="24"/>
        </w:rPr>
        <w:t xml:space="preserve"> superaron</w:t>
      </w:r>
      <w:r w:rsidR="00B37843" w:rsidRPr="00476E4F">
        <w:rPr>
          <w:rFonts w:ascii="Times New Roman" w:hAnsi="Times New Roman"/>
          <w:color w:val="767171"/>
          <w:spacing w:val="20"/>
          <w:sz w:val="24"/>
          <w:szCs w:val="24"/>
        </w:rPr>
        <w:t xml:space="preserve"> las </w:t>
      </w:r>
      <w:r w:rsidR="00E035EE">
        <w:rPr>
          <w:rFonts w:ascii="Times New Roman" w:hAnsi="Times New Roman"/>
          <w:color w:val="767171"/>
          <w:spacing w:val="20"/>
          <w:sz w:val="24"/>
          <w:szCs w:val="24"/>
        </w:rPr>
        <w:t>tres mil</w:t>
      </w:r>
      <w:r w:rsidR="00B37843" w:rsidRPr="008B7DCC">
        <w:rPr>
          <w:rFonts w:ascii="Times New Roman" w:hAnsi="Times New Roman"/>
          <w:color w:val="767171"/>
          <w:spacing w:val="20"/>
          <w:sz w:val="24"/>
          <w:szCs w:val="24"/>
        </w:rPr>
        <w:t xml:space="preserve"> </w:t>
      </w:r>
      <w:r w:rsidR="00E035EE">
        <w:rPr>
          <w:rFonts w:ascii="Times New Roman" w:hAnsi="Times New Roman"/>
          <w:color w:val="767171"/>
          <w:spacing w:val="20"/>
          <w:sz w:val="24"/>
          <w:szCs w:val="24"/>
        </w:rPr>
        <w:t>(</w:t>
      </w:r>
      <w:r w:rsidR="00B37843" w:rsidRPr="00476E4F">
        <w:rPr>
          <w:rFonts w:ascii="Times New Roman" w:hAnsi="Times New Roman"/>
          <w:color w:val="767171"/>
          <w:spacing w:val="20"/>
          <w:sz w:val="24"/>
          <w:szCs w:val="24"/>
        </w:rPr>
        <w:t>3,000</w:t>
      </w:r>
      <w:r w:rsidR="00E035EE">
        <w:rPr>
          <w:rFonts w:ascii="Times New Roman" w:hAnsi="Times New Roman"/>
          <w:color w:val="767171"/>
          <w:spacing w:val="20"/>
          <w:sz w:val="24"/>
          <w:szCs w:val="24"/>
        </w:rPr>
        <w:t>)</w:t>
      </w:r>
      <w:r w:rsidR="00D548EE">
        <w:rPr>
          <w:rFonts w:ascii="Times New Roman" w:hAnsi="Times New Roman"/>
          <w:color w:val="767171"/>
          <w:spacing w:val="20"/>
          <w:sz w:val="24"/>
          <w:szCs w:val="24"/>
        </w:rPr>
        <w:t>,</w:t>
      </w:r>
      <w:r w:rsidR="00B37843" w:rsidRPr="00476E4F">
        <w:rPr>
          <w:rFonts w:ascii="Times New Roman" w:hAnsi="Times New Roman"/>
          <w:color w:val="767171"/>
          <w:spacing w:val="20"/>
          <w:sz w:val="24"/>
          <w:szCs w:val="24"/>
        </w:rPr>
        <w:t xml:space="preserve"> </w:t>
      </w:r>
      <w:r w:rsidR="001E2FC0">
        <w:rPr>
          <w:rFonts w:ascii="Times New Roman" w:hAnsi="Times New Roman"/>
          <w:color w:val="767171"/>
          <w:spacing w:val="20"/>
          <w:sz w:val="24"/>
          <w:szCs w:val="24"/>
        </w:rPr>
        <w:t>de las cuales</w:t>
      </w:r>
      <w:r w:rsidR="00B37843" w:rsidRPr="00476E4F">
        <w:rPr>
          <w:rFonts w:ascii="Times New Roman" w:hAnsi="Times New Roman"/>
          <w:color w:val="767171"/>
          <w:spacing w:val="20"/>
          <w:sz w:val="24"/>
          <w:szCs w:val="24"/>
        </w:rPr>
        <w:t xml:space="preserve"> dos mil novecientos ocho (2,908) corresponden a solicitudes de información financiera, certificaciones de transacciones, cheques y/o documentos; setenta y cinco (75) a congelamientos o inmovilización de cuentas, y cincuenta y siete (57) a </w:t>
      </w:r>
      <w:r w:rsidR="00B37843" w:rsidRPr="008B7DCC">
        <w:rPr>
          <w:rFonts w:ascii="Times New Roman" w:hAnsi="Times New Roman"/>
          <w:color w:val="767171"/>
          <w:spacing w:val="20"/>
          <w:sz w:val="24"/>
          <w:szCs w:val="24"/>
        </w:rPr>
        <w:t>descongelamientos. Esto representa un incremento aproximado del 40% respecto del año 2022.</w:t>
      </w:r>
    </w:p>
    <w:p w14:paraId="65EE743F" w14:textId="0832AA1C" w:rsidR="00B37843" w:rsidRPr="00B37843" w:rsidRDefault="00B37843" w:rsidP="006B204A">
      <w:pPr>
        <w:spacing w:line="360" w:lineRule="auto"/>
        <w:jc w:val="both"/>
        <w:rPr>
          <w:lang w:val="es-DO"/>
        </w:rPr>
      </w:pPr>
      <w:r w:rsidRPr="00B37843">
        <w:rPr>
          <w:lang w:val="es-ES"/>
        </w:rPr>
        <w:t xml:space="preserve">Por otro lado, la Superintendencia de Bancos </w:t>
      </w:r>
      <w:r w:rsidR="00305617">
        <w:rPr>
          <w:lang w:val="es-ES"/>
        </w:rPr>
        <w:t>realizó</w:t>
      </w:r>
      <w:r w:rsidRPr="00B37843">
        <w:rPr>
          <w:lang w:val="es-ES"/>
        </w:rPr>
        <w:t xml:space="preserve"> capacitaciones de alto nivel en materia PLAFTPADM, es decir, </w:t>
      </w:r>
      <w:r w:rsidR="00B83CD6">
        <w:rPr>
          <w:lang w:val="es-ES"/>
        </w:rPr>
        <w:t>dirigidas a</w:t>
      </w:r>
      <w:r w:rsidRPr="008B7DCC">
        <w:rPr>
          <w:lang w:val="es-ES"/>
        </w:rPr>
        <w:t xml:space="preserve"> </w:t>
      </w:r>
      <w:r w:rsidRPr="00B37843">
        <w:rPr>
          <w:lang w:val="es-ES"/>
        </w:rPr>
        <w:t>consejos y/o presidentes de las entidades. Estas jornadas tuvieron una extraordinaria acogida, razón por la cual sus órganos de administración solicitaron que los temas tratados sean replicados a los directivos, comités y miembros de la primera línea de defensa</w:t>
      </w:r>
      <w:r w:rsidR="002210B5">
        <w:rPr>
          <w:lang w:val="es-ES"/>
        </w:rPr>
        <w:t xml:space="preserve">. </w:t>
      </w:r>
      <w:r w:rsidRPr="00B37843">
        <w:rPr>
          <w:lang w:val="es-ES"/>
        </w:rPr>
        <w:t>El 100% de los bancos comerciales y las asociaciones de ahorros y préstamos y 89% de los agentes de cambio y remesa recibieron al menos una capacitación</w:t>
      </w:r>
      <w:r w:rsidR="00C30BF7">
        <w:rPr>
          <w:lang w:val="es-ES"/>
        </w:rPr>
        <w:t>. Estas</w:t>
      </w:r>
      <w:r w:rsidR="00B85B1D">
        <w:rPr>
          <w:lang w:val="es-ES"/>
        </w:rPr>
        <w:t xml:space="preserve"> </w:t>
      </w:r>
      <w:r w:rsidR="003E50BE">
        <w:rPr>
          <w:lang w:val="es-ES"/>
        </w:rPr>
        <w:t>entidades representan</w:t>
      </w:r>
      <w:r w:rsidRPr="00B37843">
        <w:rPr>
          <w:lang w:val="es-ES"/>
        </w:rPr>
        <w:t xml:space="preserve"> aproximadamente </w:t>
      </w:r>
      <w:r w:rsidR="00C30BF7">
        <w:rPr>
          <w:lang w:val="es-ES"/>
        </w:rPr>
        <w:t xml:space="preserve">el </w:t>
      </w:r>
      <w:r w:rsidRPr="00B37843">
        <w:rPr>
          <w:lang w:val="es-ES"/>
        </w:rPr>
        <w:t>98% del total de activos del sistema financiero.</w:t>
      </w:r>
    </w:p>
    <w:p w14:paraId="200B0914" w14:textId="6572FD78" w:rsidR="00E52ED4" w:rsidRDefault="00C30BF7" w:rsidP="006B204A">
      <w:pPr>
        <w:spacing w:line="360" w:lineRule="auto"/>
        <w:jc w:val="both"/>
        <w:rPr>
          <w:lang w:val="es-DO"/>
        </w:rPr>
      </w:pPr>
      <w:r>
        <w:rPr>
          <w:lang w:val="es-DO"/>
        </w:rPr>
        <w:t>Concomitantemente</w:t>
      </w:r>
      <w:r w:rsidR="009F7077">
        <w:rPr>
          <w:lang w:val="es-DO"/>
        </w:rPr>
        <w:t>, l</w:t>
      </w:r>
      <w:r w:rsidR="00B37843" w:rsidRPr="008B7DCC">
        <w:rPr>
          <w:lang w:val="es-ES"/>
        </w:rPr>
        <w:t>a</w:t>
      </w:r>
      <w:r w:rsidR="00B37843" w:rsidRPr="00B37843">
        <w:rPr>
          <w:lang w:val="es-ES"/>
        </w:rPr>
        <w:t xml:space="preserve"> Superintendencia de Bancos participó como expositor en distintos foros internacionales relevantes</w:t>
      </w:r>
      <w:r w:rsidR="009F7077">
        <w:rPr>
          <w:lang w:val="es-ES"/>
        </w:rPr>
        <w:t xml:space="preserve"> </w:t>
      </w:r>
      <w:r w:rsidR="009F7077" w:rsidRPr="008B7DCC">
        <w:rPr>
          <w:lang w:val="es-ES"/>
        </w:rPr>
        <w:t>en materia PLAFTPADM</w:t>
      </w:r>
      <w:r w:rsidR="00B37843" w:rsidRPr="008B7DCC">
        <w:rPr>
          <w:lang w:val="es-ES"/>
        </w:rPr>
        <w:t>.</w:t>
      </w:r>
      <w:r w:rsidR="00B37843" w:rsidRPr="00B37843">
        <w:rPr>
          <w:lang w:val="es-ES"/>
        </w:rPr>
        <w:t xml:space="preserve"> Se destacan el congreso organizado por la Financial Intelligence Unit (Unidad de Análisis Financiero) de Latvia, a los fines de intercambiar pareceres sobre los avances PLAFT de la región; el Congreso ACAMS LATAM que corresponde a una de las principales certificaciones internacionales LAFT avalada por la </w:t>
      </w:r>
      <w:r w:rsidR="00B37843" w:rsidRPr="00B37843">
        <w:rPr>
          <w:lang w:val="es-ES"/>
        </w:rPr>
        <w:lastRenderedPageBreak/>
        <w:t>Asociación de Especialistas Certificados en Antilavado de Dinero (ACAMS); Conferencia integral sobre Compliance: Una Visión Internacional de la Prevención de Lavado de Dinero, Operaciones con Recursos de Procedencia Ilícita, Gestión de Riesgos y Tecnología organizado por la Confederación Patronal de la República Mexicana (COPARMEX), la Asociación de Especialistas Certificados en Delitos Financieros (ACFCS) y el Comité Nacional de Unidades de Inteligencia Anti-Lavado de Dinero (CONAUIALD).</w:t>
      </w:r>
      <w:r w:rsidR="00B37843" w:rsidRPr="00B37843">
        <w:rPr>
          <w:lang w:val="es-DO"/>
        </w:rPr>
        <w:t> </w:t>
      </w:r>
    </w:p>
    <w:p w14:paraId="5CBAA38C" w14:textId="77777777" w:rsidR="00823824" w:rsidRPr="00823824" w:rsidRDefault="00823824" w:rsidP="006B204A">
      <w:pPr>
        <w:spacing w:line="360" w:lineRule="auto"/>
        <w:jc w:val="both"/>
        <w:rPr>
          <w:lang w:val="es-DO"/>
        </w:rPr>
      </w:pPr>
    </w:p>
    <w:p w14:paraId="626813EA" w14:textId="3C951166" w:rsidR="00E52ED4" w:rsidRPr="00C865B6" w:rsidRDefault="00C94DAB" w:rsidP="006B204A">
      <w:pPr>
        <w:pStyle w:val="Estilo3"/>
        <w:spacing w:before="0" w:after="160" w:line="360" w:lineRule="auto"/>
        <w:rPr>
          <w:b/>
          <w:szCs w:val="24"/>
          <w:highlight w:val="green"/>
        </w:rPr>
      </w:pPr>
      <w:bookmarkStart w:id="35" w:name="_Toc122435008"/>
      <w:bookmarkStart w:id="36" w:name="_Toc123046913"/>
      <w:bookmarkStart w:id="37" w:name="_Toc155354612"/>
      <w:r>
        <w:rPr>
          <w:b/>
          <w:szCs w:val="24"/>
        </w:rPr>
        <w:t>3</w:t>
      </w:r>
      <w:r w:rsidR="00E52ED4" w:rsidRPr="00C865B6">
        <w:rPr>
          <w:b/>
          <w:szCs w:val="24"/>
        </w:rPr>
        <w:t>.</w:t>
      </w:r>
      <w:r w:rsidR="000E6F34">
        <w:rPr>
          <w:b/>
          <w:szCs w:val="24"/>
        </w:rPr>
        <w:t>5</w:t>
      </w:r>
      <w:r w:rsidR="00E52ED4" w:rsidRPr="00C865B6">
        <w:rPr>
          <w:b/>
          <w:szCs w:val="24"/>
        </w:rPr>
        <w:t xml:space="preserve"> Procesos Sancionadores</w:t>
      </w:r>
      <w:bookmarkEnd w:id="35"/>
      <w:bookmarkEnd w:id="36"/>
      <w:bookmarkEnd w:id="37"/>
    </w:p>
    <w:p w14:paraId="0DCFE32B" w14:textId="6BE8DDB8" w:rsidR="006E6F0E" w:rsidRPr="00823824" w:rsidRDefault="006E6F0E" w:rsidP="006B204A">
      <w:pPr>
        <w:tabs>
          <w:tab w:val="left" w:pos="7478"/>
        </w:tabs>
        <w:spacing w:line="360" w:lineRule="auto"/>
        <w:jc w:val="both"/>
        <w:rPr>
          <w:lang w:val="es-ES"/>
        </w:rPr>
      </w:pPr>
      <w:r w:rsidRPr="00823824">
        <w:rPr>
          <w:lang w:val="es-ES"/>
        </w:rPr>
        <w:t xml:space="preserve">Con el fin de lograr la integridad del sistema financiero nacional, </w:t>
      </w:r>
      <w:r w:rsidR="00263A40" w:rsidRPr="00823824">
        <w:rPr>
          <w:lang w:val="es-ES"/>
        </w:rPr>
        <w:t>la Superintendencia de Bancos ha</w:t>
      </w:r>
      <w:r w:rsidRPr="00823824">
        <w:rPr>
          <w:lang w:val="es-ES"/>
        </w:rPr>
        <w:t xml:space="preserve"> tenido la facultad de iniciar procedimientos de naturaleza sancionador e imponer las correspondientes sanciones </w:t>
      </w:r>
      <w:r w:rsidR="00481A32" w:rsidRPr="00823824">
        <w:rPr>
          <w:lang w:val="es-ES"/>
        </w:rPr>
        <w:t>a</w:t>
      </w:r>
      <w:r w:rsidRPr="00823824">
        <w:rPr>
          <w:lang w:val="es-ES"/>
        </w:rPr>
        <w:t xml:space="preserve"> las entidades supervisadas que transgredan la norma</w:t>
      </w:r>
      <w:r w:rsidR="00560286" w:rsidRPr="00823824">
        <w:rPr>
          <w:lang w:val="es-ES"/>
        </w:rPr>
        <w:t>tiva</w:t>
      </w:r>
      <w:r w:rsidRPr="00823824">
        <w:rPr>
          <w:lang w:val="es-ES"/>
        </w:rPr>
        <w:t xml:space="preserve"> vigente y que, como consecuencia de sus hechos, le sean aplicables.</w:t>
      </w:r>
    </w:p>
    <w:p w14:paraId="7B4AA7C8" w14:textId="128AA501" w:rsidR="006E6F0E" w:rsidRPr="00823824" w:rsidRDefault="006E6F0E" w:rsidP="006B204A">
      <w:pPr>
        <w:spacing w:line="360" w:lineRule="auto"/>
        <w:jc w:val="both"/>
        <w:rPr>
          <w:lang w:val="es-ES"/>
        </w:rPr>
      </w:pPr>
      <w:r w:rsidRPr="00823824">
        <w:rPr>
          <w:lang w:val="es-ES"/>
        </w:rPr>
        <w:t>En el año 2023, la Superintendencia de Bancos realizo profundas transformaciones institucionales en lo que respecta al procedimiento administrativo sancionador con el objetivo principal de establecer el respeto al debido proceso administrativo y a las garantías fundamentales que protegen a los administrados.</w:t>
      </w:r>
    </w:p>
    <w:p w14:paraId="7A13A893" w14:textId="77777777" w:rsidR="006E6F0E" w:rsidRPr="00823824" w:rsidRDefault="006E6F0E" w:rsidP="006B204A">
      <w:pPr>
        <w:spacing w:line="360" w:lineRule="auto"/>
        <w:jc w:val="both"/>
        <w:rPr>
          <w:lang w:val="es-ES"/>
        </w:rPr>
      </w:pPr>
      <w:r w:rsidRPr="00823824">
        <w:rPr>
          <w:lang w:val="es-ES"/>
        </w:rPr>
        <w:t>Lo anterior ha tenido como resultado la aplicación de sanciones legales y compatibles con las infracciones perseguidas, generando así un mayor efecto disuasorio, así como una tendencia al alza en cuanto a los recursos interpuestos por las entidades de intermediación financiera y cambiaria.  </w:t>
      </w:r>
    </w:p>
    <w:p w14:paraId="5F371898" w14:textId="77777777" w:rsidR="006E6F0E" w:rsidRPr="00823824" w:rsidRDefault="006E6F0E" w:rsidP="006B204A">
      <w:pPr>
        <w:spacing w:line="360" w:lineRule="auto"/>
        <w:jc w:val="both"/>
        <w:rPr>
          <w:lang w:val="es-ES"/>
        </w:rPr>
      </w:pPr>
      <w:r w:rsidRPr="00823824">
        <w:rPr>
          <w:lang w:val="es-ES"/>
        </w:rPr>
        <w:lastRenderedPageBreak/>
        <w:t>Entre los logros alcanzados por la Superintendencia de Bancos en materia de sanciones, durante el año 2023, se destacan los siguientes: </w:t>
      </w:r>
    </w:p>
    <w:p w14:paraId="1B3EBF53" w14:textId="6AA85239" w:rsidR="006E6F0E" w:rsidRPr="006E6F0E" w:rsidRDefault="006E6F0E" w:rsidP="00CB4994">
      <w:pPr>
        <w:numPr>
          <w:ilvl w:val="0"/>
          <w:numId w:val="4"/>
        </w:numPr>
        <w:spacing w:line="360" w:lineRule="auto"/>
        <w:jc w:val="both"/>
        <w:rPr>
          <w:rFonts w:eastAsia="Times New Roman"/>
          <w:lang w:val="es-DO"/>
        </w:rPr>
      </w:pPr>
      <w:r w:rsidRPr="006E6F0E">
        <w:rPr>
          <w:rFonts w:eastAsia="Times New Roman"/>
          <w:lang w:val="es-DO"/>
        </w:rPr>
        <w:t>Procesamiento de 118 incumplimientos detectados, así también, la elaboración de pliegos y tramitación de 71 procedimientos sancionadores y la aplicación de sanciones por un monto de RD$ 34.26 millones</w:t>
      </w:r>
      <w:r w:rsidR="00B07FB1" w:rsidRPr="006E6F0E">
        <w:rPr>
          <w:rFonts w:eastAsia="Times New Roman"/>
          <w:lang w:val="es-DO"/>
        </w:rPr>
        <w:t>.</w:t>
      </w:r>
      <w:r w:rsidR="00B07FB1">
        <w:rPr>
          <w:rFonts w:eastAsia="Times New Roman"/>
          <w:lang w:val="es-DO"/>
        </w:rPr>
        <w:t xml:space="preserve"> (</w:t>
      </w:r>
      <w:r w:rsidR="00FD138D">
        <w:rPr>
          <w:rFonts w:eastAsia="Times New Roman"/>
          <w:lang w:val="es-DO"/>
        </w:rPr>
        <w:t xml:space="preserve">Ver tabla </w:t>
      </w:r>
      <w:r w:rsidR="00AC7C33">
        <w:rPr>
          <w:rFonts w:eastAsia="Times New Roman"/>
          <w:lang w:val="es-DO"/>
        </w:rPr>
        <w:t>3</w:t>
      </w:r>
      <w:r w:rsidR="00FD138D">
        <w:rPr>
          <w:rFonts w:eastAsia="Times New Roman"/>
          <w:lang w:val="es-DO"/>
        </w:rPr>
        <w:t>).</w:t>
      </w:r>
    </w:p>
    <w:p w14:paraId="51234EBF" w14:textId="3D650E62" w:rsidR="00FE2F9F" w:rsidRPr="007A7CAB" w:rsidRDefault="001D393D" w:rsidP="006B204A">
      <w:pPr>
        <w:spacing w:line="360" w:lineRule="auto"/>
        <w:jc w:val="center"/>
        <w:rPr>
          <w:rFonts w:eastAsia="Times New Roman"/>
          <w:b/>
          <w:bCs/>
          <w:lang w:val="es-DO"/>
        </w:rPr>
      </w:pPr>
      <w:r w:rsidRPr="007A7CAB">
        <w:rPr>
          <w:rFonts w:eastAsia="Times New Roman"/>
          <w:b/>
          <w:bCs/>
          <w:lang w:val="es-DO"/>
        </w:rPr>
        <w:t xml:space="preserve">Tabla </w:t>
      </w:r>
      <w:r w:rsidR="00AB2763" w:rsidRPr="007A7CAB">
        <w:rPr>
          <w:rFonts w:eastAsia="Times New Roman"/>
          <w:b/>
          <w:bCs/>
          <w:lang w:val="es-DO"/>
        </w:rPr>
        <w:t>3</w:t>
      </w:r>
      <w:r w:rsidRPr="007A7CAB">
        <w:rPr>
          <w:rFonts w:eastAsia="Times New Roman"/>
          <w:b/>
          <w:bCs/>
          <w:lang w:val="es-DO"/>
        </w:rPr>
        <w:t>. Sanciones impuestas según tipo de entidad y monto, año 2023</w:t>
      </w:r>
    </w:p>
    <w:tbl>
      <w:tblPr>
        <w:tblW w:w="7350" w:type="dxa"/>
        <w:jc w:val="center"/>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30"/>
        <w:gridCol w:w="2220"/>
      </w:tblGrid>
      <w:tr w:rsidR="00FE2F9F" w:rsidRPr="00FE2F9F" w14:paraId="2726C694" w14:textId="77777777" w:rsidTr="000356E0">
        <w:trPr>
          <w:trHeight w:val="572"/>
          <w:jc w:val="center"/>
        </w:trPr>
        <w:tc>
          <w:tcPr>
            <w:tcW w:w="5130" w:type="dxa"/>
            <w:tcBorders>
              <w:top w:val="single" w:sz="6" w:space="0" w:color="auto"/>
              <w:left w:val="single" w:sz="6" w:space="0" w:color="auto"/>
              <w:bottom w:val="single" w:sz="6" w:space="0" w:color="auto"/>
              <w:right w:val="single" w:sz="6" w:space="0" w:color="000000"/>
            </w:tcBorders>
            <w:shd w:val="clear" w:color="auto" w:fill="011C50"/>
            <w:vAlign w:val="center"/>
            <w:hideMark/>
          </w:tcPr>
          <w:p w14:paraId="5290DAC4" w14:textId="77777777" w:rsidR="00FE2F9F" w:rsidRPr="00FE2F9F" w:rsidRDefault="00FE2F9F" w:rsidP="006B204A">
            <w:pPr>
              <w:spacing w:after="0" w:line="240" w:lineRule="auto"/>
              <w:jc w:val="center"/>
              <w:textAlignment w:val="baseline"/>
              <w:rPr>
                <w:rFonts w:eastAsia="Times New Roman"/>
                <w:color w:val="auto"/>
                <w:spacing w:val="0"/>
                <w:lang w:val="es-DO" w:eastAsia="es-DO"/>
              </w:rPr>
            </w:pPr>
            <w:r w:rsidRPr="00FE2F9F">
              <w:rPr>
                <w:rFonts w:eastAsia="Times New Roman"/>
                <w:b/>
                <w:bCs/>
                <w:color w:val="FFFFFF"/>
                <w:spacing w:val="0"/>
                <w:lang w:val="es-DO" w:eastAsia="es-DO"/>
              </w:rPr>
              <w:t>Tipo de Entidad</w:t>
            </w:r>
            <w:r w:rsidRPr="00FE2F9F">
              <w:rPr>
                <w:rFonts w:eastAsia="Times New Roman"/>
                <w:color w:val="auto"/>
                <w:spacing w:val="0"/>
                <w:lang w:val="es-DO" w:eastAsia="es-DO"/>
              </w:rPr>
              <w:t> </w:t>
            </w:r>
          </w:p>
        </w:tc>
        <w:tc>
          <w:tcPr>
            <w:tcW w:w="2220" w:type="dxa"/>
            <w:tcBorders>
              <w:top w:val="single" w:sz="6" w:space="0" w:color="auto"/>
              <w:left w:val="single" w:sz="6" w:space="0" w:color="auto"/>
              <w:bottom w:val="single" w:sz="6" w:space="0" w:color="auto"/>
              <w:right w:val="single" w:sz="6" w:space="0" w:color="000000"/>
            </w:tcBorders>
            <w:shd w:val="clear" w:color="auto" w:fill="011C50"/>
            <w:vAlign w:val="center"/>
            <w:hideMark/>
          </w:tcPr>
          <w:p w14:paraId="1A2561D4" w14:textId="77777777" w:rsidR="00FE2F9F" w:rsidRPr="00FE2F9F" w:rsidRDefault="00FE2F9F" w:rsidP="006B204A">
            <w:pPr>
              <w:spacing w:after="0" w:line="240" w:lineRule="auto"/>
              <w:jc w:val="center"/>
              <w:textAlignment w:val="baseline"/>
              <w:rPr>
                <w:rFonts w:eastAsia="Times New Roman"/>
                <w:color w:val="auto"/>
                <w:spacing w:val="0"/>
                <w:lang w:val="es-DO" w:eastAsia="es-DO"/>
              </w:rPr>
            </w:pPr>
            <w:r w:rsidRPr="00FE2F9F">
              <w:rPr>
                <w:rFonts w:eastAsia="Times New Roman"/>
                <w:b/>
                <w:bCs/>
                <w:color w:val="FFFFFF"/>
                <w:spacing w:val="0"/>
                <w:lang w:val="es-DO" w:eastAsia="es-DO"/>
              </w:rPr>
              <w:t>Sanciones</w:t>
            </w:r>
            <w:r w:rsidRPr="00FE2F9F">
              <w:rPr>
                <w:rFonts w:eastAsia="Times New Roman"/>
                <w:color w:val="auto"/>
                <w:spacing w:val="0"/>
                <w:lang w:val="es-DO" w:eastAsia="es-DO"/>
              </w:rPr>
              <w:t> </w:t>
            </w:r>
          </w:p>
        </w:tc>
      </w:tr>
      <w:tr w:rsidR="00FE2F9F" w:rsidRPr="00FE2F9F" w14:paraId="468AA54B" w14:textId="77777777" w:rsidTr="000356E0">
        <w:trPr>
          <w:trHeight w:val="315"/>
          <w:jc w:val="center"/>
        </w:trPr>
        <w:tc>
          <w:tcPr>
            <w:tcW w:w="513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159CD6F6" w14:textId="77777777" w:rsidR="00FE2F9F" w:rsidRPr="00FE2F9F" w:rsidRDefault="00FE2F9F" w:rsidP="006B204A">
            <w:pPr>
              <w:spacing w:after="0" w:line="240" w:lineRule="auto"/>
              <w:textAlignment w:val="baseline"/>
              <w:rPr>
                <w:rFonts w:eastAsia="Times New Roman"/>
                <w:lang w:val="es-DO"/>
              </w:rPr>
            </w:pPr>
            <w:r w:rsidRPr="00FE2F9F">
              <w:rPr>
                <w:rFonts w:eastAsia="Times New Roman"/>
                <w:lang w:val="es-DO"/>
              </w:rPr>
              <w:t>Bancos Múltiples </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3CEF61E0" w14:textId="77777777" w:rsidR="00FE2F9F" w:rsidRPr="00FE2F9F" w:rsidRDefault="00FE2F9F" w:rsidP="006B204A">
            <w:pPr>
              <w:spacing w:after="0" w:line="240" w:lineRule="auto"/>
              <w:jc w:val="center"/>
              <w:textAlignment w:val="baseline"/>
              <w:rPr>
                <w:rFonts w:eastAsia="Times New Roman"/>
                <w:lang w:val="es-DO"/>
              </w:rPr>
            </w:pPr>
            <w:r w:rsidRPr="00FE2F9F">
              <w:rPr>
                <w:rFonts w:eastAsia="Times New Roman"/>
                <w:lang w:val="es-DO"/>
              </w:rPr>
              <w:t>28 </w:t>
            </w:r>
          </w:p>
        </w:tc>
      </w:tr>
      <w:tr w:rsidR="00FE2F9F" w:rsidRPr="00FE2F9F" w14:paraId="430244C4" w14:textId="77777777" w:rsidTr="000356E0">
        <w:trPr>
          <w:trHeight w:val="315"/>
          <w:jc w:val="center"/>
        </w:trPr>
        <w:tc>
          <w:tcPr>
            <w:tcW w:w="513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4FF3FCB2" w14:textId="77777777" w:rsidR="00FE2F9F" w:rsidRPr="00FE2F9F" w:rsidRDefault="00FE2F9F" w:rsidP="006B204A">
            <w:pPr>
              <w:spacing w:after="0" w:line="240" w:lineRule="auto"/>
              <w:textAlignment w:val="baseline"/>
              <w:rPr>
                <w:rFonts w:eastAsia="Times New Roman"/>
                <w:lang w:val="es-DO"/>
              </w:rPr>
            </w:pPr>
            <w:r w:rsidRPr="00FE2F9F">
              <w:rPr>
                <w:rFonts w:eastAsia="Times New Roman"/>
                <w:lang w:val="es-DO"/>
              </w:rPr>
              <w:t>Agentes de Cambio </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5E321952" w14:textId="77777777" w:rsidR="00FE2F9F" w:rsidRPr="00FE2F9F" w:rsidRDefault="00FE2F9F" w:rsidP="006B204A">
            <w:pPr>
              <w:spacing w:after="0" w:line="240" w:lineRule="auto"/>
              <w:jc w:val="center"/>
              <w:textAlignment w:val="baseline"/>
              <w:rPr>
                <w:rFonts w:eastAsia="Times New Roman"/>
                <w:lang w:val="es-DO"/>
              </w:rPr>
            </w:pPr>
            <w:r w:rsidRPr="00FE2F9F">
              <w:rPr>
                <w:rFonts w:eastAsia="Times New Roman"/>
                <w:lang w:val="es-DO"/>
              </w:rPr>
              <w:t>8 </w:t>
            </w:r>
          </w:p>
        </w:tc>
      </w:tr>
      <w:tr w:rsidR="00FE2F9F" w:rsidRPr="00FE2F9F" w14:paraId="3073DF98" w14:textId="77777777" w:rsidTr="000356E0">
        <w:trPr>
          <w:trHeight w:val="315"/>
          <w:jc w:val="center"/>
        </w:trPr>
        <w:tc>
          <w:tcPr>
            <w:tcW w:w="513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4914F536" w14:textId="77777777" w:rsidR="00FE2F9F" w:rsidRPr="00FE2F9F" w:rsidRDefault="00FE2F9F" w:rsidP="006B204A">
            <w:pPr>
              <w:spacing w:after="0" w:line="240" w:lineRule="auto"/>
              <w:textAlignment w:val="baseline"/>
              <w:rPr>
                <w:rFonts w:eastAsia="Times New Roman"/>
                <w:lang w:val="es-DO"/>
              </w:rPr>
            </w:pPr>
            <w:r w:rsidRPr="00FE2F9F">
              <w:rPr>
                <w:rFonts w:eastAsia="Times New Roman"/>
                <w:lang w:val="es-DO"/>
              </w:rPr>
              <w:t>Bancos de Ahorro y Crédito </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440FE292" w14:textId="77777777" w:rsidR="00FE2F9F" w:rsidRPr="00FE2F9F" w:rsidRDefault="00FE2F9F" w:rsidP="006B204A">
            <w:pPr>
              <w:spacing w:after="0" w:line="240" w:lineRule="auto"/>
              <w:jc w:val="center"/>
              <w:textAlignment w:val="baseline"/>
              <w:rPr>
                <w:rFonts w:eastAsia="Times New Roman"/>
                <w:lang w:val="es-DO"/>
              </w:rPr>
            </w:pPr>
            <w:r w:rsidRPr="00FE2F9F">
              <w:rPr>
                <w:rFonts w:eastAsia="Times New Roman"/>
                <w:lang w:val="es-DO"/>
              </w:rPr>
              <w:t>5 </w:t>
            </w:r>
          </w:p>
        </w:tc>
      </w:tr>
      <w:tr w:rsidR="00FE2F9F" w:rsidRPr="00FE2F9F" w14:paraId="1FD3F8FE" w14:textId="77777777" w:rsidTr="000356E0">
        <w:trPr>
          <w:trHeight w:val="315"/>
          <w:jc w:val="center"/>
        </w:trPr>
        <w:tc>
          <w:tcPr>
            <w:tcW w:w="513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68559AEA" w14:textId="77777777" w:rsidR="00FE2F9F" w:rsidRPr="00FE2F9F" w:rsidRDefault="00FE2F9F" w:rsidP="006B204A">
            <w:pPr>
              <w:spacing w:after="0" w:line="240" w:lineRule="auto"/>
              <w:textAlignment w:val="baseline"/>
              <w:rPr>
                <w:rFonts w:eastAsia="Times New Roman"/>
                <w:lang w:val="es-DO"/>
              </w:rPr>
            </w:pPr>
            <w:r w:rsidRPr="00FE2F9F">
              <w:rPr>
                <w:rFonts w:eastAsia="Times New Roman"/>
                <w:lang w:val="es-DO"/>
              </w:rPr>
              <w:t>Asociaciones de Ahorros y Préstamos </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3724F4E6" w14:textId="77777777" w:rsidR="00FE2F9F" w:rsidRPr="00FE2F9F" w:rsidRDefault="00FE2F9F" w:rsidP="006B204A">
            <w:pPr>
              <w:spacing w:after="0" w:line="240" w:lineRule="auto"/>
              <w:jc w:val="center"/>
              <w:textAlignment w:val="baseline"/>
              <w:rPr>
                <w:rFonts w:eastAsia="Times New Roman"/>
                <w:lang w:val="es-DO"/>
              </w:rPr>
            </w:pPr>
            <w:r w:rsidRPr="00FE2F9F">
              <w:rPr>
                <w:rFonts w:eastAsia="Times New Roman"/>
                <w:lang w:val="es-DO"/>
              </w:rPr>
              <w:t>8 </w:t>
            </w:r>
          </w:p>
        </w:tc>
      </w:tr>
      <w:tr w:rsidR="00FE2F9F" w:rsidRPr="00FE2F9F" w14:paraId="2995F84F" w14:textId="77777777" w:rsidTr="000356E0">
        <w:trPr>
          <w:trHeight w:val="315"/>
          <w:jc w:val="center"/>
        </w:trPr>
        <w:tc>
          <w:tcPr>
            <w:tcW w:w="513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2203EF28" w14:textId="77777777" w:rsidR="00FE2F9F" w:rsidRPr="00FE2F9F" w:rsidRDefault="00FE2F9F" w:rsidP="006B204A">
            <w:pPr>
              <w:spacing w:after="0" w:line="240" w:lineRule="auto"/>
              <w:textAlignment w:val="baseline"/>
              <w:rPr>
                <w:rFonts w:eastAsia="Times New Roman"/>
                <w:lang w:val="es-DO"/>
              </w:rPr>
            </w:pPr>
            <w:r w:rsidRPr="00FE2F9F">
              <w:rPr>
                <w:rFonts w:eastAsia="Times New Roman"/>
                <w:lang w:val="es-DO"/>
              </w:rPr>
              <w:t>Corporaciones Crédito </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0BFAA4EE" w14:textId="77777777" w:rsidR="00FE2F9F" w:rsidRPr="00FE2F9F" w:rsidRDefault="00FE2F9F" w:rsidP="006B204A">
            <w:pPr>
              <w:spacing w:after="0" w:line="240" w:lineRule="auto"/>
              <w:jc w:val="center"/>
              <w:textAlignment w:val="baseline"/>
              <w:rPr>
                <w:rFonts w:eastAsia="Times New Roman"/>
                <w:lang w:val="es-DO"/>
              </w:rPr>
            </w:pPr>
            <w:r w:rsidRPr="00FE2F9F">
              <w:rPr>
                <w:rFonts w:eastAsia="Times New Roman"/>
                <w:lang w:val="es-DO"/>
              </w:rPr>
              <w:t>1 </w:t>
            </w:r>
          </w:p>
        </w:tc>
      </w:tr>
      <w:tr w:rsidR="00FE2F9F" w:rsidRPr="00FE2F9F" w14:paraId="0C4516AD" w14:textId="77777777" w:rsidTr="000356E0">
        <w:trPr>
          <w:trHeight w:val="315"/>
          <w:jc w:val="center"/>
        </w:trPr>
        <w:tc>
          <w:tcPr>
            <w:tcW w:w="513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7963AADD" w14:textId="77777777" w:rsidR="00FE2F9F" w:rsidRPr="00FE2F9F" w:rsidRDefault="00FE2F9F" w:rsidP="006B204A">
            <w:pPr>
              <w:spacing w:after="0" w:line="240" w:lineRule="auto"/>
              <w:textAlignment w:val="baseline"/>
              <w:rPr>
                <w:rFonts w:eastAsia="Times New Roman"/>
                <w:lang w:val="es-DO"/>
              </w:rPr>
            </w:pPr>
            <w:r w:rsidRPr="00FE2F9F">
              <w:rPr>
                <w:rFonts w:eastAsia="Times New Roman"/>
                <w:lang w:val="es-DO"/>
              </w:rPr>
              <w:t>Agentes de Remesas y Cambio </w:t>
            </w:r>
          </w:p>
        </w:tc>
        <w:tc>
          <w:tcPr>
            <w:tcW w:w="2220" w:type="dxa"/>
            <w:tcBorders>
              <w:top w:val="single" w:sz="6" w:space="0" w:color="auto"/>
              <w:left w:val="single" w:sz="6" w:space="0" w:color="auto"/>
              <w:bottom w:val="single" w:sz="6" w:space="0" w:color="auto"/>
              <w:right w:val="single" w:sz="6" w:space="0" w:color="auto"/>
            </w:tcBorders>
            <w:shd w:val="clear" w:color="auto" w:fill="FFFFFF"/>
            <w:vAlign w:val="bottom"/>
            <w:hideMark/>
          </w:tcPr>
          <w:p w14:paraId="7F9EDB04" w14:textId="77777777" w:rsidR="00FE2F9F" w:rsidRPr="00FE2F9F" w:rsidRDefault="00FE2F9F" w:rsidP="006B204A">
            <w:pPr>
              <w:spacing w:after="0" w:line="240" w:lineRule="auto"/>
              <w:jc w:val="center"/>
              <w:textAlignment w:val="baseline"/>
              <w:rPr>
                <w:rFonts w:eastAsia="Times New Roman"/>
                <w:lang w:val="es-DO"/>
              </w:rPr>
            </w:pPr>
            <w:r w:rsidRPr="00FE2F9F">
              <w:rPr>
                <w:rFonts w:eastAsia="Times New Roman"/>
                <w:lang w:val="es-DO"/>
              </w:rPr>
              <w:t>2 </w:t>
            </w:r>
          </w:p>
        </w:tc>
      </w:tr>
      <w:tr w:rsidR="00FE2F9F" w:rsidRPr="00FE2F9F" w14:paraId="547D801B" w14:textId="77777777" w:rsidTr="000356E0">
        <w:trPr>
          <w:trHeight w:val="424"/>
          <w:jc w:val="center"/>
        </w:trPr>
        <w:tc>
          <w:tcPr>
            <w:tcW w:w="5130" w:type="dxa"/>
            <w:tcBorders>
              <w:top w:val="single" w:sz="6" w:space="0" w:color="auto"/>
              <w:left w:val="single" w:sz="6" w:space="0" w:color="auto"/>
              <w:bottom w:val="single" w:sz="6" w:space="0" w:color="auto"/>
              <w:right w:val="single" w:sz="6" w:space="0" w:color="000000"/>
            </w:tcBorders>
            <w:shd w:val="clear" w:color="auto" w:fill="011C50"/>
            <w:vAlign w:val="center"/>
            <w:hideMark/>
          </w:tcPr>
          <w:p w14:paraId="5183A5D1" w14:textId="36608854" w:rsidR="00FE2F9F" w:rsidRPr="00FE2F9F" w:rsidRDefault="00FE2F9F" w:rsidP="006B204A">
            <w:pPr>
              <w:spacing w:after="0" w:line="240" w:lineRule="auto"/>
              <w:textAlignment w:val="baseline"/>
              <w:rPr>
                <w:rFonts w:eastAsia="Times New Roman"/>
                <w:color w:val="auto"/>
                <w:spacing w:val="0"/>
                <w:lang w:val="es-DO" w:eastAsia="es-DO"/>
              </w:rPr>
            </w:pPr>
            <w:r w:rsidRPr="00FE2F9F">
              <w:rPr>
                <w:rFonts w:eastAsia="Times New Roman"/>
                <w:b/>
                <w:bCs/>
                <w:color w:val="FFFFFF"/>
                <w:spacing w:val="0"/>
                <w:lang w:val="es-DO" w:eastAsia="es-DO"/>
              </w:rPr>
              <w:t>Total</w:t>
            </w:r>
          </w:p>
        </w:tc>
        <w:tc>
          <w:tcPr>
            <w:tcW w:w="2220" w:type="dxa"/>
            <w:tcBorders>
              <w:top w:val="single" w:sz="6" w:space="0" w:color="auto"/>
              <w:left w:val="single" w:sz="6" w:space="0" w:color="auto"/>
              <w:bottom w:val="single" w:sz="6" w:space="0" w:color="auto"/>
              <w:right w:val="single" w:sz="6" w:space="0" w:color="000000"/>
            </w:tcBorders>
            <w:shd w:val="clear" w:color="auto" w:fill="011C50"/>
            <w:vAlign w:val="center"/>
            <w:hideMark/>
          </w:tcPr>
          <w:p w14:paraId="427D1AE4" w14:textId="305AD030" w:rsidR="00FE2F9F" w:rsidRPr="00FE2F9F" w:rsidRDefault="00FE2F9F" w:rsidP="006B204A">
            <w:pPr>
              <w:spacing w:after="0" w:line="240" w:lineRule="auto"/>
              <w:jc w:val="center"/>
              <w:textAlignment w:val="baseline"/>
              <w:rPr>
                <w:rFonts w:eastAsia="Times New Roman"/>
                <w:color w:val="auto"/>
                <w:spacing w:val="0"/>
                <w:lang w:val="es-DO" w:eastAsia="es-DO"/>
              </w:rPr>
            </w:pPr>
            <w:r w:rsidRPr="00FE2F9F">
              <w:rPr>
                <w:rFonts w:eastAsia="Times New Roman"/>
                <w:b/>
                <w:bCs/>
                <w:color w:val="FFFFFF"/>
                <w:spacing w:val="0"/>
                <w:lang w:val="es-DO" w:eastAsia="es-DO"/>
              </w:rPr>
              <w:t>52</w:t>
            </w:r>
          </w:p>
        </w:tc>
      </w:tr>
    </w:tbl>
    <w:p w14:paraId="67BFC5BC" w14:textId="761F6359" w:rsidR="00981281" w:rsidRPr="00D749BE" w:rsidRDefault="005A3A50" w:rsidP="006B204A">
      <w:pPr>
        <w:spacing w:line="360" w:lineRule="auto"/>
        <w:jc w:val="center"/>
        <w:rPr>
          <w:rFonts w:eastAsia="Times New Roman"/>
          <w:lang w:val="es-DO"/>
        </w:rPr>
      </w:pPr>
      <w:r w:rsidRPr="00D749BE">
        <w:rPr>
          <w:rFonts w:eastAsia="Times New Roman"/>
          <w:b/>
          <w:bCs/>
          <w:lang w:val="es-DO"/>
        </w:rPr>
        <w:t>Fuente</w:t>
      </w:r>
      <w:r w:rsidRPr="00D749BE">
        <w:rPr>
          <w:rFonts w:eastAsia="Times New Roman"/>
          <w:lang w:val="es-DO"/>
        </w:rPr>
        <w:t>: Departamento de Sanciones de la Superintendencia de Bancos de la República Dominicana.</w:t>
      </w:r>
    </w:p>
    <w:p w14:paraId="3096DD69" w14:textId="77777777" w:rsidR="006B014A" w:rsidRDefault="00981281" w:rsidP="006B204A">
      <w:pPr>
        <w:spacing w:line="360" w:lineRule="auto"/>
        <w:jc w:val="both"/>
        <w:rPr>
          <w:rFonts w:eastAsia="Times New Roman"/>
          <w:lang w:val="es-DO"/>
        </w:rPr>
      </w:pPr>
      <w:r w:rsidRPr="00981281">
        <w:rPr>
          <w:rFonts w:eastAsia="Times New Roman"/>
          <w:lang w:val="es-DO"/>
        </w:rPr>
        <w:t xml:space="preserve">  </w:t>
      </w:r>
      <w:bookmarkStart w:id="38" w:name="_Hlk89791795"/>
    </w:p>
    <w:p w14:paraId="26BD9F39" w14:textId="3A88C918" w:rsidR="007C7CBA" w:rsidRPr="00E50540" w:rsidRDefault="00C94DAB" w:rsidP="006B204A">
      <w:pPr>
        <w:spacing w:line="360" w:lineRule="auto"/>
        <w:jc w:val="center"/>
        <w:rPr>
          <w:b/>
          <w:lang w:val="es-DO"/>
        </w:rPr>
      </w:pPr>
      <w:r w:rsidRPr="00E50540">
        <w:rPr>
          <w:b/>
          <w:lang w:val="es-DO"/>
        </w:rPr>
        <w:t>3</w:t>
      </w:r>
      <w:r w:rsidR="00E52ED4" w:rsidRPr="00E50540">
        <w:rPr>
          <w:b/>
          <w:lang w:val="es-DO"/>
        </w:rPr>
        <w:t>.5 Registros y Autorizaciones</w:t>
      </w:r>
    </w:p>
    <w:p w14:paraId="509F2224" w14:textId="21826262" w:rsidR="007C7CBA" w:rsidRPr="007C7CBA" w:rsidRDefault="007C7CBA" w:rsidP="006B204A">
      <w:pPr>
        <w:spacing w:line="360" w:lineRule="auto"/>
        <w:jc w:val="both"/>
        <w:rPr>
          <w:rFonts w:eastAsia="Times New Roman"/>
          <w:lang w:val="es-DO"/>
        </w:rPr>
      </w:pPr>
      <w:r w:rsidRPr="007C7CBA">
        <w:rPr>
          <w:rFonts w:eastAsia="Times New Roman"/>
          <w:lang w:val="es-DO"/>
        </w:rPr>
        <w:t xml:space="preserve">Una de las funciones de la Superintendencia de Bancos es recibir y gestionar las solicitudes de autorizaciones, no objeciones y notificaciones realizadas por las entidades de intermediación financiera, entidades de intermediación cambiaria, oficinas de representación, sociedades de información crediticia, fiduciarias, subagentes bancarios y otras entidades vinculadas al sistema financiero. </w:t>
      </w:r>
      <w:r w:rsidR="00AD49A8">
        <w:rPr>
          <w:rFonts w:eastAsia="Times New Roman"/>
          <w:lang w:val="es-DO"/>
        </w:rPr>
        <w:t>Concomitantemente</w:t>
      </w:r>
      <w:r w:rsidRPr="008B7DCC">
        <w:rPr>
          <w:rFonts w:eastAsia="Times New Roman"/>
          <w:lang w:val="es-DO"/>
        </w:rPr>
        <w:t xml:space="preserve">, </w:t>
      </w:r>
      <w:r w:rsidR="00AD408D">
        <w:rPr>
          <w:rFonts w:eastAsia="Times New Roman"/>
          <w:lang w:val="es-DO"/>
        </w:rPr>
        <w:t>está a su cargo la actualización</w:t>
      </w:r>
      <w:r w:rsidRPr="008B7DCC">
        <w:rPr>
          <w:rFonts w:eastAsia="Times New Roman"/>
          <w:lang w:val="es-DO"/>
        </w:rPr>
        <w:t xml:space="preserve"> </w:t>
      </w:r>
      <w:r w:rsidR="00AD408D">
        <w:rPr>
          <w:rFonts w:eastAsia="Times New Roman"/>
          <w:lang w:val="es-DO"/>
        </w:rPr>
        <w:t>d</w:t>
      </w:r>
      <w:r w:rsidRPr="008B7DCC">
        <w:rPr>
          <w:rFonts w:eastAsia="Times New Roman"/>
          <w:lang w:val="es-DO"/>
        </w:rPr>
        <w:t>el</w:t>
      </w:r>
      <w:r w:rsidRPr="007C7CBA">
        <w:rPr>
          <w:rFonts w:eastAsia="Times New Roman"/>
          <w:lang w:val="es-DO"/>
        </w:rPr>
        <w:t xml:space="preserve"> </w:t>
      </w:r>
      <w:r w:rsidRPr="007C7CBA">
        <w:rPr>
          <w:rFonts w:eastAsia="Times New Roman"/>
          <w:lang w:val="es-DO"/>
        </w:rPr>
        <w:lastRenderedPageBreak/>
        <w:t>sistema de registros con la información relativa a la autorización y cumplimiento de la entidad, requerida por la normativa vigente. Bajo este rol, la Superintendencia de Bancos, verifica y evalúa los documentos de soporte sometidos por las entidades, emite opiniones técnicas, da respuesta a las solicitudes que recibe, y mantiene actualizados los registros de entidades bajo su supervisión, en las plataformas tecnológicas diseñadas para tales fines. </w:t>
      </w:r>
    </w:p>
    <w:p w14:paraId="4FF8BF8C" w14:textId="0D7AC165" w:rsidR="007C7CBA" w:rsidRPr="007C7CBA" w:rsidRDefault="007C7CBA" w:rsidP="006B204A">
      <w:pPr>
        <w:spacing w:line="360" w:lineRule="auto"/>
        <w:jc w:val="both"/>
        <w:rPr>
          <w:rFonts w:eastAsia="Times New Roman"/>
          <w:lang w:val="es-DO"/>
        </w:rPr>
      </w:pPr>
      <w:r w:rsidRPr="007C7CBA">
        <w:rPr>
          <w:rFonts w:eastAsia="Times New Roman"/>
          <w:lang w:val="es-DO"/>
        </w:rPr>
        <w:t>Dentro de los logros e hitos más significativos del año 2023, podemos resaltar los siguientes: </w:t>
      </w:r>
    </w:p>
    <w:p w14:paraId="2F001370" w14:textId="56675582" w:rsidR="007C7CBA" w:rsidRDefault="007C7CBA" w:rsidP="00CB4994">
      <w:pPr>
        <w:numPr>
          <w:ilvl w:val="0"/>
          <w:numId w:val="5"/>
        </w:numPr>
        <w:spacing w:line="360" w:lineRule="auto"/>
        <w:jc w:val="both"/>
        <w:rPr>
          <w:rFonts w:eastAsia="Times New Roman"/>
          <w:lang w:val="es-DO"/>
        </w:rPr>
      </w:pPr>
      <w:r w:rsidRPr="007C7CBA">
        <w:rPr>
          <w:rFonts w:eastAsia="Times New Roman"/>
          <w:lang w:val="es-DO"/>
        </w:rPr>
        <w:t xml:space="preserve">Entre </w:t>
      </w:r>
      <w:r w:rsidR="00F64212">
        <w:rPr>
          <w:rFonts w:eastAsia="Times New Roman"/>
          <w:lang w:val="es-DO"/>
        </w:rPr>
        <w:t xml:space="preserve">en </w:t>
      </w:r>
      <w:r w:rsidRPr="007C7CBA">
        <w:rPr>
          <w:rFonts w:eastAsia="Times New Roman"/>
          <w:lang w:val="es-DO"/>
        </w:rPr>
        <w:t xml:space="preserve">el </w:t>
      </w:r>
      <w:r w:rsidR="00F64212">
        <w:rPr>
          <w:rFonts w:eastAsia="Times New Roman"/>
          <w:lang w:val="es-DO"/>
        </w:rPr>
        <w:t>período comprendido enero y</w:t>
      </w:r>
      <w:r w:rsidRPr="007C7CBA">
        <w:rPr>
          <w:rFonts w:eastAsia="Times New Roman"/>
          <w:lang w:val="es-DO"/>
        </w:rPr>
        <w:t xml:space="preserve"> noviembre del 2023, la SB recibió 5,127 solicitudes para un incremento del 23.54% respecto al mismo periodo del año 2022. Así mismo, se respondieron 5,146 solicitudes a las entidades en diferentes trámites que incluyen autorizaciones, no objeción, respuestas, notificaciones y cumplimientos, para un incremento de 25,42 % respecto al mismo periodo del año anterior. </w:t>
      </w:r>
    </w:p>
    <w:p w14:paraId="617FAD3F" w14:textId="4EC961D7" w:rsidR="007C7CBA" w:rsidRPr="007C7CBA" w:rsidRDefault="00022266" w:rsidP="00CB4994">
      <w:pPr>
        <w:numPr>
          <w:ilvl w:val="0"/>
          <w:numId w:val="5"/>
        </w:numPr>
        <w:spacing w:line="360" w:lineRule="auto"/>
        <w:jc w:val="both"/>
        <w:rPr>
          <w:rFonts w:eastAsia="Times New Roman"/>
          <w:lang w:val="es-DO"/>
        </w:rPr>
      </w:pPr>
      <w:r>
        <w:rPr>
          <w:rFonts w:eastAsia="Times New Roman"/>
          <w:lang w:val="es-DO"/>
        </w:rPr>
        <w:t>Fueron remitidos</w:t>
      </w:r>
      <w:r w:rsidR="007C7CBA" w:rsidRPr="007C7CBA">
        <w:rPr>
          <w:rFonts w:eastAsia="Times New Roman"/>
          <w:lang w:val="es-DO"/>
        </w:rPr>
        <w:t xml:space="preserve"> 10 informes a la Junta Monetaria para autorizaciones de diferentes tópicos dentro de las atribuciones que la ley confiere</w:t>
      </w:r>
      <w:r w:rsidR="00513844">
        <w:rPr>
          <w:rFonts w:eastAsia="Times New Roman"/>
          <w:lang w:val="es-DO"/>
        </w:rPr>
        <w:t>.</w:t>
      </w:r>
      <w:r w:rsidR="007C7CBA" w:rsidRPr="007C7CBA">
        <w:rPr>
          <w:rFonts w:eastAsia="Times New Roman"/>
          <w:lang w:val="es-DO"/>
        </w:rPr>
        <w:t xml:space="preserve"> </w:t>
      </w:r>
      <w:r w:rsidR="007B52E5">
        <w:rPr>
          <w:rFonts w:eastAsia="Times New Roman"/>
          <w:lang w:val="es-DO"/>
        </w:rPr>
        <w:t xml:space="preserve">Cabe resaltar </w:t>
      </w:r>
      <w:r w:rsidR="00B545D0">
        <w:rPr>
          <w:rFonts w:eastAsia="Times New Roman"/>
          <w:lang w:val="es-DO"/>
        </w:rPr>
        <w:t>que</w:t>
      </w:r>
      <w:r w:rsidR="007B52E5">
        <w:rPr>
          <w:rFonts w:eastAsia="Times New Roman"/>
          <w:lang w:val="es-DO"/>
        </w:rPr>
        <w:t xml:space="preserve"> </w:t>
      </w:r>
      <w:r w:rsidR="006B44AF">
        <w:rPr>
          <w:rFonts w:eastAsia="Times New Roman"/>
          <w:lang w:val="es-DO"/>
        </w:rPr>
        <w:t>se</w:t>
      </w:r>
      <w:r w:rsidR="007C7CBA" w:rsidRPr="007C7CBA">
        <w:rPr>
          <w:rFonts w:eastAsia="Times New Roman"/>
          <w:lang w:val="es-DO"/>
        </w:rPr>
        <w:t xml:space="preserve"> autorizó el establecimiento de 3 oficinas de representación en las ciudades de Nueva York, Miami y Madrid, marcando un paso a la expansión internacional de las entidades supervisadas por la Superintendencia de Bancos.</w:t>
      </w:r>
    </w:p>
    <w:p w14:paraId="49D1852D" w14:textId="5F6E8231" w:rsidR="00AE7F20" w:rsidRPr="00AE7F20" w:rsidRDefault="007C7CBA" w:rsidP="00CB4994">
      <w:pPr>
        <w:numPr>
          <w:ilvl w:val="0"/>
          <w:numId w:val="6"/>
        </w:numPr>
        <w:spacing w:line="360" w:lineRule="auto"/>
        <w:jc w:val="both"/>
        <w:rPr>
          <w:rFonts w:eastAsia="Times New Roman"/>
          <w:lang w:val="es-DO"/>
        </w:rPr>
      </w:pPr>
      <w:r w:rsidRPr="007C7CBA">
        <w:rPr>
          <w:rFonts w:eastAsia="Times New Roman"/>
          <w:lang w:val="es-DO"/>
        </w:rPr>
        <w:t>Así mismo, el 92.24% de circulares</w:t>
      </w:r>
      <w:r w:rsidR="00AE7F20">
        <w:rPr>
          <w:rFonts w:eastAsia="Times New Roman"/>
          <w:lang w:val="es-DO"/>
        </w:rPr>
        <w:t xml:space="preserve"> </w:t>
      </w:r>
      <w:r w:rsidRPr="007C7CBA">
        <w:rPr>
          <w:rFonts w:eastAsia="Times New Roman"/>
          <w:lang w:val="es-DO"/>
        </w:rPr>
        <w:t>administrativas</w:t>
      </w:r>
      <w:r w:rsidR="00AE7F20">
        <w:rPr>
          <w:rFonts w:eastAsia="Times New Roman"/>
          <w:lang w:val="es-DO"/>
        </w:rPr>
        <w:t xml:space="preserve"> </w:t>
      </w:r>
      <w:r w:rsidRPr="007C7CBA">
        <w:rPr>
          <w:rFonts w:eastAsia="Times New Roman"/>
          <w:lang w:val="es-DO"/>
        </w:rPr>
        <w:t>/</w:t>
      </w:r>
      <w:r w:rsidR="00AE7F20">
        <w:rPr>
          <w:rFonts w:eastAsia="Times New Roman"/>
          <w:lang w:val="es-DO"/>
        </w:rPr>
        <w:t xml:space="preserve"> </w:t>
      </w:r>
      <w:r w:rsidRPr="007C7CBA">
        <w:rPr>
          <w:rFonts w:eastAsia="Times New Roman"/>
          <w:lang w:val="es-DO"/>
        </w:rPr>
        <w:t>comunicaciones se han respondido dentro del Acuerdo de Nivel de Servicio (ANS),</w:t>
      </w:r>
      <w:r w:rsidR="00AE7F20">
        <w:rPr>
          <w:rFonts w:eastAsia="Times New Roman"/>
          <w:lang w:val="es-DO"/>
        </w:rPr>
        <w:t xml:space="preserve"> </w:t>
      </w:r>
      <w:r w:rsidRPr="00AE7F20">
        <w:rPr>
          <w:rFonts w:eastAsia="Times New Roman"/>
          <w:lang w:val="es-DO"/>
        </w:rPr>
        <w:t xml:space="preserve">aumentando un 8.63% respecto al año anterior. Además, la extensión de la iniciativa de digitalización a las no objeciones y autorizaciones redujo un 85% el uso de papel en </w:t>
      </w:r>
      <w:r w:rsidR="00537791" w:rsidRPr="00AE7F20">
        <w:rPr>
          <w:rFonts w:eastAsia="Times New Roman"/>
          <w:lang w:val="es-DO"/>
        </w:rPr>
        <w:t>el proceso</w:t>
      </w:r>
      <w:r w:rsidRPr="00AE7F20">
        <w:rPr>
          <w:rFonts w:eastAsia="Times New Roman"/>
          <w:lang w:val="es-DO"/>
        </w:rPr>
        <w:t xml:space="preserve"> de Registros y Autorizaciones, medida alineada con los </w:t>
      </w:r>
      <w:r w:rsidRPr="00AE7F20">
        <w:rPr>
          <w:rFonts w:eastAsia="Times New Roman"/>
          <w:lang w:val="es-DO"/>
        </w:rPr>
        <w:lastRenderedPageBreak/>
        <w:t>objetivos de sostenibilidad ambiental promovidos por la institución</w:t>
      </w:r>
      <w:r w:rsidR="00AE7F20" w:rsidRPr="00AE7F20">
        <w:rPr>
          <w:rFonts w:eastAsia="Times New Roman"/>
          <w:lang w:val="es-DO"/>
        </w:rPr>
        <w:t>.</w:t>
      </w:r>
    </w:p>
    <w:p w14:paraId="395633CC" w14:textId="77E70336" w:rsidR="007C7CBA" w:rsidRPr="007C7CBA" w:rsidRDefault="0081099C" w:rsidP="00CB4994">
      <w:pPr>
        <w:numPr>
          <w:ilvl w:val="0"/>
          <w:numId w:val="7"/>
        </w:numPr>
        <w:tabs>
          <w:tab w:val="clear" w:pos="720"/>
          <w:tab w:val="num" w:pos="360"/>
        </w:tabs>
        <w:spacing w:line="360" w:lineRule="auto"/>
        <w:ind w:left="360"/>
        <w:jc w:val="both"/>
        <w:rPr>
          <w:rFonts w:eastAsia="Times New Roman"/>
          <w:lang w:val="es-DO"/>
        </w:rPr>
      </w:pPr>
      <w:r>
        <w:rPr>
          <w:rFonts w:eastAsia="Times New Roman"/>
          <w:lang w:val="es-DO"/>
        </w:rPr>
        <w:t>Fueron completad</w:t>
      </w:r>
      <w:r w:rsidR="004004D8">
        <w:rPr>
          <w:rFonts w:eastAsia="Times New Roman"/>
          <w:lang w:val="es-DO"/>
        </w:rPr>
        <w:t>as</w:t>
      </w:r>
      <w:r w:rsidR="007C7CBA" w:rsidRPr="007C7CBA">
        <w:rPr>
          <w:rFonts w:eastAsia="Times New Roman"/>
          <w:lang w:val="es-DO"/>
        </w:rPr>
        <w:t xml:space="preserve"> exitosamente 35 solicitudes de autorizaciones </w:t>
      </w:r>
      <w:r w:rsidR="00D821D4">
        <w:rPr>
          <w:rFonts w:eastAsia="Times New Roman"/>
          <w:lang w:val="es-DO"/>
        </w:rPr>
        <w:t>de</w:t>
      </w:r>
      <w:r w:rsidR="00EC38B6">
        <w:rPr>
          <w:rFonts w:eastAsia="Times New Roman"/>
          <w:lang w:val="es-DO"/>
        </w:rPr>
        <w:t xml:space="preserve"> </w:t>
      </w:r>
      <w:r w:rsidR="00544807" w:rsidRPr="008B7DCC">
        <w:rPr>
          <w:rFonts w:eastAsia="Times New Roman"/>
          <w:lang w:val="es-DO"/>
        </w:rPr>
        <w:t>apertura de sucursales y agencias en el territorio nacional</w:t>
      </w:r>
      <w:r w:rsidR="007C7CBA" w:rsidRPr="007C7CBA">
        <w:rPr>
          <w:rFonts w:eastAsia="Times New Roman"/>
          <w:lang w:val="es-DO"/>
        </w:rPr>
        <w:t>. </w:t>
      </w:r>
    </w:p>
    <w:p w14:paraId="1722307B" w14:textId="672C966A" w:rsidR="00E52ED4" w:rsidRDefault="007C7CBA" w:rsidP="00CB4994">
      <w:pPr>
        <w:numPr>
          <w:ilvl w:val="0"/>
          <w:numId w:val="8"/>
        </w:numPr>
        <w:tabs>
          <w:tab w:val="clear" w:pos="720"/>
          <w:tab w:val="num" w:pos="360"/>
        </w:tabs>
        <w:spacing w:line="360" w:lineRule="auto"/>
        <w:ind w:left="360"/>
        <w:jc w:val="both"/>
        <w:rPr>
          <w:rFonts w:eastAsia="Times New Roman"/>
          <w:lang w:val="es-DO"/>
        </w:rPr>
      </w:pPr>
      <w:r w:rsidRPr="007C7CBA">
        <w:rPr>
          <w:rFonts w:eastAsia="Times New Roman"/>
          <w:lang w:val="es-DO"/>
        </w:rPr>
        <w:t>Así mismo, se registró exitosamente 729 nuevos subagentes bancarios para una disminución de un 17.53% respecto al año anterior. </w:t>
      </w:r>
      <w:r w:rsidR="00981281" w:rsidRPr="007C7CBA">
        <w:rPr>
          <w:rFonts w:eastAsia="Times New Roman"/>
          <w:lang w:val="es-DO"/>
        </w:rPr>
        <w:t xml:space="preserve">  </w:t>
      </w:r>
    </w:p>
    <w:p w14:paraId="6BA14D7B" w14:textId="77777777" w:rsidR="003E735A" w:rsidRPr="007C7CBA" w:rsidRDefault="003E735A" w:rsidP="003E735A">
      <w:pPr>
        <w:spacing w:line="360" w:lineRule="auto"/>
        <w:jc w:val="both"/>
        <w:rPr>
          <w:rFonts w:eastAsia="Times New Roman"/>
          <w:lang w:val="es-DO"/>
        </w:rPr>
      </w:pPr>
    </w:p>
    <w:p w14:paraId="15AAA678" w14:textId="42FA28C2" w:rsidR="00E52ED4" w:rsidRPr="00C865B6" w:rsidRDefault="00C94DAB" w:rsidP="006B204A">
      <w:pPr>
        <w:pStyle w:val="Estilo3"/>
        <w:spacing w:before="0" w:after="160" w:line="360" w:lineRule="auto"/>
        <w:rPr>
          <w:b/>
          <w:iCs w:val="0"/>
          <w:szCs w:val="24"/>
        </w:rPr>
      </w:pPr>
      <w:bookmarkStart w:id="39" w:name="_Toc122435010"/>
      <w:bookmarkStart w:id="40" w:name="_Toc123046915"/>
      <w:bookmarkStart w:id="41" w:name="_Toc155354613"/>
      <w:bookmarkEnd w:id="38"/>
      <w:r>
        <w:rPr>
          <w:b/>
          <w:iCs w:val="0"/>
          <w:szCs w:val="24"/>
        </w:rPr>
        <w:t>3</w:t>
      </w:r>
      <w:r w:rsidR="00E52ED4" w:rsidRPr="00C865B6">
        <w:rPr>
          <w:b/>
          <w:iCs w:val="0"/>
          <w:szCs w:val="24"/>
        </w:rPr>
        <w:t>.6 Regulación</w:t>
      </w:r>
      <w:bookmarkEnd w:id="39"/>
      <w:bookmarkEnd w:id="40"/>
      <w:bookmarkEnd w:id="41"/>
    </w:p>
    <w:p w14:paraId="7AE637A1" w14:textId="636557AE" w:rsidR="008F1ED6" w:rsidRPr="008F1ED6" w:rsidRDefault="008F1ED6" w:rsidP="006B204A">
      <w:pPr>
        <w:pBdr>
          <w:top w:val="nil"/>
          <w:left w:val="nil"/>
          <w:bottom w:val="nil"/>
          <w:right w:val="nil"/>
          <w:between w:val="nil"/>
          <w:bar w:val="nil"/>
        </w:pBdr>
        <w:suppressAutoHyphens/>
        <w:spacing w:line="360" w:lineRule="auto"/>
        <w:jc w:val="both"/>
        <w:rPr>
          <w:u w:color="000000"/>
          <w:lang w:val="es-DO"/>
        </w:rPr>
      </w:pPr>
      <w:r w:rsidRPr="008F1ED6">
        <w:rPr>
          <w:u w:color="000000"/>
          <w:lang w:val="es-DO"/>
        </w:rPr>
        <w:t xml:space="preserve">La Superintendencia de Bancos, en su rol de regulador que le confiere la Ley Núm. 183-02 Monetaria y Financiera, </w:t>
      </w:r>
      <w:r w:rsidR="006A2566">
        <w:rPr>
          <w:u w:color="000000"/>
          <w:lang w:val="es-DO"/>
        </w:rPr>
        <w:t>bajo el mandato de la Junta Monetaria</w:t>
      </w:r>
      <w:r w:rsidR="00893D4D">
        <w:rPr>
          <w:u w:color="000000"/>
          <w:lang w:val="es-DO"/>
        </w:rPr>
        <w:t>,</w:t>
      </w:r>
      <w:r w:rsidRPr="008B7DCC">
        <w:rPr>
          <w:u w:color="000000"/>
          <w:lang w:val="es-DO"/>
        </w:rPr>
        <w:t xml:space="preserve"> </w:t>
      </w:r>
      <w:r w:rsidRPr="008F1ED6">
        <w:rPr>
          <w:u w:color="000000"/>
          <w:lang w:val="es-DO"/>
        </w:rPr>
        <w:t>junto con el Banco Central</w:t>
      </w:r>
      <w:r w:rsidRPr="008B7DCC">
        <w:rPr>
          <w:u w:color="000000"/>
          <w:lang w:val="es-DO"/>
        </w:rPr>
        <w:t>,</w:t>
      </w:r>
      <w:r w:rsidRPr="008F1ED6">
        <w:rPr>
          <w:u w:color="000000"/>
          <w:lang w:val="es-DO"/>
        </w:rPr>
        <w:t xml:space="preserve"> tiene la tarea de gestionar la formulación, emisión y actualización de las disposiciones normativas, relativas a leyes, reglamentos, resoluciones, instructivos, circulares y cartas circulares, dirigidas a salvaguardar la estabilidad del sistema financiero. </w:t>
      </w:r>
    </w:p>
    <w:p w14:paraId="7420809B" w14:textId="4AC0DCDE" w:rsidR="008F1ED6" w:rsidRPr="00D57AB6" w:rsidRDefault="008F1ED6" w:rsidP="006B204A">
      <w:pPr>
        <w:pBdr>
          <w:between w:val="nil"/>
          <w:bar w:val="nil"/>
        </w:pBdr>
        <w:suppressAutoHyphens/>
        <w:spacing w:line="360" w:lineRule="auto"/>
        <w:jc w:val="both"/>
        <w:rPr>
          <w:bCs/>
          <w:u w:color="000000"/>
          <w:lang w:val="es-DO"/>
        </w:rPr>
      </w:pPr>
      <w:r w:rsidRPr="008F1ED6">
        <w:rPr>
          <w:bCs/>
          <w:u w:color="000000"/>
          <w:lang w:val="es-DO"/>
        </w:rPr>
        <w:t>Durante el año 2023, la Superintendencia de Bancos publicó catorce (14) Circulares, un (1) instructivo y dieciocho (18) Cartas Circulares</w:t>
      </w:r>
      <w:r w:rsidR="0015138B">
        <w:rPr>
          <w:bCs/>
          <w:u w:color="000000"/>
          <w:lang w:val="es-DO"/>
        </w:rPr>
        <w:t>, las cuales se detallan a continuación:</w:t>
      </w:r>
    </w:p>
    <w:p w14:paraId="1DF2A5C2" w14:textId="6444B592" w:rsidR="008F1ED6" w:rsidRPr="00E26490" w:rsidRDefault="008F1ED6" w:rsidP="00CB4994">
      <w:pPr>
        <w:pStyle w:val="Prrafodelista"/>
        <w:numPr>
          <w:ilvl w:val="0"/>
          <w:numId w:val="14"/>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Circular SB: Núm. 001/23 del 10 de enero de 2023 “Modificación de la Circular SB: Núm. 015/22 sobre actualización del proceso automatizado para la recepción y respuesta de las solicitudes realizadas por las entidades supervisadas, así como, de las informaciones y documentos requeridos por la Superintendencia de Bancos y autoridades competentes”.</w:t>
      </w:r>
    </w:p>
    <w:p w14:paraId="00CDC93D" w14:textId="157A6EA0" w:rsidR="008F1ED6" w:rsidRPr="00E26490" w:rsidRDefault="008F1ED6" w:rsidP="00CB4994">
      <w:pPr>
        <w:pStyle w:val="Prrafodelista"/>
        <w:numPr>
          <w:ilvl w:val="0"/>
          <w:numId w:val="14"/>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 xml:space="preserve">Circular SB: Núm. 002/23 del 6 de marzo de 2023 “Modificar el anexo del Instructivo para la Estandarización de las </w:t>
      </w:r>
      <w:r w:rsidRPr="00E26490">
        <w:rPr>
          <w:rFonts w:ascii="Times New Roman" w:eastAsiaTheme="minorHAnsi" w:hAnsi="Times New Roman"/>
          <w:color w:val="767171"/>
          <w:spacing w:val="20"/>
          <w:sz w:val="24"/>
          <w:szCs w:val="24"/>
          <w:u w:color="000000"/>
        </w:rPr>
        <w:lastRenderedPageBreak/>
        <w:t>Reclamaciones realizadas por los Usuarios de los Servicios Financieros aprobado en la Circular SB: Núm. 009/10, modificado por la Circular SB: núm. 015/21 que establece los lineamientos para el cumplimiento de las disposiciones del Reglamento de Protección al Usuario de los Productos y Servicios Financieros y del Instructivo para la Estandarización de las Reclamaciones realizadas por los Usuarios de los Servicios Financieros”.</w:t>
      </w:r>
    </w:p>
    <w:p w14:paraId="369443C7" w14:textId="0E39DAA5" w:rsidR="008F1ED6" w:rsidRPr="0015138B" w:rsidRDefault="008F1ED6" w:rsidP="00CB4994">
      <w:pPr>
        <w:pStyle w:val="Prrafodelista"/>
        <w:numPr>
          <w:ilvl w:val="0"/>
          <w:numId w:val="14"/>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Circular SB: Núm. 003/23 del 14 de marzo de 2023 “Establecer los plazos y requerimientos de información para someter solicitudes de autorización, no objeción y notificaciones de las entidades supervisadas por la Superintendencia de Bancos”. La Circular modifica la Circular SB: No.005/14 sobre Plazos y Requerimientos de Información para someter solicitudes de autorización y no objeción, así como notificaciones de las Entidades de Intermediación Financiera y Cambiaria para actualizar los requerimientos de las solicitudes de acuerdo con la normativa vigente.</w:t>
      </w:r>
    </w:p>
    <w:p w14:paraId="186DA9E5" w14:textId="5009F0A0" w:rsidR="008F1ED6" w:rsidRPr="0015138B" w:rsidRDefault="008F1ED6" w:rsidP="00CB4994">
      <w:pPr>
        <w:pStyle w:val="Prrafodelista"/>
        <w:numPr>
          <w:ilvl w:val="0"/>
          <w:numId w:val="14"/>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Circular SB: Núm. 004/23 del 25 de mayo de 2023 “Lineamientos para la presentación de modelos de negocios, productos o servicios novedosos a implementar en ambiente de prueba”. La citada Circular,</w:t>
      </w:r>
      <w:r w:rsidR="004E327B">
        <w:rPr>
          <w:rFonts w:ascii="Times New Roman" w:eastAsiaTheme="minorHAnsi" w:hAnsi="Times New Roman"/>
          <w:color w:val="767171"/>
          <w:spacing w:val="20"/>
          <w:sz w:val="24"/>
          <w:szCs w:val="24"/>
          <w:u w:color="000000"/>
        </w:rPr>
        <w:t xml:space="preserve"> establece los lineamientos que deben cumplir las entidades para salvaguardar los derechos de los usuarios de los pro</w:t>
      </w:r>
      <w:r w:rsidR="001A2776">
        <w:rPr>
          <w:rFonts w:ascii="Times New Roman" w:eastAsiaTheme="minorHAnsi" w:hAnsi="Times New Roman"/>
          <w:color w:val="767171"/>
          <w:spacing w:val="20"/>
          <w:sz w:val="24"/>
          <w:szCs w:val="24"/>
          <w:u w:color="000000"/>
        </w:rPr>
        <w:t>ductos y servicios financieros</w:t>
      </w:r>
      <w:r w:rsidR="005B46C7">
        <w:rPr>
          <w:rFonts w:ascii="Times New Roman" w:eastAsiaTheme="minorHAnsi" w:hAnsi="Times New Roman"/>
          <w:color w:val="767171"/>
          <w:spacing w:val="20"/>
          <w:sz w:val="24"/>
          <w:szCs w:val="24"/>
          <w:u w:color="000000"/>
        </w:rPr>
        <w:t>. Fomenta</w:t>
      </w:r>
      <w:r w:rsidRPr="00E26490">
        <w:rPr>
          <w:rFonts w:ascii="Times New Roman" w:eastAsiaTheme="minorHAnsi" w:hAnsi="Times New Roman"/>
          <w:color w:val="767171"/>
          <w:spacing w:val="20"/>
          <w:sz w:val="24"/>
          <w:szCs w:val="24"/>
          <w:u w:color="000000"/>
        </w:rPr>
        <w:t xml:space="preserve"> </w:t>
      </w:r>
      <w:r w:rsidR="00940E7B">
        <w:rPr>
          <w:rFonts w:ascii="Times New Roman" w:eastAsiaTheme="minorHAnsi" w:hAnsi="Times New Roman"/>
          <w:color w:val="767171"/>
          <w:spacing w:val="20"/>
          <w:sz w:val="24"/>
          <w:szCs w:val="24"/>
          <w:u w:color="000000"/>
        </w:rPr>
        <w:t>la transparencia del s</w:t>
      </w:r>
      <w:r w:rsidR="006F04C9">
        <w:rPr>
          <w:rFonts w:ascii="Times New Roman" w:eastAsiaTheme="minorHAnsi" w:hAnsi="Times New Roman"/>
          <w:color w:val="767171"/>
          <w:spacing w:val="20"/>
          <w:sz w:val="24"/>
          <w:szCs w:val="24"/>
          <w:u w:color="000000"/>
        </w:rPr>
        <w:t xml:space="preserve">istema financiero </w:t>
      </w:r>
      <w:r w:rsidR="00A8433A">
        <w:rPr>
          <w:rFonts w:ascii="Times New Roman" w:eastAsiaTheme="minorHAnsi" w:hAnsi="Times New Roman"/>
          <w:color w:val="767171"/>
          <w:spacing w:val="20"/>
          <w:sz w:val="24"/>
          <w:szCs w:val="24"/>
          <w:u w:color="000000"/>
        </w:rPr>
        <w:t xml:space="preserve">y </w:t>
      </w:r>
      <w:r w:rsidR="007C5BE4">
        <w:rPr>
          <w:rFonts w:ascii="Times New Roman" w:eastAsiaTheme="minorHAnsi" w:hAnsi="Times New Roman"/>
          <w:color w:val="767171"/>
          <w:spacing w:val="20"/>
          <w:sz w:val="24"/>
          <w:szCs w:val="24"/>
          <w:u w:color="000000"/>
        </w:rPr>
        <w:t>la seguridad jurídica de sus usuarios,</w:t>
      </w:r>
      <w:r w:rsidR="006F04C9">
        <w:rPr>
          <w:rFonts w:ascii="Times New Roman" w:eastAsiaTheme="minorHAnsi" w:hAnsi="Times New Roman"/>
          <w:color w:val="767171"/>
          <w:spacing w:val="20"/>
          <w:sz w:val="24"/>
          <w:szCs w:val="24"/>
          <w:u w:color="000000"/>
        </w:rPr>
        <w:t xml:space="preserve"> sin restringir la creación</w:t>
      </w:r>
      <w:r w:rsidRPr="00E26490">
        <w:rPr>
          <w:rFonts w:ascii="Times New Roman" w:eastAsiaTheme="minorHAnsi" w:hAnsi="Times New Roman"/>
          <w:color w:val="767171"/>
          <w:spacing w:val="20"/>
          <w:sz w:val="24"/>
          <w:szCs w:val="24"/>
          <w:u w:color="000000"/>
        </w:rPr>
        <w:t xml:space="preserve"> de mecanismos, productos y servicios bancarios de vanguardia.</w:t>
      </w:r>
    </w:p>
    <w:p w14:paraId="30559AEF" w14:textId="440B0045"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bookmarkStart w:id="42" w:name="_Hlk151540413"/>
      <w:r w:rsidRPr="00E26490">
        <w:rPr>
          <w:rFonts w:ascii="Times New Roman" w:eastAsiaTheme="minorHAnsi" w:hAnsi="Times New Roman"/>
          <w:color w:val="767171"/>
          <w:spacing w:val="20"/>
          <w:sz w:val="24"/>
          <w:szCs w:val="24"/>
          <w:u w:color="000000"/>
        </w:rPr>
        <w:t>Circular SB: Núm. 005/23 del 10 de agosto de 2023 “</w:t>
      </w:r>
      <w:bookmarkEnd w:id="42"/>
      <w:r w:rsidRPr="00E26490">
        <w:rPr>
          <w:rFonts w:ascii="Times New Roman" w:eastAsiaTheme="minorHAnsi" w:hAnsi="Times New Roman"/>
          <w:color w:val="767171"/>
          <w:spacing w:val="20"/>
          <w:sz w:val="24"/>
          <w:szCs w:val="24"/>
          <w:u w:color="000000"/>
        </w:rPr>
        <w:t xml:space="preserve">Tratamiento y uso de cuentas para el registro de las provisiones constituidas </w:t>
      </w:r>
      <w:r w:rsidRPr="00E26490">
        <w:rPr>
          <w:rFonts w:ascii="Times New Roman" w:eastAsiaTheme="minorHAnsi" w:hAnsi="Times New Roman"/>
          <w:color w:val="767171"/>
          <w:spacing w:val="20"/>
          <w:sz w:val="24"/>
          <w:szCs w:val="24"/>
          <w:u w:color="000000"/>
        </w:rPr>
        <w:lastRenderedPageBreak/>
        <w:t>que exceden el requerimiento normativo”. Esta disposición, permite diferenciar las provisiones mínimas requeridas por la regulación conforme al Reglamento de Evaluación de Activos, de aquellas provisiones adicionales que las entidades decidan constituir sobre la base de una metodología interna que contemple las estrategias de negocio, el deterioro de la cartera y el riesgo que este representa, o en base a las políticas aprobada por el Consejo; así como de aquellas provisiones que las entidades constituyan para hacer frente al riesgo potencial de los activos y contingentes relacionados a las variaciones en el ciclo económico.</w:t>
      </w:r>
    </w:p>
    <w:p w14:paraId="3DAADD74" w14:textId="3796A115"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w:t>
      </w:r>
      <w:bookmarkStart w:id="43" w:name="_Hlk151541700"/>
      <w:r w:rsidRPr="00E26490">
        <w:rPr>
          <w:rFonts w:ascii="Times New Roman" w:eastAsiaTheme="minorHAnsi" w:hAnsi="Times New Roman"/>
          <w:color w:val="767171"/>
          <w:spacing w:val="20"/>
          <w:sz w:val="24"/>
          <w:szCs w:val="24"/>
          <w:u w:color="000000"/>
        </w:rPr>
        <w:t>ircular SB: Núm. 006/23 del 10 de agosto de 2023 “</w:t>
      </w:r>
      <w:bookmarkEnd w:id="43"/>
      <w:r w:rsidRPr="00E26490">
        <w:rPr>
          <w:rFonts w:ascii="Times New Roman" w:eastAsiaTheme="minorHAnsi" w:hAnsi="Times New Roman"/>
          <w:color w:val="767171"/>
          <w:spacing w:val="20"/>
          <w:sz w:val="24"/>
          <w:szCs w:val="24"/>
          <w:u w:color="000000"/>
        </w:rPr>
        <w:t xml:space="preserve">Implementación del sello de identificación de los subagentes bancarios y de cambio de las entidades de intermediación financiera e intermediarios cambiarios registrados en la Superintendencia de Bancos”. En esta Circular se aprueba y se pone en vigencia el sello de identificación </w:t>
      </w:r>
      <w:r w:rsidR="00700BFA">
        <w:rPr>
          <w:rFonts w:ascii="Times New Roman" w:eastAsiaTheme="minorHAnsi" w:hAnsi="Times New Roman"/>
          <w:color w:val="767171"/>
          <w:spacing w:val="20"/>
          <w:sz w:val="24"/>
          <w:szCs w:val="24"/>
          <w:u w:color="000000"/>
        </w:rPr>
        <w:t>que</w:t>
      </w:r>
      <w:r w:rsidRPr="00E26490">
        <w:rPr>
          <w:rFonts w:ascii="Times New Roman" w:eastAsiaTheme="minorHAnsi" w:hAnsi="Times New Roman"/>
          <w:color w:val="767171"/>
          <w:spacing w:val="20"/>
          <w:sz w:val="24"/>
          <w:szCs w:val="24"/>
          <w:u w:color="000000"/>
        </w:rPr>
        <w:t xml:space="preserve"> los subagentes bancarios y subagentes de cambio registrados en este ente supervisor deberán utilizar en sus establecimientos comerciales abiertos al público.</w:t>
      </w:r>
    </w:p>
    <w:p w14:paraId="62C7FF4E" w14:textId="64CA6879"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 xml:space="preserve">Circular SB: Núm. 007/23 del 17 de agosto de 2023 “Aprobar y poner en vigencia la modificación integral del “Instructivo sobre Instrumentos de Captación de Fondos del Público”. Esta Circular dispone lo siguiente: Modificar el nombre del “Instructivo para la Emisión, Renovación, Cancelación y Control de Certificados Financieros, Depósitos a Plazo y Demás Instrumentos Similares”, por “Instructivo sobre Instrumentos de Captación de Fondos del Público”, para actualizar los diferentes instrumentos de captación y canales existentes en el mercado financiero. Aprueba y pone en vigencia el “Instructivo sobre Instrumentos de Captación de </w:t>
      </w:r>
      <w:r w:rsidRPr="00E26490">
        <w:rPr>
          <w:rFonts w:ascii="Times New Roman" w:eastAsiaTheme="minorHAnsi" w:hAnsi="Times New Roman"/>
          <w:color w:val="767171"/>
          <w:spacing w:val="20"/>
          <w:sz w:val="24"/>
          <w:szCs w:val="24"/>
          <w:u w:color="000000"/>
        </w:rPr>
        <w:lastRenderedPageBreak/>
        <w:t>Fondos del Público” con el objetivo de establecer los lineamientos mínimos que deberán observar las EIF para la apertura, emisión, renovación, cancelación o cierre y control de los productos de captación de recursos del público, así como, los diferentes canales que podrán utilizar las entidades para realizar estas operaciones.</w:t>
      </w:r>
    </w:p>
    <w:p w14:paraId="1255FFE6" w14:textId="7C0A4AB3"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bookmarkStart w:id="44" w:name="_Hlk151542470"/>
      <w:r w:rsidRPr="00E26490">
        <w:rPr>
          <w:rFonts w:ascii="Times New Roman" w:eastAsiaTheme="minorHAnsi" w:hAnsi="Times New Roman"/>
          <w:color w:val="767171"/>
          <w:spacing w:val="20"/>
          <w:sz w:val="24"/>
          <w:szCs w:val="24"/>
          <w:u w:color="000000"/>
        </w:rPr>
        <w:t>Circular SB: Núm. 008/23 del 1 de septiembre de 2023 “</w:t>
      </w:r>
      <w:bookmarkEnd w:id="44"/>
      <w:r w:rsidRPr="00E26490">
        <w:rPr>
          <w:rFonts w:ascii="Times New Roman" w:eastAsiaTheme="minorHAnsi" w:hAnsi="Times New Roman"/>
          <w:color w:val="767171"/>
          <w:spacing w:val="20"/>
          <w:sz w:val="24"/>
          <w:szCs w:val="24"/>
          <w:u w:color="000000"/>
        </w:rPr>
        <w:t>Implementación del sello de identificación de las personas jurídicas de objeto exclusivo que pertenezcan o presten servicios de fideicomiso (fiduciarias) a una EIF o a su controladora”. La implementación del sello contribuye a que los usuarios puedan identificar las personas jurídicas de objeto exclusivo que pertenecen o presten servicios de fideicomiso (fiduciarias) a una EIF o a su controladora, que son supervisadas por la Superintendencia de Bancos.</w:t>
      </w:r>
    </w:p>
    <w:p w14:paraId="1E5DE5F6" w14:textId="0B47BAC5"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bookmarkStart w:id="45" w:name="_Hlk151543241"/>
      <w:r w:rsidRPr="00E26490">
        <w:rPr>
          <w:rFonts w:ascii="Times New Roman" w:eastAsiaTheme="minorHAnsi" w:hAnsi="Times New Roman"/>
          <w:color w:val="767171"/>
          <w:spacing w:val="20"/>
          <w:sz w:val="24"/>
          <w:szCs w:val="24"/>
          <w:u w:color="000000"/>
        </w:rPr>
        <w:t>Circular SB: Núm. 009/23 del 3 de octubre de 2023 “</w:t>
      </w:r>
      <w:bookmarkEnd w:id="45"/>
      <w:r w:rsidRPr="00E26490">
        <w:rPr>
          <w:rFonts w:ascii="Times New Roman" w:eastAsiaTheme="minorHAnsi" w:hAnsi="Times New Roman"/>
          <w:color w:val="767171"/>
          <w:spacing w:val="20"/>
          <w:sz w:val="24"/>
          <w:szCs w:val="24"/>
          <w:u w:color="000000"/>
        </w:rPr>
        <w:t>Transparencia de la información publicada a los cuentahabientes sobre el estatus y la disponibilidad de los fondos provenientes de cheques depositados en ventanilla, dispositivo móvil o cajero automático”.  Esta circular establece que la información en la consulta de balance y estados de cuenta presentada en los canales dispuestos por las entidades reflejen de forma exacta y desagregada el estatus de los fondos correspondientes a los cheques recibidos a través de ventanilla, dispositivo móvil o cajero automático.</w:t>
      </w:r>
    </w:p>
    <w:p w14:paraId="5EE1EFE9" w14:textId="0CAA85F4"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 xml:space="preserve">Circular SB: Núm. 010/23 del 16 de octubre de 2023 “Extensión del plazo para la implementación del sello de identificación de los subagentes bancarios y de cambio de las entidades de intermediación financiera e intermediarios cambiarios registrados </w:t>
      </w:r>
      <w:r w:rsidRPr="00E26490">
        <w:rPr>
          <w:rFonts w:ascii="Times New Roman" w:eastAsiaTheme="minorHAnsi" w:hAnsi="Times New Roman"/>
          <w:color w:val="767171"/>
          <w:spacing w:val="20"/>
          <w:sz w:val="24"/>
          <w:szCs w:val="24"/>
          <w:u w:color="000000"/>
        </w:rPr>
        <w:lastRenderedPageBreak/>
        <w:t xml:space="preserve">en la Superintendencia de Bancos puesta en vigencia mediante la Circular SB: CSB-REG-2002300006”. Esta circular extiende hasta el veintiuno (21) de diciembre de 2023 el plazo otorgado a las entidades de intermediación financiera y los intermediarios cambiarios para la correcta descarga del sello de identificación y </w:t>
      </w:r>
      <w:r w:rsidR="00590BA0">
        <w:rPr>
          <w:rFonts w:ascii="Times New Roman" w:eastAsiaTheme="minorHAnsi" w:hAnsi="Times New Roman"/>
          <w:color w:val="767171"/>
          <w:spacing w:val="20"/>
          <w:sz w:val="24"/>
          <w:szCs w:val="24"/>
          <w:u w:color="000000"/>
        </w:rPr>
        <w:t>su colocación</w:t>
      </w:r>
      <w:r w:rsidRPr="00E26490">
        <w:rPr>
          <w:rFonts w:ascii="Times New Roman" w:eastAsiaTheme="minorHAnsi" w:hAnsi="Times New Roman"/>
          <w:color w:val="767171"/>
          <w:spacing w:val="20"/>
          <w:sz w:val="24"/>
          <w:szCs w:val="24"/>
          <w:u w:color="000000"/>
        </w:rPr>
        <w:t xml:space="preserve"> de manera visible en los establecimientos de los subagentes bancarios y de los subagentes de cambio.</w:t>
      </w:r>
    </w:p>
    <w:p w14:paraId="1D299970" w14:textId="796ABD3F" w:rsidR="008F1ED6" w:rsidRPr="008B7DCC"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hAnsi="Times New Roman"/>
          <w:color w:val="767171"/>
          <w:spacing w:val="20"/>
          <w:szCs w:val="24"/>
          <w:u w:color="000000"/>
        </w:rPr>
      </w:pPr>
      <w:r w:rsidRPr="0015138B">
        <w:rPr>
          <w:rFonts w:ascii="Times New Roman" w:eastAsiaTheme="minorHAnsi" w:hAnsi="Times New Roman"/>
          <w:color w:val="767171"/>
          <w:spacing w:val="20"/>
          <w:sz w:val="24"/>
          <w:szCs w:val="24"/>
          <w:u w:color="000000"/>
        </w:rPr>
        <w:t>Circular SB: Núm. 011/23 del 15 de noviembre de 2023 “Modificación del “Manual de Contabilidad para Entidades Supervisadas”, para adecuar la clasificación de los equivalentes de efectivo a los estándares contables de las Normas Internacionales de Información Financiera (NIIF). Esta Circular dispone modificar el “Manual de Contabilidad para Entidades Supervisadas” para adecuar el criterio que deben aplicar las entidades para determinar que activos cumplen con la definición de “Equivalentes de Efectivo”, conforme a las Normas Internacionales de Información Financiera (NIIF).</w:t>
      </w:r>
    </w:p>
    <w:p w14:paraId="19421940" w14:textId="4A333AA8"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Circular SB: Núm. 012/23 del 17 de noviembre de 2023 “Modificación del Instructivo sobre Planes de Regularización”. Este establece los aspectos mínimos que deberán considerar las EIF en la elaboración y presentación de los planes de regularización cuando estos sean requeridos por la Superintendencia de Bancos por incumplimientos a las regulaciones vigentes.</w:t>
      </w:r>
    </w:p>
    <w:p w14:paraId="0A58CB95" w14:textId="5ABE084A" w:rsidR="008F1ED6"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EastAsia" w:hAnsi="Times New Roman"/>
          <w:color w:val="767171"/>
          <w:spacing w:val="20"/>
          <w:sz w:val="24"/>
          <w:szCs w:val="24"/>
        </w:rPr>
      </w:pPr>
      <w:r w:rsidRPr="7F757E9A">
        <w:rPr>
          <w:rFonts w:ascii="Times New Roman" w:eastAsiaTheme="minorEastAsia" w:hAnsi="Times New Roman"/>
          <w:color w:val="767171"/>
          <w:spacing w:val="20"/>
          <w:sz w:val="24"/>
          <w:szCs w:val="24"/>
        </w:rPr>
        <w:t xml:space="preserve">Circular SB: Núm. 013/23 del 22 de noviembre de 2023 “Actualizar el algoritmo que generará el </w:t>
      </w:r>
      <w:r w:rsidR="003706DD">
        <w:rPr>
          <w:rFonts w:ascii="Times New Roman" w:eastAsiaTheme="minorEastAsia" w:hAnsi="Times New Roman"/>
          <w:color w:val="767171"/>
          <w:spacing w:val="20"/>
          <w:sz w:val="24"/>
          <w:szCs w:val="24"/>
        </w:rPr>
        <w:t>c</w:t>
      </w:r>
      <w:r w:rsidRPr="7F757E9A">
        <w:rPr>
          <w:rFonts w:ascii="Times New Roman" w:eastAsiaTheme="minorEastAsia" w:hAnsi="Times New Roman"/>
          <w:color w:val="767171"/>
          <w:spacing w:val="20"/>
          <w:sz w:val="24"/>
          <w:szCs w:val="24"/>
        </w:rPr>
        <w:t xml:space="preserve">ódigo de verificación, que se asignará al momento de contratar un instrumento de captación, exceptuando las cuentas de ahorro, corrientes y los </w:t>
      </w:r>
      <w:r w:rsidRPr="7F757E9A">
        <w:rPr>
          <w:rFonts w:ascii="Times New Roman" w:eastAsiaTheme="minorEastAsia" w:hAnsi="Times New Roman"/>
          <w:color w:val="767171"/>
          <w:spacing w:val="20"/>
          <w:sz w:val="24"/>
          <w:szCs w:val="24"/>
        </w:rPr>
        <w:lastRenderedPageBreak/>
        <w:t>instrumentos de oferta pública”. Esta Carta Circular dispone la actualización del algoritmo de encriptación seguro -</w:t>
      </w:r>
      <w:bookmarkStart w:id="46" w:name="_Int_3D8LQYrq"/>
      <w:proofErr w:type="spellStart"/>
      <w:r w:rsidRPr="7F757E9A">
        <w:rPr>
          <w:rFonts w:ascii="Times New Roman" w:eastAsiaTheme="minorEastAsia" w:hAnsi="Times New Roman"/>
          <w:color w:val="767171"/>
          <w:spacing w:val="20"/>
          <w:sz w:val="24"/>
          <w:szCs w:val="24"/>
        </w:rPr>
        <w:t>Secure</w:t>
      </w:r>
      <w:bookmarkEnd w:id="46"/>
      <w:proofErr w:type="spellEnd"/>
      <w:r w:rsidRPr="7F757E9A">
        <w:rPr>
          <w:rFonts w:ascii="Times New Roman" w:eastAsiaTheme="minorEastAsia" w:hAnsi="Times New Roman"/>
          <w:color w:val="767171"/>
          <w:spacing w:val="20"/>
          <w:sz w:val="24"/>
          <w:szCs w:val="24"/>
        </w:rPr>
        <w:t xml:space="preserve"> Hash </w:t>
      </w:r>
      <w:bookmarkStart w:id="47" w:name="_Int_5MDZ0coW"/>
      <w:proofErr w:type="spellStart"/>
      <w:r w:rsidRPr="7F757E9A">
        <w:rPr>
          <w:rFonts w:ascii="Times New Roman" w:eastAsiaTheme="minorEastAsia" w:hAnsi="Times New Roman"/>
          <w:color w:val="767171"/>
          <w:spacing w:val="20"/>
          <w:sz w:val="24"/>
          <w:szCs w:val="24"/>
        </w:rPr>
        <w:t>Algorith</w:t>
      </w:r>
      <w:bookmarkEnd w:id="47"/>
      <w:proofErr w:type="spellEnd"/>
      <w:r w:rsidRPr="7F757E9A">
        <w:rPr>
          <w:rFonts w:ascii="Times New Roman" w:eastAsiaTheme="minorEastAsia" w:hAnsi="Times New Roman"/>
          <w:color w:val="767171"/>
          <w:spacing w:val="20"/>
          <w:sz w:val="24"/>
          <w:szCs w:val="24"/>
        </w:rPr>
        <w:t xml:space="preserve"> (SHA, por sus siglas en inglés) SHA1, por el “SHA3-256”, para generar el código hash (Código de Verificación) al momento de contratar un instrumento de captación. Requiere a las entidades remitir con el nuevo algoritmo la base de datos completa de los instrumentos de captación emitidos a la fecha del reporte. </w:t>
      </w:r>
    </w:p>
    <w:p w14:paraId="5D0635BA" w14:textId="40D1EC57" w:rsidR="0015138B" w:rsidRPr="0015138B" w:rsidRDefault="008F1ED6" w:rsidP="00CB4994">
      <w:pPr>
        <w:pStyle w:val="Prrafodelista"/>
        <w:numPr>
          <w:ilvl w:val="0"/>
          <w:numId w:val="11"/>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Circular SB: Núm. 014/23 del 23 de noviembre de 2023 “Lineamientos y reiteraciones para el cumplimiento de las disposiciones contenidas en la Ley núm. 172-13, que tiene por objeto la protección integral de los datos personales asentados en archivos, registros públicos, bancos de datos u otros medios técnicos de tratamiento de datos destinados a dar informes, sean estos públicos o privados”.</w:t>
      </w:r>
    </w:p>
    <w:p w14:paraId="219B8B0B" w14:textId="19150B81" w:rsidR="00CA473C" w:rsidRPr="00CA473C" w:rsidRDefault="008F1ED6" w:rsidP="00CA473C">
      <w:pPr>
        <w:pStyle w:val="Prrafodelista"/>
        <w:numPr>
          <w:ilvl w:val="0"/>
          <w:numId w:val="11"/>
        </w:numPr>
        <w:pBdr>
          <w:top w:val="nil"/>
          <w:left w:val="nil"/>
          <w:bottom w:val="nil"/>
          <w:right w:val="nil"/>
          <w:between w:val="nil"/>
          <w:bar w:val="nil"/>
        </w:pBdr>
        <w:suppressAutoHyphens/>
        <w:spacing w:line="360" w:lineRule="auto"/>
        <w:ind w:left="357" w:hanging="357"/>
        <w:contextualSpacing w:val="0"/>
        <w:jc w:val="both"/>
        <w:rPr>
          <w:rFonts w:ascii="Times New Roman" w:eastAsiaTheme="minorHAnsi" w:hAnsi="Times New Roman"/>
          <w:color w:val="767171"/>
          <w:spacing w:val="20"/>
          <w:sz w:val="24"/>
          <w:szCs w:val="24"/>
          <w:u w:color="000000"/>
        </w:rPr>
      </w:pPr>
      <w:r w:rsidRPr="005B6D4F">
        <w:rPr>
          <w:rFonts w:ascii="Times New Roman" w:eastAsiaTheme="minorHAnsi" w:hAnsi="Times New Roman"/>
          <w:color w:val="767171"/>
          <w:spacing w:val="20"/>
          <w:sz w:val="24"/>
          <w:szCs w:val="24"/>
          <w:u w:color="000000"/>
        </w:rPr>
        <w:t>Circular SB: Núm. 015/23 del 23 de noviembre de 2023 “Lineamientos para las entidades dar cumplimiento a las solicitudes de exclusión realizadas por los usuarios, en los procesos de venta y mercadeo de productos y servicios financieros”. Esta Circular habilita un canal digital a través de la herramienta ProUsuario Digital para que los usuarios puedan solicitar ser contactados o no para el ofrecimiento de productos o servicios bancarios. Dispone que las entidades deben acceder diariamente al Portal del SB Interactivo, en la sección “Lista de Exclusión” (</w:t>
      </w:r>
      <w:hyperlink r:id="rId19" w:history="1">
        <w:r w:rsidRPr="005B6D4F">
          <w:rPr>
            <w:rFonts w:ascii="Times New Roman" w:eastAsiaTheme="minorHAnsi" w:hAnsi="Times New Roman"/>
            <w:color w:val="767171"/>
            <w:sz w:val="24"/>
            <w:u w:color="000000"/>
          </w:rPr>
          <w:t>https://sbinteractivo.sb.gob.do/Account/Signin</w:t>
        </w:r>
      </w:hyperlink>
      <w:r w:rsidRPr="005B6D4F">
        <w:rPr>
          <w:rFonts w:ascii="Times New Roman" w:eastAsiaTheme="minorHAnsi" w:hAnsi="Times New Roman"/>
          <w:color w:val="767171"/>
          <w:spacing w:val="20"/>
          <w:sz w:val="24"/>
          <w:szCs w:val="24"/>
          <w:u w:color="000000"/>
        </w:rPr>
        <w:t>), para descargar las solicitudes de inclusión/exclusión de los usuarios en el ofrecimiento de productos o servicios bancarios.</w:t>
      </w:r>
    </w:p>
    <w:p w14:paraId="1897BB0E" w14:textId="5C40E234" w:rsidR="008F1ED6" w:rsidRPr="00E26490" w:rsidRDefault="001E3A59" w:rsidP="004372EE">
      <w:pPr>
        <w:pStyle w:val="Prrafodelista"/>
        <w:pBdr>
          <w:top w:val="nil"/>
          <w:left w:val="nil"/>
          <w:bottom w:val="nil"/>
          <w:right w:val="nil"/>
          <w:between w:val="nil"/>
          <w:bar w:val="nil"/>
        </w:pBdr>
        <w:suppressAutoHyphens/>
        <w:spacing w:line="360" w:lineRule="auto"/>
        <w:ind w:left="0"/>
        <w:contextualSpacing w:val="0"/>
        <w:jc w:val="both"/>
        <w:rPr>
          <w:u w:color="000000"/>
        </w:rPr>
      </w:pPr>
      <w:r w:rsidRPr="005B6D4F">
        <w:rPr>
          <w:rFonts w:ascii="Times New Roman" w:eastAsiaTheme="minorHAnsi" w:hAnsi="Times New Roman"/>
          <w:color w:val="767171"/>
          <w:spacing w:val="20"/>
          <w:sz w:val="24"/>
          <w:szCs w:val="24"/>
          <w:u w:color="000000"/>
        </w:rPr>
        <w:t>En otro orden, s</w:t>
      </w:r>
      <w:r w:rsidR="008F1ED6" w:rsidRPr="000C3D28">
        <w:rPr>
          <w:rFonts w:ascii="Times New Roman" w:eastAsiaTheme="minorHAnsi" w:hAnsi="Times New Roman"/>
          <w:color w:val="767171"/>
          <w:spacing w:val="20"/>
          <w:sz w:val="24"/>
          <w:szCs w:val="24"/>
          <w:u w:color="000000"/>
        </w:rPr>
        <w:t>e han emitido las siguientes Cartas Circulares:</w:t>
      </w:r>
    </w:p>
    <w:p w14:paraId="4C440852" w14:textId="31D47E56"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lastRenderedPageBreak/>
        <w:t>Carta Circular SB: Núm. 001/23 del 27 de enero de 2023 “Publicación del Balance de Comprobación Analítico 2023 (Versión 3)”. En esta versión se incluyen determinadas cuentas contingentes y de orden para el registro de las operaciones de derivados a los fines de la determinación de la Posición Neta en Moneda Extranjera (PNME) de las EIF; se eliminan determinadas cuentas del analítico, y se incluye el dígito 2 para el registro en moneda extranjera en cuentas específicas.</w:t>
      </w:r>
    </w:p>
    <w:p w14:paraId="698BAD16" w14:textId="4F4137EA" w:rsidR="008F1ED6" w:rsidRPr="0015138B"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 xml:space="preserve">Carta Circular SB: Núm. 002/23 del 2 de marzo de 2023 “Informar sobre las disposiciones establecidas en la Ley núm. 45-20 de Garantías Mobiliarias e implementación del Sistema Electrónico de Garantías Mobiliarias (SEGM)”. </w:t>
      </w:r>
      <w:bookmarkStart w:id="48" w:name="_Hlk136427786"/>
      <w:r w:rsidRPr="00E26490">
        <w:rPr>
          <w:rFonts w:ascii="Times New Roman" w:eastAsiaTheme="minorHAnsi" w:hAnsi="Times New Roman"/>
          <w:color w:val="767171"/>
          <w:spacing w:val="20"/>
          <w:sz w:val="24"/>
          <w:szCs w:val="24"/>
          <w:u w:color="000000"/>
        </w:rPr>
        <w:t>Mediante</w:t>
      </w:r>
      <w:r w:rsidR="00175F55">
        <w:rPr>
          <w:rFonts w:ascii="Times New Roman" w:eastAsiaTheme="minorHAnsi" w:hAnsi="Times New Roman"/>
          <w:color w:val="767171"/>
          <w:spacing w:val="20"/>
          <w:sz w:val="24"/>
          <w:szCs w:val="24"/>
          <w:u w:color="000000"/>
        </w:rPr>
        <w:t xml:space="preserve"> esta</w:t>
      </w:r>
      <w:r w:rsidRPr="00E26490">
        <w:rPr>
          <w:rFonts w:ascii="Times New Roman" w:eastAsiaTheme="minorHAnsi" w:hAnsi="Times New Roman"/>
          <w:color w:val="767171"/>
          <w:spacing w:val="20"/>
          <w:sz w:val="24"/>
          <w:szCs w:val="24"/>
          <w:u w:color="000000"/>
        </w:rPr>
        <w:t xml:space="preserve"> Carta Circular </w:t>
      </w:r>
      <w:bookmarkEnd w:id="48"/>
      <w:r w:rsidRPr="00E26490">
        <w:rPr>
          <w:rFonts w:ascii="Times New Roman" w:eastAsiaTheme="minorHAnsi" w:hAnsi="Times New Roman"/>
          <w:color w:val="767171"/>
          <w:spacing w:val="20"/>
          <w:sz w:val="24"/>
          <w:szCs w:val="24"/>
          <w:u w:color="000000"/>
        </w:rPr>
        <w:t>se exhorta a las EIF a que tomen conocimiento del nuevo proceso de constitución, publicidad, prelación y ejecución de las garantías mobiliarias, en virtud de la entrada en vigor de la citada Ley; y que formalicen su inscripción como usuario dentro del sistema. También se exhorta a las EIF realizar el proceso de migración de las garantías vigentes contratadas y registradas previo al 20 de enero de 2023, en un plazo de noventa (90) días a partir de la puesta en marcha del sistema y a dar cumplimiento a las disposiciones que emitan las instituciones competentes sobre los temas concernientes a la citada Ley y al SEGM.</w:t>
      </w:r>
    </w:p>
    <w:p w14:paraId="2E7C0760" w14:textId="01CE3700"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Carta Circular SB: Núm. 003/23 del 22 de marzo de 2023 “Nota aclaratoria sobre el Reporte PEP1 – Personas Expuestas Políticamente del Manual de Requerimientos de Información de la Administración Monetaria y Financiera”. Las consideraciones referidas en la Carta Circular aclara</w:t>
      </w:r>
      <w:r w:rsidR="00A34CEC">
        <w:rPr>
          <w:rFonts w:ascii="Times New Roman" w:eastAsiaTheme="minorHAnsi" w:hAnsi="Times New Roman"/>
          <w:color w:val="767171"/>
          <w:spacing w:val="20"/>
          <w:sz w:val="24"/>
          <w:szCs w:val="24"/>
          <w:u w:color="000000"/>
        </w:rPr>
        <w:t>n</w:t>
      </w:r>
      <w:r w:rsidRPr="00E26490">
        <w:rPr>
          <w:rFonts w:ascii="Times New Roman" w:eastAsiaTheme="minorHAnsi" w:hAnsi="Times New Roman"/>
          <w:color w:val="767171"/>
          <w:spacing w:val="20"/>
          <w:sz w:val="24"/>
          <w:szCs w:val="24"/>
          <w:u w:color="000000"/>
        </w:rPr>
        <w:t xml:space="preserve"> que el Reporte PEP1-Personas Expuestas Políticamente permite la inclusión tanto de personas físicas como jurídicas</w:t>
      </w:r>
      <w:r w:rsidR="00F314FD">
        <w:rPr>
          <w:rFonts w:ascii="Times New Roman" w:eastAsiaTheme="minorHAnsi" w:hAnsi="Times New Roman"/>
          <w:color w:val="767171"/>
          <w:spacing w:val="20"/>
          <w:sz w:val="24"/>
          <w:szCs w:val="24"/>
          <w:u w:color="000000"/>
        </w:rPr>
        <w:t>,</w:t>
      </w:r>
      <w:r w:rsidRPr="00E26490">
        <w:rPr>
          <w:rFonts w:ascii="Times New Roman" w:eastAsiaTheme="minorHAnsi" w:hAnsi="Times New Roman"/>
          <w:color w:val="767171"/>
          <w:spacing w:val="20"/>
          <w:sz w:val="24"/>
          <w:szCs w:val="24"/>
          <w:u w:color="000000"/>
        </w:rPr>
        <w:t xml:space="preserve"> sobre las cuales recae la </w:t>
      </w:r>
      <w:r w:rsidRPr="00E26490">
        <w:rPr>
          <w:rFonts w:ascii="Times New Roman" w:eastAsiaTheme="minorHAnsi" w:hAnsi="Times New Roman"/>
          <w:color w:val="767171"/>
          <w:spacing w:val="20"/>
          <w:sz w:val="24"/>
          <w:szCs w:val="24"/>
          <w:u w:color="000000"/>
        </w:rPr>
        <w:lastRenderedPageBreak/>
        <w:t>condición de PEP por elección o nombramientos ejecutivos, así como los relacionados a este por vinculación o como asociado cercano, incluyendo estos, los patrimonios separados en los cuales el PEP mantenga control social o accionario igual o superior al 20%, sea beneficiario final de este, o se haya constituido en su beneficio. Los reportes también permiten establecer la distinción entre la PEP y sus vinculados, así como, aplicar procedimientos de debida diligencia basados en riesgo, de conformidad con el párrafo contenido en el artículo 46 de la Ley Núm. 155-17 Contra el Lavado de Activos y el Financiamiento del Terrorismo.</w:t>
      </w:r>
    </w:p>
    <w:p w14:paraId="45990AA6" w14:textId="3683932D" w:rsidR="008F1ED6" w:rsidRPr="0015138B"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Carta Circular SB: Núm. 004/23 del 31 de marzo de 2023 “Remisión de los Planes Estratégicos a través del Portal de la Administración Monetaria y Financiera (PAMF) para el año 2023”. Esta Carta Circular notifica que el envío de los Planes Estratégicos con sus proyecciones financieras correspondientes a este año 2023 se hará en formato PDF mediante el Reporte “AP01 - Planes Estratégicos”, hasta tanto se realicen los cambios para hacer posible la recepción automatizada a través del Portal de la Administración Monetaria y Financiera (PAMF).</w:t>
      </w:r>
    </w:p>
    <w:p w14:paraId="27D6F5A9" w14:textId="00864E76" w:rsidR="008F1ED6" w:rsidRPr="0015138B"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bookmarkStart w:id="49" w:name="_Hlk152750245"/>
      <w:r w:rsidRPr="00E26490">
        <w:rPr>
          <w:rFonts w:ascii="Times New Roman" w:eastAsiaTheme="minorHAnsi" w:hAnsi="Times New Roman"/>
          <w:color w:val="767171"/>
          <w:spacing w:val="20"/>
          <w:sz w:val="24"/>
          <w:szCs w:val="24"/>
          <w:u w:color="000000"/>
        </w:rPr>
        <w:t xml:space="preserve">Carta Circular SB: Núm. 006/23 del 8 de mayo de 2023 “Puesta en vistas públicas la propuesta del “Instructivo para realizar Pruebas de Estrés en las Entidades de Intermediación Financiera (EIF)”. </w:t>
      </w:r>
      <w:bookmarkEnd w:id="49"/>
      <w:r w:rsidRPr="00E26490">
        <w:rPr>
          <w:rFonts w:ascii="Times New Roman" w:eastAsiaTheme="minorHAnsi" w:hAnsi="Times New Roman"/>
          <w:color w:val="767171"/>
          <w:spacing w:val="20"/>
          <w:sz w:val="24"/>
          <w:szCs w:val="24"/>
          <w:u w:color="000000"/>
        </w:rPr>
        <w:t>Las pruebas de estrés son fundamentales para que las EIF tengan una visión prospectiva de los riesgos que enfrentan. El citado Instructivo amplía los lineamientos ya provistos en el Reglamento de Gestión Integral de Riesgos del 16 de marzo de 2017, acorde a las mejores prácticas en materia de pruebas de estrés vigentes internacionalmente</w:t>
      </w:r>
      <w:r w:rsidR="002E3B56">
        <w:rPr>
          <w:rFonts w:ascii="Times New Roman" w:eastAsiaTheme="minorHAnsi" w:hAnsi="Times New Roman"/>
          <w:color w:val="767171"/>
          <w:spacing w:val="20"/>
          <w:sz w:val="24"/>
          <w:szCs w:val="24"/>
          <w:u w:color="000000"/>
        </w:rPr>
        <w:t>.</w:t>
      </w:r>
    </w:p>
    <w:p w14:paraId="7C9B1787" w14:textId="6D67F3DF"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lastRenderedPageBreak/>
        <w:t xml:space="preserve">Carta Circular SB: Núm. 007/23 del 11 de mayo de 2023 “Puesta en vistas públicas propuesta del “Instructivo sobre el Proceso de Evaluación de la Adecuación de Capital Interno (ICAAP por sus siglas en inglés)”. El Reglamento sobre Lineamientos para la Gestión Integral de Riesgos exige que las EIF deben contar con un proceso interno, integrado y global para evaluar la adecuación de su capital en función de su perfil y apetito de riesgo (ICAAP, por sus siglas en inglés) y con una estrategia para mantener sus niveles de capital a lo largo del tiempo. </w:t>
      </w:r>
      <w:r w:rsidR="006D5C36">
        <w:rPr>
          <w:rFonts w:ascii="Times New Roman" w:eastAsiaTheme="minorHAnsi" w:hAnsi="Times New Roman"/>
          <w:color w:val="767171"/>
          <w:spacing w:val="20"/>
          <w:sz w:val="24"/>
          <w:szCs w:val="24"/>
          <w:u w:color="000000"/>
        </w:rPr>
        <w:t>En adición, l</w:t>
      </w:r>
      <w:r w:rsidRPr="00E26490">
        <w:rPr>
          <w:rFonts w:ascii="Times New Roman" w:eastAsiaTheme="minorHAnsi" w:hAnsi="Times New Roman"/>
          <w:color w:val="767171"/>
          <w:spacing w:val="20"/>
          <w:sz w:val="24"/>
          <w:szCs w:val="24"/>
          <w:u w:color="000000"/>
        </w:rPr>
        <w:t>a propuesta establece los lineamientos básicos no limitativos que deberán ser tomados en consideración en el proceso interno de evaluación y planificación de las necesidades presentes y futuras de capital y las pautas a seguir en la elaboración del Informe de Autoevaluación de Capital (IAC), acorde al modelo de negocios, estrategias y apetito de riesgo definido por cada entidad</w:t>
      </w:r>
      <w:r w:rsidR="00BA3AE9">
        <w:rPr>
          <w:rFonts w:ascii="Times New Roman" w:eastAsiaTheme="minorHAnsi" w:hAnsi="Times New Roman"/>
          <w:color w:val="767171"/>
          <w:spacing w:val="20"/>
          <w:sz w:val="24"/>
          <w:szCs w:val="24"/>
          <w:u w:color="000000"/>
        </w:rPr>
        <w:t xml:space="preserve">. El apetito de riesgo </w:t>
      </w:r>
      <w:r w:rsidR="006951EC">
        <w:rPr>
          <w:rFonts w:ascii="Times New Roman" w:eastAsiaTheme="minorHAnsi" w:hAnsi="Times New Roman"/>
          <w:color w:val="767171"/>
          <w:spacing w:val="20"/>
          <w:sz w:val="24"/>
          <w:szCs w:val="24"/>
          <w:u w:color="000000"/>
        </w:rPr>
        <w:t>definido</w:t>
      </w:r>
      <w:r w:rsidR="00BA3AE9">
        <w:rPr>
          <w:rFonts w:ascii="Times New Roman" w:eastAsiaTheme="minorHAnsi" w:hAnsi="Times New Roman"/>
          <w:color w:val="767171"/>
          <w:spacing w:val="20"/>
          <w:sz w:val="24"/>
          <w:szCs w:val="24"/>
          <w:u w:color="000000"/>
        </w:rPr>
        <w:t xml:space="preserve"> ha de</w:t>
      </w:r>
      <w:r w:rsidRPr="00E26490">
        <w:rPr>
          <w:rFonts w:ascii="Times New Roman" w:eastAsiaTheme="minorHAnsi" w:hAnsi="Times New Roman"/>
          <w:color w:val="767171"/>
          <w:spacing w:val="20"/>
          <w:sz w:val="24"/>
          <w:szCs w:val="24"/>
          <w:u w:color="000000"/>
        </w:rPr>
        <w:t xml:space="preserve"> proporcional a su naturaleza, tamaño, importancia sistémica y perfil de riegos. Este </w:t>
      </w:r>
      <w:r w:rsidR="00BA3AE9">
        <w:rPr>
          <w:rFonts w:ascii="Times New Roman" w:eastAsiaTheme="minorHAnsi" w:hAnsi="Times New Roman"/>
          <w:color w:val="767171"/>
          <w:spacing w:val="20"/>
          <w:sz w:val="24"/>
          <w:szCs w:val="24"/>
          <w:u w:color="000000"/>
        </w:rPr>
        <w:t>i</w:t>
      </w:r>
      <w:r w:rsidRPr="00E26490">
        <w:rPr>
          <w:rFonts w:ascii="Times New Roman" w:eastAsiaTheme="minorHAnsi" w:hAnsi="Times New Roman"/>
          <w:color w:val="767171"/>
          <w:spacing w:val="20"/>
          <w:sz w:val="24"/>
          <w:szCs w:val="24"/>
          <w:u w:color="000000"/>
        </w:rPr>
        <w:t>nstructivo contribuye a facilitar la implementación del sistema de información y evaluación de capital requerido en el Reglamento.</w:t>
      </w:r>
    </w:p>
    <w:p w14:paraId="64E28CA7" w14:textId="3FE769E4"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Carta Circular SB: Núm. 008/23 del 19 de mayo de 2023 “Actualización del salario mínimo nacional para la determinación del nivel de endeudamiento en el otorgamiento de Microcréditos”. La citada Circular dispone que la escala mayor del salario mínimo privado será de referencia para establecer el máximo nivel de endeudamiento consolidado en el sistema financiero de una persona física o jurídica</w:t>
      </w:r>
      <w:r w:rsidR="00C93AD5">
        <w:rPr>
          <w:rFonts w:ascii="Times New Roman" w:eastAsiaTheme="minorHAnsi" w:hAnsi="Times New Roman"/>
          <w:color w:val="767171"/>
          <w:spacing w:val="20"/>
          <w:sz w:val="24"/>
          <w:szCs w:val="24"/>
          <w:u w:color="000000"/>
        </w:rPr>
        <w:t>.</w:t>
      </w:r>
      <w:r w:rsidRPr="00E26490">
        <w:rPr>
          <w:rFonts w:ascii="Times New Roman" w:eastAsiaTheme="minorHAnsi" w:hAnsi="Times New Roman"/>
          <w:color w:val="767171"/>
          <w:spacing w:val="20"/>
          <w:sz w:val="24"/>
          <w:szCs w:val="24"/>
          <w:u w:color="000000"/>
        </w:rPr>
        <w:t xml:space="preserve"> </w:t>
      </w:r>
      <w:r w:rsidR="00154FF8">
        <w:rPr>
          <w:rFonts w:ascii="Times New Roman" w:eastAsiaTheme="minorHAnsi" w:hAnsi="Times New Roman"/>
          <w:color w:val="767171"/>
          <w:spacing w:val="20"/>
          <w:sz w:val="24"/>
          <w:szCs w:val="24"/>
          <w:u w:color="000000"/>
        </w:rPr>
        <w:t>El</w:t>
      </w:r>
      <w:r w:rsidR="000A6CEB">
        <w:rPr>
          <w:rFonts w:ascii="Times New Roman" w:eastAsiaTheme="minorHAnsi" w:hAnsi="Times New Roman"/>
          <w:color w:val="767171"/>
          <w:spacing w:val="20"/>
          <w:sz w:val="24"/>
          <w:szCs w:val="24"/>
          <w:u w:color="000000"/>
        </w:rPr>
        <w:t xml:space="preserve"> nivel</w:t>
      </w:r>
      <w:r w:rsidR="00154FF8">
        <w:rPr>
          <w:rFonts w:ascii="Times New Roman" w:eastAsiaTheme="minorHAnsi" w:hAnsi="Times New Roman"/>
          <w:color w:val="767171"/>
          <w:spacing w:val="20"/>
          <w:sz w:val="24"/>
          <w:szCs w:val="24"/>
          <w:u w:color="000000"/>
        </w:rPr>
        <w:t xml:space="preserve"> </w:t>
      </w:r>
      <w:r w:rsidR="00D077AF">
        <w:rPr>
          <w:rFonts w:ascii="Times New Roman" w:eastAsiaTheme="minorHAnsi" w:hAnsi="Times New Roman"/>
          <w:color w:val="767171"/>
          <w:spacing w:val="20"/>
          <w:sz w:val="24"/>
          <w:szCs w:val="24"/>
          <w:u w:color="000000"/>
        </w:rPr>
        <w:t>máximo</w:t>
      </w:r>
      <w:r w:rsidR="000A6CEB">
        <w:rPr>
          <w:rFonts w:ascii="Times New Roman" w:eastAsiaTheme="minorHAnsi" w:hAnsi="Times New Roman"/>
          <w:color w:val="767171"/>
          <w:spacing w:val="20"/>
          <w:sz w:val="24"/>
          <w:szCs w:val="24"/>
          <w:u w:color="000000"/>
        </w:rPr>
        <w:t xml:space="preserve"> de </w:t>
      </w:r>
      <w:r w:rsidR="00154FF8">
        <w:rPr>
          <w:rFonts w:ascii="Times New Roman" w:eastAsiaTheme="minorHAnsi" w:hAnsi="Times New Roman"/>
          <w:color w:val="767171"/>
          <w:spacing w:val="20"/>
          <w:sz w:val="24"/>
          <w:szCs w:val="24"/>
          <w:u w:color="000000"/>
        </w:rPr>
        <w:t>endeudamiento</w:t>
      </w:r>
      <w:r w:rsidRPr="00E26490">
        <w:rPr>
          <w:rFonts w:ascii="Times New Roman" w:eastAsiaTheme="minorHAnsi" w:hAnsi="Times New Roman"/>
          <w:color w:val="767171"/>
          <w:spacing w:val="20"/>
          <w:sz w:val="24"/>
          <w:szCs w:val="24"/>
          <w:u w:color="000000"/>
        </w:rPr>
        <w:t xml:space="preserve"> no deberá exceder los cincuenta (50) salarios mínimos para clasificar la operación como microcrédito.</w:t>
      </w:r>
      <w:bookmarkStart w:id="50" w:name="_Hlk151544647"/>
    </w:p>
    <w:p w14:paraId="623AD12F" w14:textId="77777777"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lastRenderedPageBreak/>
        <w:t>Carta Circular SB: Núm. 009/23 del 19 de mayo de 2023 “</w:t>
      </w:r>
      <w:bookmarkEnd w:id="50"/>
      <w:r w:rsidRPr="00E26490">
        <w:rPr>
          <w:rFonts w:ascii="Times New Roman" w:eastAsiaTheme="minorHAnsi" w:hAnsi="Times New Roman"/>
          <w:color w:val="767171"/>
          <w:spacing w:val="20"/>
          <w:sz w:val="24"/>
          <w:szCs w:val="24"/>
          <w:u w:color="000000"/>
        </w:rPr>
        <w:t>Informar sobre el proyecto de radicación de los documentos emitidos por la Superintendencia de Bancos”. Esta disposición tiene la finalidad de aumentar la eficiencia y eficacia de los procesos internos, para agilizar las respuestas a los supervisados y al público en general, en cumplimiento a los ejes estratégicos sobre “Digitalización, innovación y nuevas tecnologías” y “Eficiencia y fortalecimiento institucional”.</w:t>
      </w:r>
      <w:bookmarkStart w:id="51" w:name="_Hlk151545514"/>
    </w:p>
    <w:p w14:paraId="0577F535" w14:textId="11126ACB"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EastAsia" w:hAnsi="Times New Roman"/>
          <w:color w:val="767171"/>
          <w:spacing w:val="20"/>
          <w:sz w:val="24"/>
          <w:szCs w:val="24"/>
        </w:rPr>
      </w:pPr>
      <w:r w:rsidRPr="7F757E9A">
        <w:rPr>
          <w:rFonts w:ascii="Times New Roman" w:eastAsiaTheme="minorEastAsia" w:hAnsi="Times New Roman"/>
          <w:color w:val="767171"/>
          <w:spacing w:val="20"/>
          <w:sz w:val="24"/>
          <w:szCs w:val="24"/>
        </w:rPr>
        <w:t>Carta Circular SB: Núm. 010/23 del 27 de junio de 2023 “</w:t>
      </w:r>
      <w:bookmarkEnd w:id="51"/>
      <w:r w:rsidRPr="7F757E9A">
        <w:rPr>
          <w:rFonts w:ascii="Times New Roman" w:eastAsiaTheme="minorEastAsia" w:hAnsi="Times New Roman"/>
          <w:color w:val="767171"/>
          <w:spacing w:val="20"/>
          <w:sz w:val="24"/>
          <w:szCs w:val="24"/>
        </w:rPr>
        <w:t xml:space="preserve">Informar sobre la ubicación temporal de las instalaciones de la sede de la Superintendencia de Bancos”. Esta Carta Circular informa que en el interés de adaptar el edificio sede de la Superintendencia de Bancos a estándares de seguridad estructural y normativas urbanas, se estarán realizando trabajos de readecuación en su infraestructura. Por tanto, a partir del primero (1ero) de julio del presente año la sede de la Superintendencia de Bancos estará ubicada de manera temporal en la av. Máximo Gómez núm. 92, casi esquina av. John </w:t>
      </w:r>
      <w:bookmarkStart w:id="52" w:name="_Int_o8Ni7vGs"/>
      <w:proofErr w:type="spellStart"/>
      <w:proofErr w:type="gramStart"/>
      <w:r w:rsidRPr="7F757E9A">
        <w:rPr>
          <w:rFonts w:ascii="Times New Roman" w:eastAsiaTheme="minorEastAsia" w:hAnsi="Times New Roman"/>
          <w:color w:val="767171"/>
          <w:spacing w:val="20"/>
          <w:sz w:val="24"/>
          <w:szCs w:val="24"/>
        </w:rPr>
        <w:t>F.Kennedy</w:t>
      </w:r>
      <w:bookmarkEnd w:id="52"/>
      <w:proofErr w:type="spellEnd"/>
      <w:proofErr w:type="gramEnd"/>
      <w:r w:rsidRPr="7F757E9A">
        <w:rPr>
          <w:rFonts w:ascii="Times New Roman" w:eastAsiaTheme="minorEastAsia" w:hAnsi="Times New Roman"/>
          <w:color w:val="767171"/>
          <w:spacing w:val="20"/>
          <w:sz w:val="24"/>
          <w:szCs w:val="24"/>
        </w:rPr>
        <w:t>, Ensanche Kennedy. Además, los servicios que se ofrecen en la sede, ubicada en la av. México núm. 52, esquina Leopoldo Navarro, estarán disponibles de forma habitual en la ubicación temporal indicada y que las entidades supervisadas deberán seguir utilizando los medios digitales habituales para la remisión de informaciones y documentos.</w:t>
      </w:r>
      <w:bookmarkStart w:id="53" w:name="_Hlk151546053"/>
    </w:p>
    <w:p w14:paraId="6606B2C4" w14:textId="77777777"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 xml:space="preserve">Carta Circular SB: Núm. 011/23 del 21 de agosto de 2023 </w:t>
      </w:r>
      <w:bookmarkEnd w:id="53"/>
      <w:r w:rsidRPr="00E26490">
        <w:rPr>
          <w:rFonts w:ascii="Times New Roman" w:eastAsiaTheme="minorHAnsi" w:hAnsi="Times New Roman"/>
          <w:color w:val="767171"/>
          <w:spacing w:val="20"/>
          <w:sz w:val="24"/>
          <w:szCs w:val="24"/>
          <w:u w:color="000000"/>
        </w:rPr>
        <w:t xml:space="preserve">“Establecimiento horario especial por el paso de la Tormenta Tropical Franklin”. Esta Carta Circular notifica que las EIF e intermediarios cambiarios podrán establecer un horario especial de servicios de atención al público en función de las condiciones climatológicas, a partir del martes veintidós (22) de agosto de </w:t>
      </w:r>
      <w:r w:rsidRPr="00E26490">
        <w:rPr>
          <w:rFonts w:ascii="Times New Roman" w:eastAsiaTheme="minorHAnsi" w:hAnsi="Times New Roman"/>
          <w:color w:val="767171"/>
          <w:spacing w:val="20"/>
          <w:sz w:val="24"/>
          <w:szCs w:val="24"/>
          <w:u w:color="000000"/>
        </w:rPr>
        <w:lastRenderedPageBreak/>
        <w:t>2023 y mientras persistan las mismas, como medida de precaución por el paso de la Tormenta Tropical Franklin.</w:t>
      </w:r>
    </w:p>
    <w:p w14:paraId="2A04F21B" w14:textId="77777777" w:rsidR="008F1ED6" w:rsidRPr="00E26490" w:rsidRDefault="008F1ED6"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Carta Circular SB: Núm. 012/23 del 18 de septiembre de 2023 “Puesta en vistas públicas la propuesta de modificación del “Instructivo sobre Planes de Regularización”. Esta Carta Circular informa que: En la página web de la Superintendencia de Bancos &lt;www.sb.gob.do&gt; se encuentra disponible para fines de consulta pública la propuesta de modificación del “Instructivo sobre Planes de Regularización”, la cual se realiza en cumplimiento a lo dispuesto en los artículos 59, 60 y 61 de la Ley Núm. 183-02 Monetaria y Financiera, del 21 de noviembre de 2002, que establecen el proceso de regularización desde las causales hasta la conclusión del plan.</w:t>
      </w:r>
      <w:bookmarkStart w:id="54" w:name="_Hlk151547769"/>
    </w:p>
    <w:p w14:paraId="1AC8B4AD" w14:textId="4EE4E350" w:rsidR="008F1ED6" w:rsidRPr="00E26490" w:rsidRDefault="00FD19AD" w:rsidP="00CB4994">
      <w:pPr>
        <w:pStyle w:val="Prrafodelista"/>
        <w:numPr>
          <w:ilvl w:val="0"/>
          <w:numId w:val="12"/>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r>
        <w:rPr>
          <w:rFonts w:ascii="Times New Roman" w:eastAsiaTheme="minorHAnsi" w:hAnsi="Times New Roman"/>
          <w:color w:val="767171"/>
          <w:spacing w:val="20"/>
          <w:sz w:val="24"/>
          <w:szCs w:val="24"/>
          <w:u w:color="000000"/>
        </w:rPr>
        <w:t xml:space="preserve">Carta </w:t>
      </w:r>
      <w:r w:rsidR="008F1ED6" w:rsidRPr="00E26490">
        <w:rPr>
          <w:rFonts w:ascii="Times New Roman" w:eastAsiaTheme="minorHAnsi" w:hAnsi="Times New Roman"/>
          <w:color w:val="767171"/>
          <w:spacing w:val="20"/>
          <w:sz w:val="24"/>
          <w:szCs w:val="24"/>
          <w:u w:color="000000"/>
        </w:rPr>
        <w:t xml:space="preserve">Circular SB: Núm. 014/23 del 2 de noviembre de 2023 </w:t>
      </w:r>
      <w:bookmarkEnd w:id="54"/>
      <w:r w:rsidR="008F1ED6" w:rsidRPr="00E26490">
        <w:rPr>
          <w:rFonts w:ascii="Times New Roman" w:eastAsiaTheme="minorHAnsi" w:hAnsi="Times New Roman"/>
          <w:color w:val="767171"/>
          <w:spacing w:val="20"/>
          <w:sz w:val="24"/>
          <w:szCs w:val="24"/>
          <w:u w:color="000000"/>
        </w:rPr>
        <w:t>“Puesta en vistas públicas la propuesta del “Instructivo de aplicación del reglamento de protección al usuario de los productos y servicios financieros”. El Instructivo tiene por finalidad establecer los lineamientos, requerimientos y procedimientos operativos y de control que deberán aplicar las entidades de intermediación financiera y los intermediarios cambiarios, a fin de dar cumplimiento a lo establecido en la Ley núm. 183-02 Monetaria y Financiera del 21 de noviembre de 2002 y de las disposiciones contenidas en el Reglamento de Protección al Usuario de los Productos y Servicios Financieros aprobado por la Junta Monetaria mediante Primera Resolución del 5 de febrero de 2015 y su modificación.</w:t>
      </w:r>
    </w:p>
    <w:p w14:paraId="20C81389" w14:textId="5395DCDA" w:rsidR="008F1ED6" w:rsidRPr="00E26490" w:rsidRDefault="008F1ED6" w:rsidP="00CB4994">
      <w:pPr>
        <w:pStyle w:val="Prrafodelista"/>
        <w:numPr>
          <w:ilvl w:val="0"/>
          <w:numId w:val="13"/>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bookmarkStart w:id="55" w:name="_Hlk151548155"/>
      <w:r w:rsidRPr="00E26490">
        <w:rPr>
          <w:rFonts w:ascii="Times New Roman" w:eastAsiaTheme="minorHAnsi" w:hAnsi="Times New Roman"/>
          <w:color w:val="767171"/>
          <w:spacing w:val="20"/>
          <w:sz w:val="24"/>
          <w:szCs w:val="24"/>
          <w:u w:color="000000"/>
        </w:rPr>
        <w:t xml:space="preserve">Carta Circular SB: Núm. 015/23 del 14 de noviembre de 2023 </w:t>
      </w:r>
      <w:bookmarkEnd w:id="55"/>
      <w:r w:rsidRPr="00E26490">
        <w:rPr>
          <w:rFonts w:ascii="Times New Roman" w:eastAsiaTheme="minorHAnsi" w:hAnsi="Times New Roman"/>
          <w:color w:val="767171"/>
          <w:spacing w:val="20"/>
          <w:sz w:val="24"/>
          <w:szCs w:val="24"/>
          <w:u w:color="000000"/>
        </w:rPr>
        <w:t xml:space="preserve">“Puesta en vistas públicas la propuesta de modificación del </w:t>
      </w:r>
      <w:r w:rsidRPr="00E26490">
        <w:rPr>
          <w:rFonts w:ascii="Times New Roman" w:eastAsiaTheme="minorHAnsi" w:hAnsi="Times New Roman"/>
          <w:color w:val="767171"/>
          <w:spacing w:val="20"/>
          <w:sz w:val="24"/>
          <w:szCs w:val="24"/>
          <w:u w:color="000000"/>
        </w:rPr>
        <w:lastRenderedPageBreak/>
        <w:t>“Instructivo sobre prevención del lavado de activos, financiamiento del terrorismo y de la proliferación de armas de destrucción masiva”. Con la emisión de este Instructivo se pretende ampliar los lineamientos establecidos en la Circular SIB: No. 003/18 sobre los requerimientos mínimos que deben cumplir las entidades para la implementación de un sistema de gestión de los riesgos de lavado de activos, financiamiento de terrorismo y la proliferación de armas de destrucción masiva “LAFTPADM”, acorde a la naturaleza, tamaño, organización, estructura, recursos, perfil de riesgo, importancia sistémica y complejidad de las operaciones</w:t>
      </w:r>
      <w:r w:rsidR="00317581">
        <w:rPr>
          <w:rFonts w:ascii="Times New Roman" w:eastAsiaTheme="minorHAnsi" w:hAnsi="Times New Roman"/>
          <w:color w:val="767171"/>
          <w:spacing w:val="20"/>
          <w:sz w:val="24"/>
          <w:szCs w:val="24"/>
          <w:u w:color="000000"/>
        </w:rPr>
        <w:t xml:space="preserve"> de la entidad</w:t>
      </w:r>
      <w:r w:rsidRPr="00E26490">
        <w:rPr>
          <w:rFonts w:ascii="Times New Roman" w:eastAsiaTheme="minorHAnsi" w:hAnsi="Times New Roman"/>
          <w:color w:val="767171"/>
          <w:spacing w:val="20"/>
          <w:sz w:val="24"/>
          <w:szCs w:val="24"/>
          <w:u w:color="000000"/>
        </w:rPr>
        <w:t xml:space="preserve">. </w:t>
      </w:r>
    </w:p>
    <w:p w14:paraId="08D430DA" w14:textId="72E7DBFA" w:rsidR="008F1ED6" w:rsidRPr="00E26490" w:rsidRDefault="008F1ED6" w:rsidP="00CB4994">
      <w:pPr>
        <w:pStyle w:val="Prrafodelista"/>
        <w:numPr>
          <w:ilvl w:val="0"/>
          <w:numId w:val="13"/>
        </w:numPr>
        <w:pBdr>
          <w:top w:val="nil"/>
          <w:left w:val="nil"/>
          <w:bottom w:val="nil"/>
          <w:right w:val="nil"/>
          <w:between w:val="nil"/>
          <w:bar w:val="nil"/>
        </w:pBdr>
        <w:suppressAutoHyphens/>
        <w:spacing w:line="360" w:lineRule="auto"/>
        <w:contextualSpacing w:val="0"/>
        <w:jc w:val="both"/>
        <w:rPr>
          <w:rFonts w:ascii="Times New Roman" w:eastAsiaTheme="minorHAnsi" w:hAnsi="Times New Roman"/>
          <w:color w:val="767171"/>
          <w:spacing w:val="20"/>
          <w:sz w:val="24"/>
          <w:szCs w:val="24"/>
          <w:u w:color="000000"/>
        </w:rPr>
      </w:pPr>
      <w:bookmarkStart w:id="56" w:name="_Hlk152339441"/>
      <w:r w:rsidRPr="00E26490">
        <w:rPr>
          <w:rFonts w:ascii="Times New Roman" w:eastAsiaTheme="minorHAnsi" w:hAnsi="Times New Roman"/>
          <w:color w:val="767171"/>
          <w:spacing w:val="20"/>
          <w:sz w:val="24"/>
          <w:szCs w:val="24"/>
          <w:u w:color="000000"/>
        </w:rPr>
        <w:t>Carta Circular SB: Núm. 017/23 del 23 de noviembre de 2023</w:t>
      </w:r>
      <w:bookmarkEnd w:id="56"/>
      <w:r w:rsidRPr="00E26490">
        <w:rPr>
          <w:rFonts w:ascii="Times New Roman" w:eastAsiaTheme="minorHAnsi" w:hAnsi="Times New Roman"/>
          <w:color w:val="767171"/>
          <w:spacing w:val="20"/>
          <w:sz w:val="24"/>
          <w:szCs w:val="24"/>
          <w:u w:color="000000"/>
        </w:rPr>
        <w:t xml:space="preserve"> “Informar sobre la disponibilidad de canales de denuncia de soborno, conflictos de interés e incumplimiento normativo de la Superintendencia de Bancos”. Esta Carta Circular notifica que la Superintendencia de Bancos aprobó en el mes de septiembre de 2023 una Política de Gestión Integrada</w:t>
      </w:r>
      <w:r w:rsidR="00773C2F">
        <w:rPr>
          <w:rFonts w:ascii="Times New Roman" w:eastAsiaTheme="minorHAnsi" w:hAnsi="Times New Roman"/>
          <w:color w:val="767171"/>
          <w:spacing w:val="20"/>
          <w:sz w:val="24"/>
          <w:szCs w:val="24"/>
          <w:u w:color="000000"/>
        </w:rPr>
        <w:t xml:space="preserve"> y pone a </w:t>
      </w:r>
      <w:r w:rsidR="00D824D2">
        <w:rPr>
          <w:rFonts w:ascii="Times New Roman" w:eastAsiaTheme="minorHAnsi" w:hAnsi="Times New Roman"/>
          <w:color w:val="767171"/>
          <w:spacing w:val="20"/>
          <w:sz w:val="24"/>
          <w:szCs w:val="24"/>
          <w:u w:color="000000"/>
        </w:rPr>
        <w:t xml:space="preserve">disposición del público canales para denunciar </w:t>
      </w:r>
      <w:r w:rsidR="00D93BE1">
        <w:rPr>
          <w:rFonts w:ascii="Times New Roman" w:eastAsiaTheme="minorHAnsi" w:hAnsi="Times New Roman"/>
          <w:color w:val="767171"/>
          <w:spacing w:val="20"/>
          <w:sz w:val="24"/>
          <w:szCs w:val="24"/>
          <w:u w:color="000000"/>
        </w:rPr>
        <w:t>sob</w:t>
      </w:r>
      <w:r w:rsidR="00C44CAD">
        <w:rPr>
          <w:rFonts w:ascii="Times New Roman" w:eastAsiaTheme="minorHAnsi" w:hAnsi="Times New Roman"/>
          <w:color w:val="767171"/>
          <w:spacing w:val="20"/>
          <w:sz w:val="24"/>
          <w:szCs w:val="24"/>
          <w:u w:color="000000"/>
        </w:rPr>
        <w:t xml:space="preserve">ornos, conflictos de interese e incumplimiento por parte </w:t>
      </w:r>
      <w:r w:rsidR="00C2485B">
        <w:rPr>
          <w:rFonts w:ascii="Times New Roman" w:eastAsiaTheme="minorHAnsi" w:hAnsi="Times New Roman"/>
          <w:color w:val="767171"/>
          <w:spacing w:val="20"/>
          <w:sz w:val="24"/>
          <w:szCs w:val="24"/>
          <w:u w:color="000000"/>
        </w:rPr>
        <w:t xml:space="preserve">del personal que </w:t>
      </w:r>
      <w:r w:rsidR="00AF0BD6">
        <w:rPr>
          <w:rFonts w:ascii="Times New Roman" w:eastAsiaTheme="minorHAnsi" w:hAnsi="Times New Roman"/>
          <w:color w:val="767171"/>
          <w:spacing w:val="20"/>
          <w:sz w:val="24"/>
          <w:szCs w:val="24"/>
          <w:u w:color="000000"/>
        </w:rPr>
        <w:t>actúa en su nombre</w:t>
      </w:r>
      <w:r w:rsidR="00C2485B">
        <w:rPr>
          <w:rFonts w:ascii="Times New Roman" w:eastAsiaTheme="minorHAnsi" w:hAnsi="Times New Roman"/>
          <w:color w:val="767171"/>
          <w:spacing w:val="20"/>
          <w:sz w:val="24"/>
          <w:szCs w:val="24"/>
          <w:u w:color="000000"/>
        </w:rPr>
        <w:t>.</w:t>
      </w:r>
      <w:r w:rsidRPr="00E26490">
        <w:rPr>
          <w:rFonts w:ascii="Times New Roman" w:eastAsiaTheme="minorHAnsi" w:hAnsi="Times New Roman"/>
          <w:color w:val="767171"/>
          <w:spacing w:val="20"/>
          <w:sz w:val="24"/>
          <w:szCs w:val="24"/>
          <w:u w:color="000000"/>
        </w:rPr>
        <w:t xml:space="preserve"> </w:t>
      </w:r>
      <w:r w:rsidR="00AF0BD6">
        <w:rPr>
          <w:rFonts w:ascii="Times New Roman" w:eastAsiaTheme="minorHAnsi" w:hAnsi="Times New Roman"/>
          <w:color w:val="767171"/>
          <w:spacing w:val="20"/>
          <w:sz w:val="24"/>
          <w:szCs w:val="24"/>
          <w:u w:color="000000"/>
        </w:rPr>
        <w:t xml:space="preserve">Esto </w:t>
      </w:r>
      <w:r w:rsidR="00EA68A4">
        <w:rPr>
          <w:rFonts w:ascii="Times New Roman" w:eastAsiaTheme="minorHAnsi" w:hAnsi="Times New Roman"/>
          <w:color w:val="767171"/>
          <w:spacing w:val="20"/>
          <w:sz w:val="24"/>
          <w:szCs w:val="24"/>
          <w:u w:color="000000"/>
        </w:rPr>
        <w:t>manifiesta</w:t>
      </w:r>
      <w:r w:rsidRPr="00E26490">
        <w:rPr>
          <w:rFonts w:ascii="Times New Roman" w:eastAsiaTheme="minorHAnsi" w:hAnsi="Times New Roman"/>
          <w:color w:val="767171"/>
          <w:spacing w:val="20"/>
          <w:sz w:val="24"/>
          <w:szCs w:val="24"/>
          <w:u w:color="000000"/>
        </w:rPr>
        <w:t xml:space="preserve"> el compromiso de la organización respecto a los estándares de las normas ISO 9001: 2015 / ISO 37001: 2016 sobre Sistemas de Gestión Antisoborno.</w:t>
      </w:r>
    </w:p>
    <w:p w14:paraId="4F62C262" w14:textId="2B862373" w:rsidR="008F1ED6" w:rsidRPr="00E26490" w:rsidRDefault="008F1ED6" w:rsidP="00CB4994">
      <w:pPr>
        <w:pStyle w:val="Prrafodelista"/>
        <w:numPr>
          <w:ilvl w:val="0"/>
          <w:numId w:val="13"/>
        </w:numPr>
        <w:pBdr>
          <w:top w:val="nil"/>
          <w:left w:val="nil"/>
          <w:bottom w:val="nil"/>
          <w:right w:val="nil"/>
          <w:between w:val="nil"/>
          <w:bar w:val="nil"/>
        </w:pBdr>
        <w:suppressAutoHyphens/>
        <w:spacing w:after="0" w:line="360" w:lineRule="auto"/>
        <w:contextualSpacing w:val="0"/>
        <w:jc w:val="both"/>
        <w:rPr>
          <w:rFonts w:ascii="Times New Roman" w:eastAsiaTheme="minorHAnsi" w:hAnsi="Times New Roman"/>
          <w:color w:val="767171"/>
          <w:spacing w:val="20"/>
          <w:sz w:val="24"/>
          <w:szCs w:val="24"/>
          <w:u w:color="000000"/>
        </w:rPr>
      </w:pPr>
      <w:r w:rsidRPr="00E26490">
        <w:rPr>
          <w:rFonts w:ascii="Times New Roman" w:eastAsiaTheme="minorHAnsi" w:hAnsi="Times New Roman"/>
          <w:color w:val="767171"/>
          <w:spacing w:val="20"/>
          <w:sz w:val="24"/>
          <w:szCs w:val="24"/>
          <w:u w:color="000000"/>
        </w:rPr>
        <w:t xml:space="preserve">Carta Circular SB: Núm. 018/23 del 29 de noviembre de 2023 “Puesta en vistas públicas de la propuesta de modificación del Instructivo sobre Cuentas Inactivas y/o Abandonadas en las Entidades de Intermediación Financiera”. La citada propuesta establece los criterios y procedimientos que rige el procedimiento establecido en el Reglamento sobre Cuentas Inactivas y/o Abandonadas en las Entidades de Intermediación Financiera, </w:t>
      </w:r>
      <w:r w:rsidRPr="00E26490">
        <w:rPr>
          <w:rFonts w:ascii="Times New Roman" w:eastAsiaTheme="minorHAnsi" w:hAnsi="Times New Roman"/>
          <w:color w:val="767171"/>
          <w:spacing w:val="20"/>
          <w:sz w:val="24"/>
          <w:szCs w:val="24"/>
          <w:u w:color="000000"/>
        </w:rPr>
        <w:lastRenderedPageBreak/>
        <w:t>aprobado mediante la Segunda Resolución de la Junta Monetaria del 12 de Julio del 2012.</w:t>
      </w:r>
    </w:p>
    <w:p w14:paraId="35E77281" w14:textId="7C0E28EC" w:rsidR="00E52ED4" w:rsidRPr="008B7DCC" w:rsidRDefault="00E52ED4" w:rsidP="006B204A">
      <w:pPr>
        <w:pStyle w:val="CuerpoSB"/>
        <w:spacing w:line="360" w:lineRule="auto"/>
        <w:ind w:left="0"/>
        <w:contextualSpacing w:val="0"/>
        <w:rPr>
          <w:rFonts w:ascii="Times New Roman" w:hAnsi="Times New Roman" w:cs="Times New Roman"/>
        </w:rPr>
      </w:pPr>
    </w:p>
    <w:p w14:paraId="78E8CD17" w14:textId="4D7E796E" w:rsidR="00E52ED4" w:rsidRPr="00C865B6" w:rsidRDefault="00C94DAB" w:rsidP="006B204A">
      <w:pPr>
        <w:pStyle w:val="Estilo3"/>
        <w:spacing w:before="0" w:after="160" w:line="360" w:lineRule="auto"/>
        <w:rPr>
          <w:b/>
          <w:szCs w:val="24"/>
        </w:rPr>
      </w:pPr>
      <w:bookmarkStart w:id="57" w:name="_Toc122435011"/>
      <w:bookmarkStart w:id="58" w:name="_Toc123046916"/>
      <w:bookmarkStart w:id="59" w:name="_Toc155354614"/>
      <w:r>
        <w:rPr>
          <w:b/>
          <w:szCs w:val="24"/>
        </w:rPr>
        <w:t>3</w:t>
      </w:r>
      <w:r w:rsidR="00E52ED4" w:rsidRPr="00C865B6">
        <w:rPr>
          <w:b/>
          <w:szCs w:val="24"/>
        </w:rPr>
        <w:t>.7 Promoción de la Innovación Financiera</w:t>
      </w:r>
      <w:bookmarkEnd w:id="57"/>
      <w:bookmarkEnd w:id="58"/>
      <w:bookmarkEnd w:id="59"/>
    </w:p>
    <w:p w14:paraId="65A45137" w14:textId="74788199" w:rsidR="00953E23" w:rsidRDefault="00E52ED4" w:rsidP="006B204A">
      <w:pPr>
        <w:pStyle w:val="CuerpoSB"/>
        <w:spacing w:line="360" w:lineRule="auto"/>
        <w:ind w:left="0"/>
        <w:contextualSpacing w:val="0"/>
        <w:rPr>
          <w:rFonts w:ascii="Times New Roman" w:hAnsi="Times New Roman" w:cs="Times New Roman"/>
          <w:color w:val="767171"/>
          <w:spacing w:val="20"/>
          <w:sz w:val="24"/>
          <w:szCs w:val="24"/>
        </w:rPr>
      </w:pPr>
      <w:r w:rsidRPr="00C865B6">
        <w:rPr>
          <w:rFonts w:ascii="Times New Roman" w:hAnsi="Times New Roman" w:cs="Times New Roman"/>
          <w:color w:val="767171"/>
          <w:spacing w:val="20"/>
          <w:sz w:val="24"/>
          <w:szCs w:val="24"/>
        </w:rPr>
        <w:t>Durante el año 202</w:t>
      </w:r>
      <w:r w:rsidR="00953E23">
        <w:rPr>
          <w:rFonts w:ascii="Times New Roman" w:hAnsi="Times New Roman" w:cs="Times New Roman"/>
          <w:color w:val="767171"/>
          <w:spacing w:val="20"/>
          <w:sz w:val="24"/>
          <w:szCs w:val="24"/>
        </w:rPr>
        <w:t>3</w:t>
      </w:r>
      <w:r w:rsidRPr="00C865B6">
        <w:rPr>
          <w:rFonts w:ascii="Times New Roman" w:hAnsi="Times New Roman" w:cs="Times New Roman"/>
          <w:color w:val="767171"/>
          <w:spacing w:val="20"/>
          <w:sz w:val="24"/>
          <w:szCs w:val="24"/>
        </w:rPr>
        <w:t>, la Superintendencia de Bancos realizó los siguientes proyectos con el objetivo de promover la innovación dentro del mercado bancario</w:t>
      </w:r>
      <w:r w:rsidR="00252453">
        <w:rPr>
          <w:rFonts w:ascii="Times New Roman" w:hAnsi="Times New Roman" w:cs="Times New Roman"/>
          <w:color w:val="767171"/>
          <w:spacing w:val="20"/>
          <w:sz w:val="24"/>
          <w:szCs w:val="24"/>
        </w:rPr>
        <w:t>.</w:t>
      </w:r>
    </w:p>
    <w:p w14:paraId="3CFB884C" w14:textId="75898511" w:rsidR="00B221FC" w:rsidRPr="00C772E3" w:rsidRDefault="001234E9" w:rsidP="006B204A">
      <w:pPr>
        <w:pStyle w:val="CuerpoSB"/>
        <w:spacing w:line="360" w:lineRule="auto"/>
        <w:ind w:left="0"/>
        <w:contextualSpacing w:val="0"/>
        <w:jc w:val="left"/>
        <w:rPr>
          <w:rFonts w:ascii="Times New Roman" w:hAnsi="Times New Roman" w:cs="Times New Roman"/>
          <w:b/>
          <w:bCs/>
          <w:color w:val="767171"/>
          <w:spacing w:val="20"/>
          <w:sz w:val="24"/>
          <w:szCs w:val="24"/>
        </w:rPr>
      </w:pPr>
      <w:r>
        <w:rPr>
          <w:rFonts w:ascii="Times New Roman" w:hAnsi="Times New Roman" w:cs="Times New Roman"/>
          <w:b/>
          <w:bCs/>
          <w:color w:val="767171"/>
          <w:spacing w:val="20"/>
          <w:sz w:val="24"/>
          <w:szCs w:val="24"/>
        </w:rPr>
        <w:t xml:space="preserve">Sobre la </w:t>
      </w:r>
      <w:r w:rsidR="00B221FC" w:rsidRPr="00B221FC">
        <w:rPr>
          <w:rFonts w:ascii="Times New Roman" w:hAnsi="Times New Roman" w:cs="Times New Roman"/>
          <w:b/>
          <w:bCs/>
          <w:color w:val="767171"/>
          <w:spacing w:val="20"/>
          <w:sz w:val="24"/>
          <w:szCs w:val="24"/>
        </w:rPr>
        <w:t>Alianza para la Inclusión Financiera (AFI)</w:t>
      </w:r>
    </w:p>
    <w:p w14:paraId="18A89D82" w14:textId="6152B2EE" w:rsidR="00B221FC" w:rsidRPr="00B221FC" w:rsidRDefault="00B221FC" w:rsidP="006B204A">
      <w:pPr>
        <w:pStyle w:val="CuerpoSB"/>
        <w:spacing w:line="360" w:lineRule="auto"/>
        <w:ind w:left="0"/>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Durante los meses de febrero, marzo y septiembre 2023, la Superintendencia de Bancos participó en 5 mesas de trabajo sobre: (1) Servicios Financieros Digitales, (2) Estándares Globales e Integridad. (3) Financiamiento para Pequeñas y Medianas Empresas, (4) Definición de Estrategias Nacionales de Inclusión Financiera y (5) Empoderamiento del Consumidor y Conducta del Mercado, en donde</w:t>
      </w:r>
      <w:r w:rsidR="001B1FF4">
        <w:rPr>
          <w:rFonts w:ascii="Times New Roman" w:hAnsi="Times New Roman" w:cs="Times New Roman"/>
          <w:color w:val="767171"/>
          <w:spacing w:val="20"/>
          <w:sz w:val="24"/>
          <w:szCs w:val="24"/>
        </w:rPr>
        <w:t xml:space="preserve"> se</w:t>
      </w:r>
      <w:r w:rsidRPr="00B221FC">
        <w:rPr>
          <w:rFonts w:ascii="Times New Roman" w:hAnsi="Times New Roman" w:cs="Times New Roman"/>
          <w:color w:val="767171"/>
          <w:spacing w:val="20"/>
          <w:sz w:val="24"/>
          <w:szCs w:val="24"/>
        </w:rPr>
        <w:t xml:space="preserve"> pudieron compartir buenas prácticas de políticas que apoyan el avance de la inclusión financiera en los países participantes. En el marco de estas mesas de trabajo, esta SB recibió varios reconocimientos:</w:t>
      </w:r>
    </w:p>
    <w:p w14:paraId="17AF4C29" w14:textId="77777777" w:rsidR="00B221FC" w:rsidRPr="00B221FC" w:rsidRDefault="00B221FC" w:rsidP="00CB4994">
      <w:pPr>
        <w:pStyle w:val="CuerpoSB"/>
        <w:numPr>
          <w:ilvl w:val="0"/>
          <w:numId w:val="9"/>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Premio a nuevo miembro más activo en Grupo de Trabajo AFI, y reconocimiento por diseminación de actividades y productos AFI. </w:t>
      </w:r>
    </w:p>
    <w:p w14:paraId="3B0982C2" w14:textId="77777777" w:rsidR="00B221FC" w:rsidRPr="00B221FC" w:rsidRDefault="00B221FC" w:rsidP="00CB4994">
      <w:pPr>
        <w:pStyle w:val="CuerpoSB"/>
        <w:numPr>
          <w:ilvl w:val="0"/>
          <w:numId w:val="9"/>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 xml:space="preserve">Reconocimiento como Peer </w:t>
      </w:r>
      <w:bookmarkStart w:id="60" w:name="_Int_n13DYW1r"/>
      <w:proofErr w:type="spellStart"/>
      <w:r w:rsidRPr="00B221FC">
        <w:rPr>
          <w:rFonts w:ascii="Times New Roman" w:hAnsi="Times New Roman" w:cs="Times New Roman"/>
          <w:color w:val="767171"/>
          <w:spacing w:val="20"/>
          <w:sz w:val="24"/>
          <w:szCs w:val="24"/>
        </w:rPr>
        <w:t>Reviewer</w:t>
      </w:r>
      <w:bookmarkEnd w:id="60"/>
      <w:proofErr w:type="spellEnd"/>
      <w:r w:rsidRPr="00B221FC">
        <w:rPr>
          <w:rFonts w:ascii="Times New Roman" w:hAnsi="Times New Roman" w:cs="Times New Roman"/>
          <w:color w:val="767171"/>
          <w:spacing w:val="20"/>
          <w:sz w:val="24"/>
          <w:szCs w:val="24"/>
        </w:rPr>
        <w:t xml:space="preserve"> o miembro revisor entre pares. </w:t>
      </w:r>
    </w:p>
    <w:p w14:paraId="76EA195A" w14:textId="77777777" w:rsidR="00B221FC" w:rsidRPr="00B221FC" w:rsidRDefault="00B221FC" w:rsidP="00CB4994">
      <w:pPr>
        <w:pStyle w:val="CuerpoSB"/>
        <w:numPr>
          <w:ilvl w:val="0"/>
          <w:numId w:val="9"/>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Por primera vez, se incorporan casos de la Superintendencia de Bancos de la República Dominicana entre los Casos de Estudio publicados por la AFI. </w:t>
      </w:r>
    </w:p>
    <w:p w14:paraId="0DDB7979" w14:textId="77777777" w:rsidR="00B221FC" w:rsidRPr="00B221FC" w:rsidRDefault="00B221FC" w:rsidP="00CB4994">
      <w:pPr>
        <w:pStyle w:val="CuerpoSB"/>
        <w:numPr>
          <w:ilvl w:val="0"/>
          <w:numId w:val="9"/>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Colaboración con el producto de conocimiento de AFI más consultado durante el año 2022. </w:t>
      </w:r>
    </w:p>
    <w:p w14:paraId="558292CD" w14:textId="4359F7CB" w:rsidR="00B221FC" w:rsidRPr="00B221FC" w:rsidRDefault="003C7A9C" w:rsidP="006B204A">
      <w:pPr>
        <w:pStyle w:val="CuerpoSB"/>
        <w:spacing w:line="360" w:lineRule="auto"/>
        <w:ind w:left="0"/>
        <w:contextualSpacing w:val="0"/>
        <w:rPr>
          <w:rFonts w:ascii="Times New Roman" w:hAnsi="Times New Roman" w:cs="Times New Roman"/>
          <w:color w:val="767171"/>
          <w:spacing w:val="20"/>
          <w:sz w:val="24"/>
          <w:szCs w:val="24"/>
        </w:rPr>
      </w:pPr>
      <w:r>
        <w:rPr>
          <w:rFonts w:ascii="Times New Roman" w:hAnsi="Times New Roman" w:cs="Times New Roman"/>
          <w:color w:val="767171"/>
          <w:spacing w:val="20"/>
          <w:sz w:val="24"/>
          <w:szCs w:val="24"/>
        </w:rPr>
        <w:lastRenderedPageBreak/>
        <w:t>Asimismo, fueron recibidos</w:t>
      </w:r>
      <w:r w:rsidR="00B221FC" w:rsidRPr="00B221FC">
        <w:rPr>
          <w:rFonts w:ascii="Times New Roman" w:hAnsi="Times New Roman" w:cs="Times New Roman"/>
          <w:color w:val="767171"/>
          <w:spacing w:val="20"/>
          <w:sz w:val="24"/>
          <w:szCs w:val="24"/>
        </w:rPr>
        <w:t xml:space="preserve"> en el país </w:t>
      </w:r>
      <w:r w:rsidR="00A20C44">
        <w:rPr>
          <w:rFonts w:ascii="Times New Roman" w:hAnsi="Times New Roman" w:cs="Times New Roman"/>
          <w:color w:val="767171"/>
          <w:spacing w:val="20"/>
          <w:sz w:val="24"/>
          <w:szCs w:val="24"/>
        </w:rPr>
        <w:t>18</w:t>
      </w:r>
      <w:r w:rsidR="00A20C44" w:rsidRPr="00B221FC">
        <w:rPr>
          <w:rFonts w:ascii="Times New Roman" w:hAnsi="Times New Roman" w:cs="Times New Roman"/>
          <w:color w:val="767171"/>
          <w:spacing w:val="20"/>
          <w:sz w:val="24"/>
          <w:szCs w:val="24"/>
        </w:rPr>
        <w:t xml:space="preserve"> expertos en Inclusión Financiera para Latinoamérica y el Caribe (FILAC), de la Alianza para la Inclusión Financiera (AFI)</w:t>
      </w:r>
      <w:r w:rsidR="00B221FC" w:rsidRPr="00B221FC">
        <w:rPr>
          <w:rFonts w:ascii="Times New Roman" w:hAnsi="Times New Roman" w:cs="Times New Roman"/>
          <w:color w:val="767171"/>
          <w:spacing w:val="20"/>
          <w:sz w:val="24"/>
          <w:szCs w:val="24"/>
        </w:rPr>
        <w:t xml:space="preserve">, quienes participaron en </w:t>
      </w:r>
      <w:r w:rsidR="00A20C44">
        <w:rPr>
          <w:rFonts w:ascii="Times New Roman" w:hAnsi="Times New Roman" w:cs="Times New Roman"/>
          <w:color w:val="767171"/>
          <w:spacing w:val="20"/>
          <w:sz w:val="24"/>
          <w:szCs w:val="24"/>
        </w:rPr>
        <w:t>una</w:t>
      </w:r>
      <w:r w:rsidR="00B221FC" w:rsidRPr="00B221FC">
        <w:rPr>
          <w:rFonts w:ascii="Times New Roman" w:hAnsi="Times New Roman" w:cs="Times New Roman"/>
          <w:color w:val="767171"/>
          <w:spacing w:val="20"/>
          <w:sz w:val="24"/>
          <w:szCs w:val="24"/>
        </w:rPr>
        <w:t xml:space="preserve"> mesa regional </w:t>
      </w:r>
      <w:r w:rsidR="00E15DD9">
        <w:rPr>
          <w:rFonts w:ascii="Times New Roman" w:hAnsi="Times New Roman" w:cs="Times New Roman"/>
          <w:color w:val="767171"/>
          <w:spacing w:val="20"/>
          <w:sz w:val="24"/>
          <w:szCs w:val="24"/>
        </w:rPr>
        <w:t>con el objet</w:t>
      </w:r>
      <w:r w:rsidR="00FE503E">
        <w:rPr>
          <w:rFonts w:ascii="Times New Roman" w:hAnsi="Times New Roman" w:cs="Times New Roman"/>
          <w:color w:val="767171"/>
          <w:spacing w:val="20"/>
          <w:sz w:val="24"/>
          <w:szCs w:val="24"/>
        </w:rPr>
        <w:t>ivo de</w:t>
      </w:r>
      <w:r w:rsidR="00B221FC" w:rsidRPr="00B221FC">
        <w:rPr>
          <w:rFonts w:ascii="Times New Roman" w:hAnsi="Times New Roman" w:cs="Times New Roman"/>
          <w:color w:val="767171"/>
          <w:spacing w:val="20"/>
          <w:sz w:val="24"/>
          <w:szCs w:val="24"/>
        </w:rPr>
        <w:t xml:space="preserve"> promover el crecimiento inclusivo y la reducción de la pobreza a través de políticas sostenibles de inclusión financiera. Esta plataforma </w:t>
      </w:r>
      <w:r w:rsidR="00D02CD1">
        <w:rPr>
          <w:rFonts w:ascii="Times New Roman" w:hAnsi="Times New Roman" w:cs="Times New Roman"/>
          <w:color w:val="767171"/>
          <w:spacing w:val="20"/>
          <w:sz w:val="24"/>
          <w:szCs w:val="24"/>
        </w:rPr>
        <w:t xml:space="preserve">es la </w:t>
      </w:r>
      <w:r w:rsidR="00B221FC" w:rsidRPr="00B221FC">
        <w:rPr>
          <w:rFonts w:ascii="Times New Roman" w:hAnsi="Times New Roman" w:cs="Times New Roman"/>
          <w:color w:val="767171"/>
          <w:spacing w:val="20"/>
          <w:sz w:val="24"/>
          <w:szCs w:val="24"/>
        </w:rPr>
        <w:t>primera en su tipo en América Latina y el Caribe (LAC)</w:t>
      </w:r>
      <w:r w:rsidR="00B162F6">
        <w:rPr>
          <w:rFonts w:ascii="Times New Roman" w:hAnsi="Times New Roman" w:cs="Times New Roman"/>
          <w:color w:val="767171"/>
          <w:spacing w:val="20"/>
          <w:sz w:val="24"/>
          <w:szCs w:val="24"/>
        </w:rPr>
        <w:t>,</w:t>
      </w:r>
    </w:p>
    <w:p w14:paraId="6D17AA7E" w14:textId="49B86DD2" w:rsidR="00B221FC" w:rsidRPr="00B221FC" w:rsidRDefault="00B221FC" w:rsidP="006B204A">
      <w:pPr>
        <w:pStyle w:val="CuerpoSB"/>
        <w:spacing w:line="360" w:lineRule="auto"/>
        <w:ind w:left="0"/>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Además, durante este encuentro, se realizó también, la Capacitación Regional sobre Política de Acceso a Financiamiento para Mujeres propietarias de MiPymes a través de Servicios Financieros Digitales en la región LAC. El objetivo de esta capacitación fue permitir que los participantes identifiquen políticas apropiadas para que las MiPymes dirigidas por mujeres o que sean propiedad de mujeres puedan aprovechar las innovaciones de los servicios financieros digitales para acceder con mayor facilidad a los productos y servicio de financiamiento. </w:t>
      </w:r>
    </w:p>
    <w:p w14:paraId="6A71BAF3" w14:textId="19D996A7" w:rsidR="00B221FC" w:rsidRPr="00B221FC" w:rsidRDefault="00B221FC" w:rsidP="006B204A">
      <w:pPr>
        <w:pStyle w:val="CuerpoSB"/>
        <w:spacing w:line="360" w:lineRule="auto"/>
        <w:ind w:left="0"/>
        <w:contextualSpacing w:val="0"/>
        <w:rPr>
          <w:rFonts w:ascii="Times New Roman" w:hAnsi="Times New Roman" w:cs="Times New Roman"/>
          <w:b/>
          <w:bCs/>
          <w:color w:val="767171"/>
          <w:spacing w:val="20"/>
          <w:sz w:val="24"/>
          <w:szCs w:val="24"/>
        </w:rPr>
      </w:pPr>
      <w:r w:rsidRPr="00B221FC">
        <w:rPr>
          <w:rFonts w:ascii="Times New Roman" w:hAnsi="Times New Roman" w:cs="Times New Roman"/>
          <w:b/>
          <w:bCs/>
          <w:color w:val="767171"/>
          <w:spacing w:val="20"/>
          <w:sz w:val="24"/>
          <w:szCs w:val="24"/>
        </w:rPr>
        <w:t>Laboratorio de Economía Conductual (SB-LAB)</w:t>
      </w:r>
    </w:p>
    <w:p w14:paraId="1E105307" w14:textId="691AF1BA" w:rsidR="00B221FC" w:rsidRPr="00B221FC" w:rsidRDefault="005E2052" w:rsidP="006B204A">
      <w:pPr>
        <w:pStyle w:val="CuerpoSB"/>
        <w:spacing w:line="360" w:lineRule="auto"/>
        <w:ind w:left="0"/>
        <w:contextualSpacing w:val="0"/>
        <w:rPr>
          <w:rFonts w:ascii="Times New Roman" w:hAnsi="Times New Roman" w:cs="Times New Roman"/>
          <w:color w:val="767171"/>
          <w:spacing w:val="20"/>
          <w:sz w:val="24"/>
          <w:szCs w:val="24"/>
        </w:rPr>
      </w:pPr>
      <w:r>
        <w:rPr>
          <w:rFonts w:ascii="Times New Roman" w:hAnsi="Times New Roman" w:cs="Times New Roman"/>
          <w:color w:val="767171"/>
          <w:spacing w:val="20"/>
          <w:sz w:val="24"/>
          <w:szCs w:val="24"/>
        </w:rPr>
        <w:t>En el</w:t>
      </w:r>
      <w:r w:rsidR="00B221FC" w:rsidRPr="00B221FC">
        <w:rPr>
          <w:rFonts w:ascii="Times New Roman" w:hAnsi="Times New Roman" w:cs="Times New Roman"/>
          <w:color w:val="767171"/>
          <w:spacing w:val="20"/>
          <w:sz w:val="24"/>
          <w:szCs w:val="24"/>
        </w:rPr>
        <w:t xml:space="preserve"> </w:t>
      </w:r>
      <w:r w:rsidR="002A61E2">
        <w:rPr>
          <w:rFonts w:ascii="Times New Roman" w:hAnsi="Times New Roman" w:cs="Times New Roman"/>
          <w:color w:val="767171"/>
          <w:spacing w:val="20"/>
          <w:sz w:val="24"/>
          <w:szCs w:val="24"/>
        </w:rPr>
        <w:t xml:space="preserve">año </w:t>
      </w:r>
      <w:r w:rsidR="00B221FC" w:rsidRPr="00B221FC">
        <w:rPr>
          <w:rFonts w:ascii="Times New Roman" w:hAnsi="Times New Roman" w:cs="Times New Roman"/>
          <w:color w:val="767171"/>
          <w:spacing w:val="20"/>
          <w:sz w:val="24"/>
          <w:szCs w:val="24"/>
        </w:rPr>
        <w:t xml:space="preserve">2023, el Laboratorio de Economía Conductual </w:t>
      </w:r>
      <w:r w:rsidR="002A61E2">
        <w:rPr>
          <w:rFonts w:ascii="Times New Roman" w:hAnsi="Times New Roman" w:cs="Times New Roman"/>
          <w:color w:val="767171"/>
          <w:spacing w:val="20"/>
          <w:sz w:val="24"/>
          <w:szCs w:val="24"/>
        </w:rPr>
        <w:t>fue</w:t>
      </w:r>
      <w:r w:rsidR="00B221FC" w:rsidRPr="00B221FC">
        <w:rPr>
          <w:rFonts w:ascii="Times New Roman" w:hAnsi="Times New Roman" w:cs="Times New Roman"/>
          <w:color w:val="767171"/>
          <w:spacing w:val="20"/>
          <w:sz w:val="24"/>
          <w:szCs w:val="24"/>
        </w:rPr>
        <w:t xml:space="preserve"> reconocido con una mención de honor en la tercera edición del Premio Nacional a la Innovación Pública, organizado por el Viceministerio de Innovación de la Presidencia. Este reconocimiento subraya la contribución significativa del SB</w:t>
      </w:r>
      <w:r w:rsidR="00380F18">
        <w:rPr>
          <w:rFonts w:ascii="Times New Roman" w:hAnsi="Times New Roman" w:cs="Times New Roman"/>
          <w:color w:val="767171"/>
          <w:spacing w:val="20"/>
          <w:sz w:val="24"/>
          <w:szCs w:val="24"/>
        </w:rPr>
        <w:t>-</w:t>
      </w:r>
      <w:r w:rsidR="00B221FC" w:rsidRPr="00B221FC">
        <w:rPr>
          <w:rFonts w:ascii="Times New Roman" w:hAnsi="Times New Roman" w:cs="Times New Roman"/>
          <w:color w:val="767171"/>
          <w:spacing w:val="20"/>
          <w:sz w:val="24"/>
          <w:szCs w:val="24"/>
        </w:rPr>
        <w:t>LAB y consolida su posición como referente consultado tanto a nivel nacional como internacional para la implementación de unidades de economía conductual. </w:t>
      </w:r>
    </w:p>
    <w:p w14:paraId="0F429561" w14:textId="70FC5E60" w:rsidR="00B221FC" w:rsidRPr="00C772E3" w:rsidRDefault="00B221FC" w:rsidP="006B204A">
      <w:pPr>
        <w:pStyle w:val="CuerpoSB"/>
        <w:spacing w:line="360" w:lineRule="auto"/>
        <w:ind w:left="0"/>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 xml:space="preserve"> Desde </w:t>
      </w:r>
      <w:r w:rsidR="00D73FF7">
        <w:rPr>
          <w:rFonts w:ascii="Times New Roman" w:hAnsi="Times New Roman" w:cs="Times New Roman"/>
          <w:color w:val="767171"/>
          <w:spacing w:val="20"/>
          <w:sz w:val="24"/>
          <w:szCs w:val="24"/>
        </w:rPr>
        <w:t>la Superintendencia</w:t>
      </w:r>
      <w:r w:rsidRPr="00B221FC">
        <w:rPr>
          <w:rFonts w:ascii="Times New Roman" w:hAnsi="Times New Roman" w:cs="Times New Roman"/>
          <w:color w:val="767171"/>
          <w:spacing w:val="20"/>
          <w:sz w:val="24"/>
          <w:szCs w:val="24"/>
        </w:rPr>
        <w:t xml:space="preserve"> de </w:t>
      </w:r>
      <w:r w:rsidR="00D73FF7">
        <w:rPr>
          <w:rFonts w:ascii="Times New Roman" w:hAnsi="Times New Roman" w:cs="Times New Roman"/>
          <w:color w:val="767171"/>
          <w:spacing w:val="20"/>
          <w:sz w:val="24"/>
          <w:szCs w:val="24"/>
        </w:rPr>
        <w:t>Bancos</w:t>
      </w:r>
      <w:r w:rsidRPr="00B221FC">
        <w:rPr>
          <w:rFonts w:ascii="Times New Roman" w:hAnsi="Times New Roman" w:cs="Times New Roman"/>
          <w:color w:val="767171"/>
          <w:spacing w:val="20"/>
          <w:sz w:val="24"/>
          <w:szCs w:val="24"/>
        </w:rPr>
        <w:t xml:space="preserve">, </w:t>
      </w:r>
      <w:r w:rsidR="00B94EE7">
        <w:rPr>
          <w:rFonts w:ascii="Times New Roman" w:hAnsi="Times New Roman" w:cs="Times New Roman"/>
          <w:color w:val="767171"/>
          <w:spacing w:val="20"/>
          <w:sz w:val="24"/>
          <w:szCs w:val="24"/>
        </w:rPr>
        <w:t>se han</w:t>
      </w:r>
      <w:r w:rsidRPr="00B221FC">
        <w:rPr>
          <w:rFonts w:ascii="Times New Roman" w:hAnsi="Times New Roman" w:cs="Times New Roman"/>
          <w:color w:val="767171"/>
          <w:spacing w:val="20"/>
          <w:sz w:val="24"/>
          <w:szCs w:val="24"/>
        </w:rPr>
        <w:t xml:space="preserve"> establecido acuerdos de cooperación con </w:t>
      </w:r>
      <w:r w:rsidR="002031C0">
        <w:rPr>
          <w:rFonts w:ascii="Times New Roman" w:hAnsi="Times New Roman" w:cs="Times New Roman"/>
          <w:color w:val="767171"/>
          <w:spacing w:val="20"/>
          <w:sz w:val="24"/>
          <w:szCs w:val="24"/>
        </w:rPr>
        <w:t>el instituto</w:t>
      </w:r>
      <w:r w:rsidRPr="00B221FC">
        <w:rPr>
          <w:rFonts w:ascii="Times New Roman" w:hAnsi="Times New Roman" w:cs="Times New Roman"/>
          <w:color w:val="767171"/>
          <w:spacing w:val="20"/>
          <w:sz w:val="24"/>
          <w:szCs w:val="24"/>
        </w:rPr>
        <w:t xml:space="preserve"> “Innovación en Acción contra la Pobreza” (</w:t>
      </w:r>
      <w:proofErr w:type="spellStart"/>
      <w:r w:rsidRPr="00B221FC">
        <w:rPr>
          <w:rFonts w:ascii="Times New Roman" w:hAnsi="Times New Roman" w:cs="Times New Roman"/>
          <w:color w:val="767171"/>
          <w:spacing w:val="20"/>
          <w:sz w:val="24"/>
          <w:szCs w:val="24"/>
        </w:rPr>
        <w:t>Innovation</w:t>
      </w:r>
      <w:proofErr w:type="spellEnd"/>
      <w:r w:rsidRPr="00B221FC">
        <w:rPr>
          <w:rFonts w:ascii="Times New Roman" w:hAnsi="Times New Roman" w:cs="Times New Roman"/>
          <w:color w:val="767171"/>
          <w:spacing w:val="20"/>
          <w:sz w:val="24"/>
          <w:szCs w:val="24"/>
        </w:rPr>
        <w:t xml:space="preserve"> </w:t>
      </w:r>
      <w:proofErr w:type="spellStart"/>
      <w:r w:rsidRPr="00B221FC">
        <w:rPr>
          <w:rFonts w:ascii="Times New Roman" w:hAnsi="Times New Roman" w:cs="Times New Roman"/>
          <w:color w:val="767171"/>
          <w:spacing w:val="20"/>
          <w:sz w:val="24"/>
          <w:szCs w:val="24"/>
        </w:rPr>
        <w:t>on</w:t>
      </w:r>
      <w:proofErr w:type="spellEnd"/>
      <w:r w:rsidRPr="00B221FC">
        <w:rPr>
          <w:rFonts w:ascii="Times New Roman" w:hAnsi="Times New Roman" w:cs="Times New Roman"/>
          <w:color w:val="767171"/>
          <w:spacing w:val="20"/>
          <w:sz w:val="24"/>
          <w:szCs w:val="24"/>
        </w:rPr>
        <w:t xml:space="preserve"> </w:t>
      </w:r>
      <w:proofErr w:type="spellStart"/>
      <w:r w:rsidRPr="00B221FC">
        <w:rPr>
          <w:rFonts w:ascii="Times New Roman" w:hAnsi="Times New Roman" w:cs="Times New Roman"/>
          <w:color w:val="767171"/>
          <w:spacing w:val="20"/>
          <w:sz w:val="24"/>
          <w:szCs w:val="24"/>
        </w:rPr>
        <w:t>Poverty</w:t>
      </w:r>
      <w:proofErr w:type="spellEnd"/>
      <w:r w:rsidRPr="00B221FC">
        <w:rPr>
          <w:rFonts w:ascii="Times New Roman" w:hAnsi="Times New Roman" w:cs="Times New Roman"/>
          <w:color w:val="767171"/>
          <w:spacing w:val="20"/>
          <w:sz w:val="24"/>
          <w:szCs w:val="24"/>
        </w:rPr>
        <w:t xml:space="preserve"> </w:t>
      </w:r>
      <w:proofErr w:type="spellStart"/>
      <w:r w:rsidRPr="00B221FC">
        <w:rPr>
          <w:rFonts w:ascii="Times New Roman" w:hAnsi="Times New Roman" w:cs="Times New Roman"/>
          <w:color w:val="767171"/>
          <w:spacing w:val="20"/>
          <w:sz w:val="24"/>
          <w:szCs w:val="24"/>
        </w:rPr>
        <w:t>Action</w:t>
      </w:r>
      <w:proofErr w:type="spellEnd"/>
      <w:r w:rsidRPr="00B221FC">
        <w:rPr>
          <w:rFonts w:ascii="Times New Roman" w:hAnsi="Times New Roman" w:cs="Times New Roman"/>
          <w:color w:val="767171"/>
          <w:spacing w:val="20"/>
          <w:sz w:val="24"/>
          <w:szCs w:val="24"/>
        </w:rPr>
        <w:t xml:space="preserve">) con el fin de impulsar iniciativas del SB-LAB, iniciando con la intervención “Dile No al </w:t>
      </w:r>
      <w:r w:rsidRPr="00B221FC">
        <w:rPr>
          <w:rFonts w:ascii="Times New Roman" w:hAnsi="Times New Roman" w:cs="Times New Roman"/>
          <w:color w:val="767171"/>
          <w:spacing w:val="20"/>
          <w:sz w:val="24"/>
          <w:szCs w:val="24"/>
        </w:rPr>
        <w:lastRenderedPageBreak/>
        <w:t>Mínimo”. Esta busca, a través de la aplicación de remedios conductuales, que los usuarios cumplan con la totalidad de sus compromisos en sus tarjetas de crédito al corte de cada mes, evitando la generación de cargos por interés y las comisiones que apliquen en caso de optar por financiamiento. La iniciativa está concebida para ser trabajada dentro de un piloto controlado con el apoyo de entidades de intermediación financiera para validar la eficacia de los mensajes y determinar si las medidas producen los cambios esperados en el comportamiento de los usuarios.  </w:t>
      </w:r>
    </w:p>
    <w:p w14:paraId="5C3DD006" w14:textId="274777D4" w:rsidR="00B221FC" w:rsidRPr="00B221FC" w:rsidRDefault="00BF31E1" w:rsidP="00A45484">
      <w:pPr>
        <w:pStyle w:val="CuerpoSB"/>
        <w:spacing w:line="360" w:lineRule="auto"/>
        <w:ind w:left="0"/>
        <w:contextualSpacing w:val="0"/>
        <w:rPr>
          <w:rFonts w:ascii="Times New Roman" w:hAnsi="Times New Roman" w:cs="Times New Roman"/>
          <w:color w:val="767171"/>
          <w:spacing w:val="20"/>
          <w:sz w:val="24"/>
          <w:szCs w:val="24"/>
        </w:rPr>
      </w:pPr>
      <w:r>
        <w:rPr>
          <w:rFonts w:ascii="Times New Roman" w:hAnsi="Times New Roman" w:cs="Times New Roman"/>
          <w:color w:val="767171"/>
          <w:spacing w:val="20"/>
          <w:sz w:val="24"/>
          <w:szCs w:val="24"/>
        </w:rPr>
        <w:t>Así mismo, e</w:t>
      </w:r>
      <w:r w:rsidR="00B221FC" w:rsidRPr="00B221FC">
        <w:rPr>
          <w:rFonts w:ascii="Times New Roman" w:hAnsi="Times New Roman" w:cs="Times New Roman"/>
          <w:color w:val="767171"/>
          <w:spacing w:val="20"/>
          <w:sz w:val="24"/>
          <w:szCs w:val="24"/>
        </w:rPr>
        <w:t>n el período enero – diciembre 2024 la Superintendencia de Bancos h</w:t>
      </w:r>
      <w:r w:rsidR="004C127A" w:rsidRPr="00C772E3">
        <w:rPr>
          <w:rFonts w:ascii="Times New Roman" w:hAnsi="Times New Roman" w:cs="Times New Roman"/>
          <w:color w:val="767171"/>
          <w:spacing w:val="20"/>
          <w:sz w:val="24"/>
          <w:szCs w:val="24"/>
        </w:rPr>
        <w:t>a</w:t>
      </w:r>
      <w:r w:rsidR="00B221FC" w:rsidRPr="00B221FC">
        <w:rPr>
          <w:rFonts w:ascii="Times New Roman" w:hAnsi="Times New Roman" w:cs="Times New Roman"/>
          <w:color w:val="767171"/>
          <w:spacing w:val="20"/>
          <w:sz w:val="24"/>
          <w:szCs w:val="24"/>
        </w:rPr>
        <w:t xml:space="preserve"> elaborado y presentado los siguientes informes: </w:t>
      </w:r>
    </w:p>
    <w:p w14:paraId="4A624B00" w14:textId="77777777" w:rsidR="00B221FC" w:rsidRPr="00B221FC" w:rsidRDefault="00B221FC" w:rsidP="00CB4994">
      <w:pPr>
        <w:pStyle w:val="CuerpoSB"/>
        <w:numPr>
          <w:ilvl w:val="0"/>
          <w:numId w:val="10"/>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Informe sobre portabilidad financiera que presenta los resultados de una encuesta realizada por la Superintendencia de Bancos (SB), con el propósito de conocer y comunicar la situación actual del sector financiero dominicano en relación con la portabilidad financiera y explorar la posibilidad de su habilitación en el país como un caso práctico de banca abierta. Dicho informe fue presentado a los gremios bancarios. a mediados de octubre. La iniciativa contempla la implementación de una normativa de portabilidad financiera que permita a los usuarios transferir productos y servicios entre entidades, definiendo también el periodo de implementación y adaptación que conllevaría para las entidades reguladas. Un borrador de esta normativa ha sido creado por el equipo de Innovación Financiera, ofreciendo una base valiosa para la elaboración de futuras regulaciones en este ámbito. </w:t>
      </w:r>
    </w:p>
    <w:p w14:paraId="42665B20" w14:textId="32F35A6D" w:rsidR="00B221FC" w:rsidRPr="00B221FC" w:rsidRDefault="00B221FC" w:rsidP="00CB4994">
      <w:pPr>
        <w:pStyle w:val="CuerpoSB"/>
        <w:numPr>
          <w:ilvl w:val="0"/>
          <w:numId w:val="10"/>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 xml:space="preserve">Ranking de Digitalización: se publicó la tercera edición del Ranking de Digitalización del sector dominicano, correspondiente al año 2023. Este informe está enfocado en evaluar todos los </w:t>
      </w:r>
      <w:r w:rsidRPr="00B221FC">
        <w:rPr>
          <w:rFonts w:ascii="Times New Roman" w:hAnsi="Times New Roman" w:cs="Times New Roman"/>
          <w:color w:val="767171"/>
          <w:spacing w:val="20"/>
          <w:sz w:val="24"/>
          <w:szCs w:val="24"/>
        </w:rPr>
        <w:lastRenderedPageBreak/>
        <w:t xml:space="preserve">canales alternos ofrecidos por las </w:t>
      </w:r>
      <w:bookmarkStart w:id="61" w:name="_Int_RDEaCvGK"/>
      <w:proofErr w:type="spellStart"/>
      <w:r w:rsidRPr="00B221FC">
        <w:rPr>
          <w:rFonts w:ascii="Times New Roman" w:hAnsi="Times New Roman" w:cs="Times New Roman"/>
          <w:color w:val="767171"/>
          <w:spacing w:val="20"/>
          <w:sz w:val="24"/>
          <w:szCs w:val="24"/>
        </w:rPr>
        <w:t>EIFs</w:t>
      </w:r>
      <w:bookmarkEnd w:id="61"/>
      <w:proofErr w:type="spellEnd"/>
      <w:r w:rsidRPr="00B221FC">
        <w:rPr>
          <w:rFonts w:ascii="Times New Roman" w:hAnsi="Times New Roman" w:cs="Times New Roman"/>
          <w:color w:val="767171"/>
          <w:spacing w:val="20"/>
          <w:sz w:val="24"/>
          <w:szCs w:val="24"/>
        </w:rPr>
        <w:t xml:space="preserve">, con especial foco en los canales digitales y sus funcionalidades, cómo las entidades implementan las tecnologías exponenciales en sus procesos y cómo integran las herramientas digitales para mejorar la experiencia de usuarios. Con este informe se busca impulsar la innovación en los procesos de las </w:t>
      </w:r>
      <w:proofErr w:type="spellStart"/>
      <w:r w:rsidRPr="00B221FC">
        <w:rPr>
          <w:rFonts w:ascii="Times New Roman" w:hAnsi="Times New Roman" w:cs="Times New Roman"/>
          <w:color w:val="767171"/>
          <w:spacing w:val="20"/>
          <w:sz w:val="24"/>
          <w:szCs w:val="24"/>
        </w:rPr>
        <w:t>EIFs</w:t>
      </w:r>
      <w:proofErr w:type="spellEnd"/>
      <w:r w:rsidRPr="00B221FC">
        <w:rPr>
          <w:rFonts w:ascii="Times New Roman" w:hAnsi="Times New Roman" w:cs="Times New Roman"/>
          <w:color w:val="767171"/>
          <w:spacing w:val="20"/>
          <w:sz w:val="24"/>
          <w:szCs w:val="24"/>
        </w:rPr>
        <w:t>, así como darle a conocer a los usuarios cómo ha ido evolucionando la digitalización en el sector financiero.</w:t>
      </w:r>
    </w:p>
    <w:p w14:paraId="27D1480F" w14:textId="77777777" w:rsidR="00B221FC" w:rsidRPr="00B221FC" w:rsidRDefault="00B221FC" w:rsidP="00CB4994">
      <w:pPr>
        <w:pStyle w:val="CuerpoSB"/>
        <w:numPr>
          <w:ilvl w:val="0"/>
          <w:numId w:val="10"/>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Informe de Sostenibilidad e Inclusión de Segmentos Vulnerables, en su segunda edición, con el objetivo de continuar generando conocimientos que puedan aportar a la creación de políticas públicas que propicien la equidad de género en el país.  </w:t>
      </w:r>
    </w:p>
    <w:p w14:paraId="289B9E63" w14:textId="77777777" w:rsidR="00B221FC" w:rsidRDefault="00B221FC" w:rsidP="00CB4994">
      <w:pPr>
        <w:pStyle w:val="CuerpoSB"/>
        <w:numPr>
          <w:ilvl w:val="0"/>
          <w:numId w:val="10"/>
        </w:numPr>
        <w:spacing w:line="360" w:lineRule="auto"/>
        <w:contextualSpacing w:val="0"/>
        <w:rPr>
          <w:rFonts w:ascii="Times New Roman" w:hAnsi="Times New Roman" w:cs="Times New Roman"/>
          <w:color w:val="767171"/>
          <w:spacing w:val="20"/>
          <w:sz w:val="24"/>
          <w:szCs w:val="24"/>
        </w:rPr>
      </w:pPr>
      <w:r w:rsidRPr="00B221FC">
        <w:rPr>
          <w:rFonts w:ascii="Times New Roman" w:hAnsi="Times New Roman" w:cs="Times New Roman"/>
          <w:color w:val="767171"/>
          <w:spacing w:val="20"/>
          <w:sz w:val="24"/>
          <w:szCs w:val="24"/>
        </w:rPr>
        <w:t xml:space="preserve">Informe de Desiertos Bancarios con el objetivo de identificar zonas financieramente desatendidas en el territorio nacional. Este informe está en proceso y clasifica las zonas en tres categorías distintas: altamente bancarizado, medianamente bancarizado y </w:t>
      </w:r>
      <w:bookmarkStart w:id="62" w:name="_Int_x3e5cfiJ"/>
      <w:proofErr w:type="spellStart"/>
      <w:r w:rsidRPr="00B221FC">
        <w:rPr>
          <w:rFonts w:ascii="Times New Roman" w:hAnsi="Times New Roman" w:cs="Times New Roman"/>
          <w:color w:val="767171"/>
          <w:spacing w:val="20"/>
          <w:sz w:val="24"/>
          <w:szCs w:val="24"/>
        </w:rPr>
        <w:t>sub-bancarizados</w:t>
      </w:r>
      <w:bookmarkEnd w:id="62"/>
      <w:proofErr w:type="spellEnd"/>
      <w:r w:rsidRPr="00B221FC">
        <w:rPr>
          <w:rFonts w:ascii="Times New Roman" w:hAnsi="Times New Roman" w:cs="Times New Roman"/>
          <w:color w:val="767171"/>
          <w:spacing w:val="20"/>
          <w:sz w:val="24"/>
          <w:szCs w:val="24"/>
        </w:rPr>
        <w:t>; y proporciona un panorama enfocado en el incremento del acceso al sector bancario a través de los últimos años además busca arrojar luz sobre los avances en materia de bancarización a nivel nacional y explorar las posibles vías para su continuo progreso, fomentando así estrategias más efectivas para mejorar la inclusión financiera en todo el país. </w:t>
      </w:r>
    </w:p>
    <w:p w14:paraId="0E12DB45" w14:textId="29315180" w:rsidR="00B221FC" w:rsidRPr="00C772E3" w:rsidRDefault="00B221FC" w:rsidP="003E735A">
      <w:pPr>
        <w:pStyle w:val="CuerpoSB"/>
        <w:spacing w:line="360" w:lineRule="auto"/>
        <w:ind w:left="0"/>
        <w:contextualSpacing w:val="0"/>
        <w:jc w:val="left"/>
        <w:rPr>
          <w:rFonts w:ascii="Times New Roman" w:hAnsi="Times New Roman" w:cs="Times New Roman"/>
          <w:b/>
          <w:bCs/>
          <w:color w:val="767171"/>
          <w:spacing w:val="20"/>
          <w:sz w:val="24"/>
          <w:szCs w:val="24"/>
        </w:rPr>
      </w:pPr>
      <w:r w:rsidRPr="00B221FC">
        <w:rPr>
          <w:rFonts w:ascii="Times New Roman" w:hAnsi="Times New Roman" w:cs="Times New Roman"/>
          <w:b/>
          <w:bCs/>
          <w:color w:val="767171"/>
          <w:spacing w:val="20"/>
          <w:sz w:val="24"/>
          <w:szCs w:val="24"/>
        </w:rPr>
        <w:t xml:space="preserve">Tablero de Inclusión financiera de </w:t>
      </w:r>
      <w:bookmarkStart w:id="63" w:name="_Int_VNEGhkxu"/>
      <w:proofErr w:type="spellStart"/>
      <w:r w:rsidRPr="00B221FC">
        <w:rPr>
          <w:rFonts w:ascii="Times New Roman" w:hAnsi="Times New Roman" w:cs="Times New Roman"/>
          <w:b/>
          <w:bCs/>
          <w:color w:val="767171"/>
          <w:spacing w:val="20"/>
          <w:sz w:val="24"/>
          <w:szCs w:val="24"/>
        </w:rPr>
        <w:t>MiPYMEs</w:t>
      </w:r>
      <w:bookmarkEnd w:id="63"/>
      <w:proofErr w:type="spellEnd"/>
    </w:p>
    <w:p w14:paraId="0472907B" w14:textId="706C50EE" w:rsidR="00B221FC" w:rsidRPr="00C772E3" w:rsidRDefault="00234A67" w:rsidP="006B204A">
      <w:pPr>
        <w:pStyle w:val="CuerpoSB"/>
        <w:spacing w:line="360" w:lineRule="auto"/>
        <w:ind w:left="0"/>
        <w:contextualSpacing w:val="0"/>
        <w:rPr>
          <w:rFonts w:ascii="Times New Roman" w:hAnsi="Times New Roman" w:cs="Times New Roman"/>
          <w:color w:val="767171"/>
          <w:spacing w:val="20"/>
          <w:sz w:val="24"/>
          <w:szCs w:val="24"/>
        </w:rPr>
      </w:pPr>
      <w:r>
        <w:rPr>
          <w:rFonts w:ascii="Times New Roman" w:hAnsi="Times New Roman" w:cs="Times New Roman"/>
          <w:color w:val="767171"/>
          <w:spacing w:val="20"/>
          <w:sz w:val="24"/>
          <w:szCs w:val="24"/>
        </w:rPr>
        <w:t>C</w:t>
      </w:r>
      <w:r w:rsidR="00EB4CAC">
        <w:rPr>
          <w:rFonts w:ascii="Times New Roman" w:hAnsi="Times New Roman" w:cs="Times New Roman"/>
          <w:color w:val="767171"/>
          <w:spacing w:val="20"/>
          <w:sz w:val="24"/>
          <w:szCs w:val="24"/>
        </w:rPr>
        <w:t>on el fin de analizar y visualizar el acceso al crédito de las micro, pequeñas y medianas empresa</w:t>
      </w:r>
      <w:r w:rsidR="00FF2196">
        <w:rPr>
          <w:rFonts w:ascii="Times New Roman" w:hAnsi="Times New Roman" w:cs="Times New Roman"/>
          <w:color w:val="767171"/>
          <w:spacing w:val="20"/>
          <w:sz w:val="24"/>
          <w:szCs w:val="24"/>
        </w:rPr>
        <w:t xml:space="preserve">, así como identificar </w:t>
      </w:r>
      <w:r w:rsidR="00B82781">
        <w:rPr>
          <w:rFonts w:ascii="Times New Roman" w:hAnsi="Times New Roman" w:cs="Times New Roman"/>
          <w:color w:val="767171"/>
          <w:spacing w:val="20"/>
          <w:sz w:val="24"/>
          <w:szCs w:val="24"/>
        </w:rPr>
        <w:t>el género de quienes las lideran</w:t>
      </w:r>
      <w:r w:rsidR="00E95775">
        <w:rPr>
          <w:rFonts w:ascii="Times New Roman" w:hAnsi="Times New Roman" w:cs="Times New Roman"/>
          <w:color w:val="767171"/>
          <w:spacing w:val="20"/>
          <w:sz w:val="24"/>
          <w:szCs w:val="24"/>
        </w:rPr>
        <w:t>, s</w:t>
      </w:r>
      <w:r w:rsidR="00B221FC" w:rsidRPr="00B221FC">
        <w:rPr>
          <w:rFonts w:ascii="Times New Roman" w:hAnsi="Times New Roman" w:cs="Times New Roman"/>
          <w:color w:val="767171"/>
          <w:spacing w:val="20"/>
          <w:sz w:val="24"/>
          <w:szCs w:val="24"/>
        </w:rPr>
        <w:t>e cre</w:t>
      </w:r>
      <w:r w:rsidR="00E95775">
        <w:rPr>
          <w:rFonts w:ascii="Times New Roman" w:hAnsi="Times New Roman" w:cs="Times New Roman"/>
          <w:color w:val="767171"/>
          <w:spacing w:val="20"/>
          <w:sz w:val="24"/>
          <w:szCs w:val="24"/>
        </w:rPr>
        <w:t>ó</w:t>
      </w:r>
      <w:r w:rsidR="00B221FC" w:rsidRPr="00B221FC">
        <w:rPr>
          <w:rFonts w:ascii="Times New Roman" w:hAnsi="Times New Roman" w:cs="Times New Roman"/>
          <w:color w:val="767171"/>
          <w:spacing w:val="20"/>
          <w:sz w:val="24"/>
          <w:szCs w:val="24"/>
        </w:rPr>
        <w:t xml:space="preserve"> un tablero de indicadores de inclusión financiera de las </w:t>
      </w:r>
      <w:proofErr w:type="spellStart"/>
      <w:r w:rsidR="00B221FC" w:rsidRPr="00B221FC">
        <w:rPr>
          <w:rFonts w:ascii="Times New Roman" w:hAnsi="Times New Roman" w:cs="Times New Roman"/>
          <w:color w:val="767171"/>
          <w:spacing w:val="20"/>
          <w:sz w:val="24"/>
          <w:szCs w:val="24"/>
        </w:rPr>
        <w:t>MiPYMEs</w:t>
      </w:r>
      <w:proofErr w:type="spellEnd"/>
      <w:r w:rsidR="00B221FC" w:rsidRPr="00B221FC">
        <w:rPr>
          <w:rFonts w:ascii="Times New Roman" w:hAnsi="Times New Roman" w:cs="Times New Roman"/>
          <w:color w:val="767171"/>
          <w:spacing w:val="20"/>
          <w:sz w:val="24"/>
          <w:szCs w:val="24"/>
        </w:rPr>
        <w:t>. Este tablero</w:t>
      </w:r>
      <w:r w:rsidR="00C0352F">
        <w:rPr>
          <w:rFonts w:ascii="Times New Roman" w:hAnsi="Times New Roman" w:cs="Times New Roman"/>
          <w:color w:val="767171"/>
          <w:spacing w:val="20"/>
          <w:sz w:val="24"/>
          <w:szCs w:val="24"/>
        </w:rPr>
        <w:t xml:space="preserve"> </w:t>
      </w:r>
      <w:r w:rsidR="00C0352F" w:rsidRPr="00B221FC">
        <w:rPr>
          <w:rFonts w:ascii="Times New Roman" w:hAnsi="Times New Roman" w:cs="Times New Roman"/>
          <w:color w:val="767171"/>
          <w:spacing w:val="20"/>
          <w:sz w:val="24"/>
          <w:szCs w:val="24"/>
        </w:rPr>
        <w:t>será actualizado de forma periódica</w:t>
      </w:r>
      <w:r w:rsidR="000232BD">
        <w:rPr>
          <w:rFonts w:ascii="Times New Roman" w:hAnsi="Times New Roman" w:cs="Times New Roman"/>
          <w:color w:val="767171"/>
          <w:spacing w:val="20"/>
          <w:sz w:val="24"/>
          <w:szCs w:val="24"/>
        </w:rPr>
        <w:t xml:space="preserve"> y</w:t>
      </w:r>
      <w:r w:rsidR="00B221FC" w:rsidRPr="00B221FC">
        <w:rPr>
          <w:rFonts w:ascii="Times New Roman" w:hAnsi="Times New Roman" w:cs="Times New Roman"/>
          <w:color w:val="767171"/>
          <w:spacing w:val="20"/>
          <w:sz w:val="24"/>
          <w:szCs w:val="24"/>
        </w:rPr>
        <w:t xml:space="preserve"> permitirá identificar las brechas que puedan existir entre </w:t>
      </w:r>
      <w:r w:rsidR="00B221FC" w:rsidRPr="00B221FC">
        <w:rPr>
          <w:rFonts w:ascii="Times New Roman" w:hAnsi="Times New Roman" w:cs="Times New Roman"/>
          <w:color w:val="767171"/>
          <w:spacing w:val="20"/>
          <w:sz w:val="24"/>
          <w:szCs w:val="24"/>
        </w:rPr>
        <w:lastRenderedPageBreak/>
        <w:t>los tipos de empresas en cuanto al acceso y los montos de crédito adeudados. </w:t>
      </w:r>
    </w:p>
    <w:p w14:paraId="3A1D6AD1" w14:textId="255ABC7B" w:rsidR="00B221FC" w:rsidRPr="00B221FC" w:rsidRDefault="00ED310C" w:rsidP="006B204A">
      <w:pPr>
        <w:pStyle w:val="CuerpoSB"/>
        <w:spacing w:line="360" w:lineRule="auto"/>
        <w:ind w:left="0"/>
        <w:contextualSpacing w:val="0"/>
        <w:rPr>
          <w:rFonts w:ascii="Times New Roman" w:hAnsi="Times New Roman" w:cs="Times New Roman"/>
          <w:color w:val="767171"/>
          <w:spacing w:val="20"/>
          <w:sz w:val="24"/>
          <w:szCs w:val="24"/>
        </w:rPr>
      </w:pPr>
      <w:r>
        <w:rPr>
          <w:rFonts w:ascii="Times New Roman" w:hAnsi="Times New Roman" w:cs="Times New Roman"/>
          <w:color w:val="767171"/>
          <w:spacing w:val="20"/>
          <w:sz w:val="24"/>
          <w:szCs w:val="24"/>
        </w:rPr>
        <w:t>E</w:t>
      </w:r>
      <w:r w:rsidR="001157E1">
        <w:rPr>
          <w:rFonts w:ascii="Times New Roman" w:hAnsi="Times New Roman" w:cs="Times New Roman"/>
          <w:color w:val="767171"/>
          <w:spacing w:val="20"/>
          <w:sz w:val="24"/>
          <w:szCs w:val="24"/>
        </w:rPr>
        <w:t>n este se incluyen</w:t>
      </w:r>
      <w:r w:rsidR="00B221FC" w:rsidRPr="00B221FC">
        <w:rPr>
          <w:rFonts w:ascii="Times New Roman" w:hAnsi="Times New Roman" w:cs="Times New Roman"/>
          <w:color w:val="767171"/>
          <w:spacing w:val="20"/>
          <w:sz w:val="24"/>
          <w:szCs w:val="24"/>
        </w:rPr>
        <w:t xml:space="preserve"> indicadores como la cantidad de </w:t>
      </w:r>
      <w:proofErr w:type="spellStart"/>
      <w:r w:rsidR="00B221FC" w:rsidRPr="00B221FC">
        <w:rPr>
          <w:rFonts w:ascii="Times New Roman" w:hAnsi="Times New Roman" w:cs="Times New Roman"/>
          <w:color w:val="767171"/>
          <w:spacing w:val="20"/>
          <w:sz w:val="24"/>
          <w:szCs w:val="24"/>
        </w:rPr>
        <w:t>MiPYMEs</w:t>
      </w:r>
      <w:proofErr w:type="spellEnd"/>
      <w:r w:rsidR="00B221FC" w:rsidRPr="00B221FC">
        <w:rPr>
          <w:rFonts w:ascii="Times New Roman" w:hAnsi="Times New Roman" w:cs="Times New Roman"/>
          <w:color w:val="767171"/>
          <w:spacing w:val="20"/>
          <w:sz w:val="24"/>
          <w:szCs w:val="24"/>
        </w:rPr>
        <w:t xml:space="preserve"> según clasificación por tipo de liderazgo, cantidad de créditos, promedios de cantidades adeudadas, entre otros.</w:t>
      </w:r>
    </w:p>
    <w:p w14:paraId="62A77A78" w14:textId="77777777" w:rsidR="00953E23" w:rsidRPr="00C865B6" w:rsidRDefault="00953E23" w:rsidP="006B204A">
      <w:pPr>
        <w:pStyle w:val="CuerpoSB"/>
        <w:spacing w:line="360" w:lineRule="auto"/>
        <w:ind w:left="0"/>
        <w:contextualSpacing w:val="0"/>
        <w:rPr>
          <w:rFonts w:ascii="Times New Roman" w:hAnsi="Times New Roman" w:cs="Times New Roman"/>
          <w:color w:val="767171"/>
          <w:spacing w:val="20"/>
          <w:sz w:val="24"/>
          <w:szCs w:val="24"/>
        </w:rPr>
      </w:pPr>
    </w:p>
    <w:p w14:paraId="43DC7585" w14:textId="4D2D767D" w:rsidR="00E52ED4" w:rsidRPr="00C865B6" w:rsidRDefault="00C94DAB" w:rsidP="006B204A">
      <w:pPr>
        <w:pStyle w:val="Estilo3"/>
        <w:spacing w:before="0" w:after="160" w:line="360" w:lineRule="auto"/>
        <w:rPr>
          <w:b/>
        </w:rPr>
      </w:pPr>
      <w:bookmarkStart w:id="64" w:name="_Toc122435012"/>
      <w:bookmarkStart w:id="65" w:name="_Toc123046917"/>
      <w:bookmarkStart w:id="66" w:name="_Toc155354615"/>
      <w:r>
        <w:rPr>
          <w:b/>
        </w:rPr>
        <w:t>3</w:t>
      </w:r>
      <w:r w:rsidR="00E52ED4" w:rsidRPr="00C865B6">
        <w:rPr>
          <w:b/>
        </w:rPr>
        <w:t>.8 Protección y Atención al Usuario Financiero</w:t>
      </w:r>
      <w:bookmarkEnd w:id="64"/>
      <w:bookmarkEnd w:id="65"/>
      <w:bookmarkEnd w:id="66"/>
    </w:p>
    <w:p w14:paraId="59BCB4C9" w14:textId="2EB28A51" w:rsidR="005640F1" w:rsidRPr="005640F1" w:rsidRDefault="005640F1" w:rsidP="006B204A">
      <w:pPr>
        <w:spacing w:line="360" w:lineRule="auto"/>
        <w:jc w:val="both"/>
        <w:rPr>
          <w:rFonts w:eastAsia="Arial Unicode MS"/>
          <w:u w:color="000000"/>
          <w:bdr w:val="nil"/>
          <w:lang w:val="es-DO" w:eastAsia="es-DO"/>
        </w:rPr>
      </w:pPr>
      <w:bookmarkStart w:id="67" w:name="_Hlk88043296"/>
      <w:r w:rsidRPr="005640F1">
        <w:rPr>
          <w:rFonts w:eastAsia="Arial Unicode MS"/>
          <w:u w:color="000000"/>
          <w:bdr w:val="nil"/>
          <w:lang w:val="es-DO" w:eastAsia="es-DO"/>
        </w:rPr>
        <w:t>La protección de los derechos de los usuarios</w:t>
      </w:r>
      <w:r w:rsidR="00A606D2">
        <w:rPr>
          <w:rFonts w:eastAsia="Arial Unicode MS"/>
          <w:u w:color="000000"/>
          <w:bdr w:val="nil"/>
          <w:lang w:val="es-DO" w:eastAsia="es-DO"/>
        </w:rPr>
        <w:t xml:space="preserve"> </w:t>
      </w:r>
      <w:r w:rsidRPr="005640F1">
        <w:rPr>
          <w:rFonts w:eastAsia="Arial Unicode MS"/>
          <w:u w:color="000000"/>
          <w:bdr w:val="nil"/>
          <w:lang w:val="es-DO" w:eastAsia="es-DO"/>
        </w:rPr>
        <w:t xml:space="preserve">de los servicios financieros y cambiarios es una responsabilidad a cargo de la Superintendencia de Bancos, que se origina en los Artículos 52 y 53 de Ley Monetaria y Financiera, núm.183-02 (LMF). A tales propósitos, fue creada la Oficina de Servicios y Protección al Usuario de los Productos y Servicios Financieros (ProUsuario), con facultades establecidas para garantizar el cumplimiento de las normas que regulan la protección efectiva de los derechos de los usuarios usuarias y </w:t>
      </w:r>
      <w:r w:rsidR="00EB158D">
        <w:rPr>
          <w:rFonts w:eastAsia="Arial Unicode MS"/>
          <w:u w:color="000000"/>
          <w:bdr w:val="nil"/>
          <w:lang w:val="es-DO" w:eastAsia="es-DO"/>
        </w:rPr>
        <w:t xml:space="preserve">la </w:t>
      </w:r>
      <w:r w:rsidRPr="005640F1">
        <w:rPr>
          <w:rFonts w:eastAsia="Arial Unicode MS"/>
          <w:u w:color="000000"/>
          <w:bdr w:val="nil"/>
          <w:lang w:val="es-DO" w:eastAsia="es-DO"/>
        </w:rPr>
        <w:t>sanci</w:t>
      </w:r>
      <w:r w:rsidR="00EB158D">
        <w:rPr>
          <w:rFonts w:eastAsia="Arial Unicode MS"/>
          <w:u w:color="000000"/>
          <w:bdr w:val="nil"/>
          <w:lang w:val="es-DO" w:eastAsia="es-DO"/>
        </w:rPr>
        <w:t>ón</w:t>
      </w:r>
      <w:r w:rsidR="0094163A">
        <w:rPr>
          <w:rFonts w:eastAsia="Arial Unicode MS"/>
          <w:u w:color="000000"/>
          <w:bdr w:val="nil"/>
          <w:lang w:val="es-DO" w:eastAsia="es-DO"/>
        </w:rPr>
        <w:t xml:space="preserve"> de</w:t>
      </w:r>
      <w:r w:rsidR="000F5B48">
        <w:rPr>
          <w:rFonts w:eastAsia="Arial Unicode MS"/>
          <w:u w:color="000000"/>
          <w:bdr w:val="nil"/>
          <w:lang w:val="es-DO" w:eastAsia="es-DO"/>
        </w:rPr>
        <w:t>l</w:t>
      </w:r>
      <w:r w:rsidRPr="005640F1">
        <w:rPr>
          <w:rFonts w:eastAsia="Arial Unicode MS"/>
          <w:u w:color="000000"/>
          <w:bdr w:val="nil"/>
          <w:lang w:val="es-DO" w:eastAsia="es-DO"/>
        </w:rPr>
        <w:t xml:space="preserve"> incumplimiento, conforme lo dispone la Primera Resolución de la Junta Monetaria (JM) de fecha 05 de febrero de 2015 y sus modificaciones.  </w:t>
      </w:r>
    </w:p>
    <w:p w14:paraId="2A14F07F" w14:textId="197505AA" w:rsidR="000E1A7F" w:rsidRDefault="005640F1" w:rsidP="006B204A">
      <w:pPr>
        <w:spacing w:line="360" w:lineRule="auto"/>
        <w:jc w:val="both"/>
        <w:rPr>
          <w:rFonts w:eastAsia="Arial Unicode MS"/>
          <w:bdr w:val="nil"/>
          <w:lang w:val="es-DO" w:eastAsia="es-DO"/>
        </w:rPr>
      </w:pPr>
      <w:r w:rsidRPr="005640F1">
        <w:rPr>
          <w:rFonts w:eastAsia="Arial Unicode MS"/>
          <w:bdr w:val="nil"/>
          <w:lang w:val="es-DO" w:eastAsia="es-DO"/>
        </w:rPr>
        <w:t xml:space="preserve">Durante el 2023, la Superintendencia de Bancos, a través de ProUsuario, ha registrado ciento sesenta y cinco mil ciento treinta y ocho (165,138) contactos con usuarios, representando un incremento de un 28.25% con relación al mismo período del año 2022. Cabe destacar que, del total de contactos con </w:t>
      </w:r>
      <w:r w:rsidR="009562FA" w:rsidRPr="005640F1">
        <w:rPr>
          <w:rFonts w:eastAsia="Arial Unicode MS"/>
          <w:bdr w:val="nil"/>
          <w:lang w:val="es-DO" w:eastAsia="es-DO"/>
        </w:rPr>
        <w:t>usuarios</w:t>
      </w:r>
      <w:r w:rsidRPr="005640F1">
        <w:rPr>
          <w:rFonts w:eastAsia="Arial Unicode MS"/>
          <w:bdr w:val="nil"/>
          <w:lang w:val="es-DO" w:eastAsia="es-DO"/>
        </w:rPr>
        <w:t>, 45% fueron realizados a través de los canales presenciales y alternos (oficinas, teléfono, correo electrónico, redes sociales, APP ProUsuario, WhatsApp</w:t>
      </w:r>
      <w:r w:rsidRPr="005640F1">
        <w:rPr>
          <w:rFonts w:eastAsia="Arial Unicode MS"/>
          <w:b/>
          <w:bdr w:val="nil"/>
          <w:lang w:val="es-DO" w:eastAsia="es-DO"/>
        </w:rPr>
        <w:t>,</w:t>
      </w:r>
      <w:r w:rsidRPr="005640F1">
        <w:rPr>
          <w:rFonts w:eastAsia="Arial Unicode MS"/>
          <w:bdr w:val="nil"/>
          <w:lang w:val="es-DO" w:eastAsia="es-DO"/>
        </w:rPr>
        <w:t xml:space="preserve"> atención virtual y chat) mientras que un 55% fueron realizados a través de nuestros canales de autoservicio (Sistema de IVR, página web, </w:t>
      </w:r>
      <w:bookmarkStart w:id="68" w:name="_Int_Gq6LZPdr"/>
      <w:r w:rsidRPr="005640F1">
        <w:rPr>
          <w:rFonts w:eastAsia="Arial Unicode MS"/>
          <w:bdr w:val="nil"/>
          <w:lang w:val="es-DO" w:eastAsia="es-DO"/>
        </w:rPr>
        <w:t>ChatBot</w:t>
      </w:r>
      <w:bookmarkEnd w:id="68"/>
      <w:r w:rsidRPr="005640F1">
        <w:rPr>
          <w:rFonts w:eastAsia="Arial Unicode MS"/>
          <w:bdr w:val="nil"/>
          <w:lang w:val="es-DO" w:eastAsia="es-DO"/>
        </w:rPr>
        <w:t xml:space="preserve"> Lucía: web y WhatsApp).</w:t>
      </w:r>
    </w:p>
    <w:p w14:paraId="37706F11" w14:textId="11ADC1BB" w:rsidR="005640F1" w:rsidRPr="005640F1" w:rsidRDefault="005640F1" w:rsidP="006B204A">
      <w:pPr>
        <w:spacing w:line="360" w:lineRule="auto"/>
        <w:jc w:val="center"/>
        <w:rPr>
          <w:rFonts w:eastAsia="Arial Unicode MS"/>
          <w:bdr w:val="nil"/>
          <w:lang w:val="es-DO" w:eastAsia="es-DO"/>
        </w:rPr>
      </w:pPr>
      <w:r w:rsidRPr="005640F1">
        <w:rPr>
          <w:rFonts w:eastAsia="Arial Unicode MS"/>
          <w:u w:color="000000"/>
          <w:bdr w:val="nil"/>
          <w:lang w:val="es-DO" w:eastAsia="es-DO"/>
        </w:rPr>
        <w:lastRenderedPageBreak/>
        <w:br/>
      </w:r>
      <w:r w:rsidRPr="005640F1">
        <w:rPr>
          <w:rFonts w:eastAsia="Arial Unicode MS"/>
          <w:b/>
          <w:bdr w:val="nil"/>
          <w:lang w:val="es-DO" w:eastAsia="es-DO"/>
        </w:rPr>
        <w:t xml:space="preserve">Tabla </w:t>
      </w:r>
      <w:r w:rsidR="00635189">
        <w:rPr>
          <w:rFonts w:eastAsia="Arial Unicode MS"/>
          <w:b/>
          <w:bdr w:val="nil"/>
          <w:lang w:val="es-DO" w:eastAsia="es-DO"/>
        </w:rPr>
        <w:t>4</w:t>
      </w:r>
      <w:r w:rsidRPr="005640F1">
        <w:rPr>
          <w:rFonts w:eastAsia="Arial Unicode MS"/>
          <w:b/>
          <w:bdr w:val="nil"/>
          <w:lang w:val="es-DO" w:eastAsia="es-DO"/>
        </w:rPr>
        <w:t xml:space="preserve">. Usuarios atendidos por ProUsuario, según canal </w:t>
      </w:r>
      <w:r w:rsidR="00225F37">
        <w:rPr>
          <w:rFonts w:eastAsia="Arial Unicode MS"/>
          <w:b/>
          <w:bdr w:val="nil"/>
          <w:lang w:val="es-DO" w:eastAsia="es-DO"/>
        </w:rPr>
        <w:t>corte</w:t>
      </w:r>
      <w:r w:rsidRPr="005640F1">
        <w:rPr>
          <w:rFonts w:eastAsia="Arial Unicode MS"/>
          <w:b/>
          <w:bdr w:val="nil"/>
          <w:lang w:val="es-DO" w:eastAsia="es-DO"/>
        </w:rPr>
        <w:t xml:space="preserve"> 15 de noviembre 2023</w:t>
      </w:r>
    </w:p>
    <w:tbl>
      <w:tblPr>
        <w:tblW w:w="7906"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095"/>
        <w:gridCol w:w="2811"/>
      </w:tblGrid>
      <w:tr w:rsidR="005640F1" w:rsidRPr="005640F1" w14:paraId="2EAF0D2C" w14:textId="77777777" w:rsidTr="00AC7C33">
        <w:trPr>
          <w:trHeight w:val="300"/>
          <w:tblHeader/>
        </w:trPr>
        <w:tc>
          <w:tcPr>
            <w:tcW w:w="5095" w:type="dxa"/>
            <w:tcBorders>
              <w:top w:val="single" w:sz="6" w:space="0" w:color="auto"/>
              <w:left w:val="single" w:sz="6" w:space="0" w:color="auto"/>
              <w:bottom w:val="single" w:sz="6" w:space="0" w:color="auto"/>
              <w:right w:val="single" w:sz="6" w:space="0" w:color="000000"/>
            </w:tcBorders>
            <w:shd w:val="clear" w:color="auto" w:fill="1F3864"/>
            <w:vAlign w:val="center"/>
            <w:hideMark/>
          </w:tcPr>
          <w:p w14:paraId="6F61B62A" w14:textId="45E819CD" w:rsidR="005640F1" w:rsidRPr="00944068" w:rsidRDefault="005640F1" w:rsidP="006B204A">
            <w:pPr>
              <w:spacing w:after="0" w:line="360" w:lineRule="auto"/>
              <w:rPr>
                <w:rFonts w:eastAsia="Arial Unicode MS"/>
                <w:b/>
                <w:color w:val="FFFFFF" w:themeColor="background1"/>
                <w:u w:color="000000"/>
                <w:bdr w:val="nil"/>
                <w:lang w:val="es-DO" w:eastAsia="es-DO"/>
              </w:rPr>
            </w:pPr>
            <w:r w:rsidRPr="00944068">
              <w:rPr>
                <w:rFonts w:eastAsia="Arial Unicode MS"/>
                <w:b/>
                <w:color w:val="FFFFFF" w:themeColor="background1"/>
                <w:u w:color="000000"/>
                <w:bdr w:val="nil"/>
                <w:lang w:val="es-DO" w:eastAsia="es-DO"/>
              </w:rPr>
              <w:t>Canales alternos</w:t>
            </w:r>
          </w:p>
        </w:tc>
        <w:tc>
          <w:tcPr>
            <w:tcW w:w="2811" w:type="dxa"/>
            <w:tcBorders>
              <w:top w:val="single" w:sz="6" w:space="0" w:color="auto"/>
              <w:left w:val="single" w:sz="6" w:space="0" w:color="auto"/>
              <w:bottom w:val="single" w:sz="6" w:space="0" w:color="auto"/>
              <w:right w:val="single" w:sz="6" w:space="0" w:color="000000"/>
            </w:tcBorders>
            <w:shd w:val="clear" w:color="auto" w:fill="1F3864"/>
            <w:vAlign w:val="center"/>
            <w:hideMark/>
          </w:tcPr>
          <w:p w14:paraId="1296650B" w14:textId="7A6804F7" w:rsidR="005640F1" w:rsidRPr="00944068" w:rsidRDefault="005640F1" w:rsidP="006B204A">
            <w:pPr>
              <w:spacing w:after="0" w:line="360" w:lineRule="auto"/>
              <w:jc w:val="center"/>
              <w:rPr>
                <w:rFonts w:eastAsia="Arial Unicode MS"/>
                <w:b/>
                <w:color w:val="FFFFFF" w:themeColor="background1"/>
                <w:u w:color="000000"/>
                <w:bdr w:val="nil"/>
                <w:lang w:val="es-DO" w:eastAsia="es-DO"/>
              </w:rPr>
            </w:pPr>
            <w:r w:rsidRPr="00944068">
              <w:rPr>
                <w:rFonts w:eastAsia="Arial Unicode MS"/>
                <w:b/>
                <w:color w:val="FFFFFF" w:themeColor="background1"/>
                <w:u w:color="000000"/>
                <w:bdr w:val="nil"/>
                <w:lang w:val="es-DO" w:eastAsia="es-DO"/>
              </w:rPr>
              <w:t>Usuarios atendidos</w:t>
            </w:r>
          </w:p>
        </w:tc>
      </w:tr>
      <w:tr w:rsidR="005640F1" w:rsidRPr="005640F1" w14:paraId="443D3F43"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C9910FA" w14:textId="58EFDB36"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Presencial</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72CFEF1" w14:textId="04B99909"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12,146</w:t>
            </w:r>
          </w:p>
        </w:tc>
      </w:tr>
      <w:tr w:rsidR="005640F1" w:rsidRPr="005640F1" w14:paraId="1F3563C6"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CB0D3C3" w14:textId="5F30AFC1"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Teléfono</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26B8EBA8" w14:textId="69D375DF"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26,793</w:t>
            </w:r>
          </w:p>
        </w:tc>
      </w:tr>
      <w:tr w:rsidR="005640F1" w:rsidRPr="005640F1" w14:paraId="3842AB47"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E41714E" w14:textId="705DE864"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Correo electrónico (incluyendo APP ProUsuario)</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FA49707" w14:textId="5DA9323F"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21,220</w:t>
            </w:r>
          </w:p>
        </w:tc>
      </w:tr>
      <w:tr w:rsidR="005640F1" w:rsidRPr="005640F1" w14:paraId="456526D9"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0B1A46C" w14:textId="3EF986B5"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Chat</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69FDB712" w14:textId="05B1B635"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8,796</w:t>
            </w:r>
          </w:p>
        </w:tc>
      </w:tr>
      <w:tr w:rsidR="005640F1" w:rsidRPr="005640F1" w14:paraId="2910BDA9"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4902F98" w14:textId="0DA7CAAD"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WhatsApp</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7EAF1D" w14:textId="791703E5"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1,798</w:t>
            </w:r>
          </w:p>
        </w:tc>
      </w:tr>
      <w:tr w:rsidR="005640F1" w:rsidRPr="005640F1" w14:paraId="181FD198"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0248B2DF" w14:textId="02FD591D"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Redes Sociales</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A02CA83" w14:textId="4C5056D2"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2,623</w:t>
            </w:r>
          </w:p>
        </w:tc>
      </w:tr>
      <w:tr w:rsidR="005640F1" w:rsidRPr="005640F1" w14:paraId="12CBFB26"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7B88212" w14:textId="411F935A"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Atención Virtual</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1C62BBD1" w14:textId="7364C519"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433</w:t>
            </w:r>
          </w:p>
        </w:tc>
      </w:tr>
      <w:tr w:rsidR="005640F1" w:rsidRPr="005640F1" w14:paraId="78D2ABDC"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1F3864"/>
            <w:vAlign w:val="center"/>
            <w:hideMark/>
          </w:tcPr>
          <w:p w14:paraId="366E9974" w14:textId="26C7467E" w:rsidR="005640F1" w:rsidRPr="00944068" w:rsidRDefault="005640F1" w:rsidP="006B204A">
            <w:pPr>
              <w:spacing w:after="0" w:line="360" w:lineRule="auto"/>
              <w:rPr>
                <w:rFonts w:eastAsia="Arial Unicode MS"/>
                <w:b/>
                <w:color w:val="FFFFFF" w:themeColor="background1"/>
                <w:u w:color="000000"/>
                <w:bdr w:val="nil"/>
                <w:lang w:val="es-DO" w:eastAsia="es-DO"/>
              </w:rPr>
            </w:pPr>
            <w:r w:rsidRPr="00944068">
              <w:rPr>
                <w:rFonts w:eastAsia="Arial Unicode MS"/>
                <w:b/>
                <w:color w:val="FFFFFF" w:themeColor="background1"/>
                <w:u w:color="000000"/>
                <w:bdr w:val="nil"/>
                <w:lang w:val="es-DO" w:eastAsia="es-DO"/>
              </w:rPr>
              <w:t>Canales de autoservicio</w:t>
            </w:r>
          </w:p>
        </w:tc>
        <w:tc>
          <w:tcPr>
            <w:tcW w:w="2811" w:type="dxa"/>
            <w:tcBorders>
              <w:top w:val="single" w:sz="6" w:space="0" w:color="auto"/>
              <w:left w:val="single" w:sz="6" w:space="0" w:color="auto"/>
              <w:bottom w:val="single" w:sz="6" w:space="0" w:color="auto"/>
              <w:right w:val="single" w:sz="6" w:space="0" w:color="auto"/>
            </w:tcBorders>
            <w:shd w:val="clear" w:color="auto" w:fill="1F3864"/>
            <w:vAlign w:val="center"/>
            <w:hideMark/>
          </w:tcPr>
          <w:p w14:paraId="4C01B6E7" w14:textId="4A47279B" w:rsidR="005640F1" w:rsidRPr="00944068" w:rsidRDefault="005640F1" w:rsidP="006B204A">
            <w:pPr>
              <w:spacing w:after="0" w:line="360" w:lineRule="auto"/>
              <w:jc w:val="center"/>
              <w:rPr>
                <w:rFonts w:eastAsia="Arial Unicode MS"/>
                <w:b/>
                <w:color w:val="FFFFFF" w:themeColor="background1"/>
                <w:u w:color="000000"/>
                <w:bdr w:val="nil"/>
                <w:lang w:val="es-DO" w:eastAsia="es-DO"/>
              </w:rPr>
            </w:pPr>
            <w:r w:rsidRPr="00944068">
              <w:rPr>
                <w:rFonts w:eastAsia="Arial Unicode MS"/>
                <w:b/>
                <w:color w:val="FFFFFF" w:themeColor="background1"/>
                <w:u w:color="000000"/>
                <w:bdr w:val="nil"/>
                <w:lang w:val="es-DO" w:eastAsia="es-DO"/>
              </w:rPr>
              <w:t>Usuarios atendidos</w:t>
            </w:r>
          </w:p>
        </w:tc>
      </w:tr>
      <w:tr w:rsidR="005640F1" w:rsidRPr="005640F1" w14:paraId="0B230414"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517FEFF" w14:textId="7BEA5560"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Sistema de IVR (consulta estatus de caso)</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449E6204" w14:textId="67DA4978"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6,261</w:t>
            </w:r>
          </w:p>
        </w:tc>
      </w:tr>
      <w:tr w:rsidR="005640F1" w:rsidRPr="005640F1" w14:paraId="53658D20"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96037D3" w14:textId="3C417BB4"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Página web (consulta estatus de caso)</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5B4A7B35" w14:textId="37336C94"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5,313</w:t>
            </w:r>
          </w:p>
        </w:tc>
      </w:tr>
      <w:tr w:rsidR="005640F1" w:rsidRPr="005640F1" w14:paraId="460AF1A5" w14:textId="77777777" w:rsidTr="00C63E59">
        <w:trPr>
          <w:trHeight w:val="300"/>
        </w:trPr>
        <w:tc>
          <w:tcPr>
            <w:tcW w:w="5095"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79E3DB8A" w14:textId="4AD9287B" w:rsidR="005640F1" w:rsidRPr="000E1A7F" w:rsidRDefault="005640F1" w:rsidP="006B204A">
            <w:pPr>
              <w:spacing w:after="0" w:line="360" w:lineRule="auto"/>
              <w:rPr>
                <w:rFonts w:eastAsia="Arial Unicode MS"/>
                <w:b/>
                <w:bCs/>
                <w:u w:color="000000"/>
                <w:bdr w:val="nil"/>
                <w:lang w:val="es-DO" w:eastAsia="es-DO"/>
              </w:rPr>
            </w:pPr>
            <w:r w:rsidRPr="000E1A7F">
              <w:rPr>
                <w:rFonts w:eastAsia="Arial Unicode MS"/>
                <w:b/>
                <w:bCs/>
                <w:u w:color="000000"/>
                <w:bdr w:val="nil"/>
                <w:lang w:val="es-DO" w:eastAsia="es-DO"/>
              </w:rPr>
              <w:t>ChatBot Lucía (página web y WhatsApp)</w:t>
            </w:r>
          </w:p>
        </w:tc>
        <w:tc>
          <w:tcPr>
            <w:tcW w:w="2811" w:type="dxa"/>
            <w:tcBorders>
              <w:top w:val="single" w:sz="6" w:space="0" w:color="auto"/>
              <w:left w:val="single" w:sz="6" w:space="0" w:color="auto"/>
              <w:bottom w:val="single" w:sz="6" w:space="0" w:color="auto"/>
              <w:right w:val="single" w:sz="6" w:space="0" w:color="auto"/>
            </w:tcBorders>
            <w:shd w:val="clear" w:color="auto" w:fill="FFFFFF"/>
            <w:vAlign w:val="center"/>
            <w:hideMark/>
          </w:tcPr>
          <w:p w14:paraId="356A31F2" w14:textId="07F2D1CD" w:rsidR="005640F1" w:rsidRPr="005640F1" w:rsidRDefault="005640F1" w:rsidP="006B204A">
            <w:pPr>
              <w:spacing w:after="0" w:line="360" w:lineRule="auto"/>
              <w:jc w:val="center"/>
              <w:rPr>
                <w:rFonts w:eastAsia="Arial Unicode MS"/>
                <w:u w:color="000000"/>
                <w:bdr w:val="nil"/>
                <w:lang w:val="es-DO" w:eastAsia="es-DO"/>
              </w:rPr>
            </w:pPr>
            <w:r w:rsidRPr="005640F1">
              <w:rPr>
                <w:rFonts w:eastAsia="Arial Unicode MS"/>
                <w:u w:color="000000"/>
                <w:bdr w:val="nil"/>
                <w:lang w:val="es-DO" w:eastAsia="es-DO"/>
              </w:rPr>
              <w:t>79,755</w:t>
            </w:r>
          </w:p>
        </w:tc>
      </w:tr>
      <w:tr w:rsidR="005640F1" w:rsidRPr="005640F1" w14:paraId="744A6C05" w14:textId="77777777" w:rsidTr="00C63E59">
        <w:trPr>
          <w:trHeight w:val="300"/>
        </w:trPr>
        <w:tc>
          <w:tcPr>
            <w:tcW w:w="5095" w:type="dxa"/>
            <w:tcBorders>
              <w:top w:val="single" w:sz="6" w:space="0" w:color="auto"/>
              <w:left w:val="single" w:sz="6" w:space="0" w:color="auto"/>
              <w:bottom w:val="single" w:sz="6" w:space="0" w:color="auto"/>
              <w:right w:val="single" w:sz="6" w:space="0" w:color="000000"/>
            </w:tcBorders>
            <w:shd w:val="clear" w:color="auto" w:fill="1F3864"/>
            <w:vAlign w:val="center"/>
            <w:hideMark/>
          </w:tcPr>
          <w:p w14:paraId="2CE533E3" w14:textId="09675428" w:rsidR="005640F1" w:rsidRPr="00944068" w:rsidRDefault="005640F1" w:rsidP="006B204A">
            <w:pPr>
              <w:spacing w:after="0" w:line="360" w:lineRule="auto"/>
              <w:rPr>
                <w:rFonts w:eastAsia="Arial Unicode MS"/>
                <w:b/>
                <w:color w:val="FFFFFF" w:themeColor="background1"/>
                <w:u w:color="000000"/>
                <w:bdr w:val="nil"/>
                <w:lang w:val="es-DO" w:eastAsia="es-DO"/>
              </w:rPr>
            </w:pPr>
            <w:r w:rsidRPr="00944068">
              <w:rPr>
                <w:rFonts w:eastAsia="Arial Unicode MS"/>
                <w:b/>
                <w:color w:val="FFFFFF" w:themeColor="background1"/>
                <w:u w:color="000000"/>
                <w:bdr w:val="nil"/>
                <w:lang w:val="es-DO" w:eastAsia="es-DO"/>
              </w:rPr>
              <w:t>Total</w:t>
            </w:r>
          </w:p>
        </w:tc>
        <w:tc>
          <w:tcPr>
            <w:tcW w:w="2811" w:type="dxa"/>
            <w:tcBorders>
              <w:top w:val="single" w:sz="6" w:space="0" w:color="auto"/>
              <w:left w:val="single" w:sz="6" w:space="0" w:color="auto"/>
              <w:bottom w:val="single" w:sz="6" w:space="0" w:color="auto"/>
              <w:right w:val="single" w:sz="6" w:space="0" w:color="000000"/>
            </w:tcBorders>
            <w:shd w:val="clear" w:color="auto" w:fill="1F3864"/>
            <w:vAlign w:val="center"/>
            <w:hideMark/>
          </w:tcPr>
          <w:p w14:paraId="70046959" w14:textId="5C143C3A" w:rsidR="005640F1" w:rsidRPr="00944068" w:rsidRDefault="005640F1" w:rsidP="006B204A">
            <w:pPr>
              <w:spacing w:after="0" w:line="360" w:lineRule="auto"/>
              <w:jc w:val="center"/>
              <w:rPr>
                <w:rFonts w:eastAsia="Arial Unicode MS"/>
                <w:color w:val="FFFFFF" w:themeColor="background1"/>
                <w:u w:color="000000"/>
                <w:bdr w:val="nil"/>
                <w:lang w:val="es-DO" w:eastAsia="es-DO"/>
              </w:rPr>
            </w:pPr>
            <w:r w:rsidRPr="00944068">
              <w:rPr>
                <w:rFonts w:eastAsia="Arial Unicode MS"/>
                <w:b/>
                <w:color w:val="FFFFFF" w:themeColor="background1"/>
                <w:u w:color="000000"/>
                <w:bdr w:val="nil"/>
                <w:lang w:val="es-DO" w:eastAsia="es-DO"/>
              </w:rPr>
              <w:t>165,138</w:t>
            </w:r>
          </w:p>
        </w:tc>
      </w:tr>
    </w:tbl>
    <w:p w14:paraId="661F0336" w14:textId="697D0409" w:rsidR="005640F1" w:rsidRPr="000E1A7F" w:rsidRDefault="005640F1" w:rsidP="006B204A">
      <w:pPr>
        <w:spacing w:line="360" w:lineRule="auto"/>
        <w:jc w:val="center"/>
        <w:rPr>
          <w:rFonts w:eastAsia="Arial Unicode MS"/>
          <w:u w:color="000000"/>
          <w:bdr w:val="nil"/>
          <w:lang w:val="es-DO" w:eastAsia="es-DO"/>
        </w:rPr>
      </w:pPr>
      <w:r w:rsidRPr="000E1A7F">
        <w:rPr>
          <w:rFonts w:eastAsia="Arial Unicode MS"/>
          <w:b/>
          <w:bCs/>
          <w:u w:color="000000"/>
          <w:bdr w:val="nil"/>
          <w:lang w:val="es-DO" w:eastAsia="es-DO"/>
        </w:rPr>
        <w:t>Fuente</w:t>
      </w:r>
      <w:r w:rsidRPr="000E1A7F">
        <w:rPr>
          <w:rFonts w:eastAsia="Arial Unicode MS"/>
          <w:u w:color="000000"/>
          <w:bdr w:val="nil"/>
          <w:lang w:val="es-DO" w:eastAsia="es-DO"/>
        </w:rPr>
        <w:t>: Oficina de ProUsuario. Superintendencia de Bancos de la República Dominicana. 2023.</w:t>
      </w:r>
    </w:p>
    <w:p w14:paraId="5F5DB32C" w14:textId="33DF42AC"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ES" w:eastAsia="es-DO"/>
        </w:rPr>
        <w:t> </w:t>
      </w:r>
      <w:r w:rsidRPr="005640F1">
        <w:rPr>
          <w:rFonts w:eastAsia="Arial Unicode MS"/>
          <w:u w:color="000000"/>
          <w:bdr w:val="nil"/>
          <w:lang w:val="es-DO" w:eastAsia="es-DO"/>
        </w:rPr>
        <w:t xml:space="preserve">La atención brindada ha sido bien valorada por </w:t>
      </w:r>
      <w:r w:rsidR="000E1A7F" w:rsidRPr="005640F1">
        <w:rPr>
          <w:rFonts w:eastAsia="Arial Unicode MS"/>
          <w:u w:color="000000"/>
          <w:bdr w:val="nil"/>
          <w:lang w:val="es-DO" w:eastAsia="es-DO"/>
        </w:rPr>
        <w:t>los usuarios</w:t>
      </w:r>
      <w:r w:rsidRPr="005640F1">
        <w:rPr>
          <w:rFonts w:eastAsia="Arial Unicode MS"/>
          <w:u w:color="000000"/>
          <w:bdr w:val="nil"/>
          <w:lang w:val="es-DO" w:eastAsia="es-DO"/>
        </w:rPr>
        <w:t xml:space="preserve"> asistidos, obteniendo un promedio mensual de satisfacción de 93%. Esto, según lo indicado por las dieciocho mil doscientas ochenta (18,280) encuestas completadas por </w:t>
      </w:r>
      <w:r w:rsidR="000E1A7F" w:rsidRPr="005640F1">
        <w:rPr>
          <w:rFonts w:eastAsia="Arial Unicode MS"/>
          <w:u w:color="000000"/>
          <w:bdr w:val="nil"/>
          <w:lang w:val="es-DO" w:eastAsia="es-DO"/>
        </w:rPr>
        <w:t>usuarios</w:t>
      </w:r>
      <w:r w:rsidRPr="005640F1">
        <w:rPr>
          <w:rFonts w:eastAsia="Arial Unicode MS"/>
          <w:u w:color="000000"/>
          <w:bdr w:val="nil"/>
          <w:lang w:val="es-DO" w:eastAsia="es-DO"/>
        </w:rPr>
        <w:t>, luego de recibir nuestros servicios en los canales de atención.  </w:t>
      </w:r>
    </w:p>
    <w:p w14:paraId="71C32567" w14:textId="09C72553"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 xml:space="preserve">Se incorporaron dos funcionalidades nuevas en la aplicación ProUsuario. Entre ellos se encuentra el comparativo de indicadores, lanzado en el mes de julio 2023, que forma parte de la Consulta Crediticia, la cual permite que los usuarios y usuarias comparen </w:t>
      </w:r>
      <w:r w:rsidRPr="005640F1">
        <w:rPr>
          <w:rFonts w:eastAsia="Arial Unicode MS"/>
          <w:u w:color="000000"/>
          <w:bdr w:val="nil"/>
          <w:lang w:val="es-DO" w:eastAsia="es-DO"/>
        </w:rPr>
        <w:lastRenderedPageBreak/>
        <w:t>algunos de sus indicadores financieros contra el promedio del resto de la población general o</w:t>
      </w:r>
      <w:r w:rsidR="002516BB">
        <w:rPr>
          <w:rFonts w:eastAsia="Arial Unicode MS"/>
          <w:u w:color="000000"/>
          <w:bdr w:val="nil"/>
          <w:lang w:val="es-DO" w:eastAsia="es-DO"/>
        </w:rPr>
        <w:t xml:space="preserve"> contra</w:t>
      </w:r>
      <w:r w:rsidRPr="005640F1">
        <w:rPr>
          <w:rFonts w:eastAsia="Arial Unicode MS"/>
          <w:u w:color="000000"/>
          <w:bdr w:val="nil"/>
          <w:lang w:val="es-DO" w:eastAsia="es-DO"/>
        </w:rPr>
        <w:t xml:space="preserve"> los usuarios y usuarias que tienen características demográficas similares a ellos. </w:t>
      </w:r>
      <w:r w:rsidR="004F7497" w:rsidRPr="005640F1">
        <w:rPr>
          <w:rFonts w:eastAsia="Arial Unicode MS"/>
          <w:u w:color="000000"/>
          <w:bdr w:val="nil"/>
          <w:lang w:val="es-DO" w:eastAsia="es-DO"/>
        </w:rPr>
        <w:t>Asimismo</w:t>
      </w:r>
      <w:r w:rsidRPr="005640F1">
        <w:rPr>
          <w:rFonts w:eastAsia="Arial Unicode MS"/>
          <w:u w:color="000000"/>
          <w:bdr w:val="nil"/>
          <w:lang w:val="es-DO" w:eastAsia="es-DO"/>
        </w:rPr>
        <w:t xml:space="preserve">, se </w:t>
      </w:r>
      <w:r w:rsidR="0096138C">
        <w:rPr>
          <w:rFonts w:eastAsia="Arial Unicode MS"/>
          <w:u w:color="000000"/>
          <w:bdr w:val="nil"/>
          <w:lang w:val="es-DO" w:eastAsia="es-DO"/>
        </w:rPr>
        <w:t>agregó la funcionalidad de</w:t>
      </w:r>
      <w:r w:rsidR="00E327A1">
        <w:rPr>
          <w:rFonts w:eastAsia="Arial Unicode MS"/>
          <w:u w:color="000000"/>
          <w:bdr w:val="nil"/>
          <w:lang w:val="es-DO" w:eastAsia="es-DO"/>
        </w:rPr>
        <w:t>l</w:t>
      </w:r>
      <w:r w:rsidRPr="005640F1">
        <w:rPr>
          <w:rFonts w:eastAsia="Arial Unicode MS"/>
          <w:u w:color="000000"/>
          <w:bdr w:val="nil"/>
          <w:lang w:val="es-DO" w:eastAsia="es-DO"/>
        </w:rPr>
        <w:t xml:space="preserve"> mapa bancario, el cual permite a </w:t>
      </w:r>
      <w:r w:rsidR="000E1A7F" w:rsidRPr="005640F1">
        <w:rPr>
          <w:rFonts w:eastAsia="Arial Unicode MS"/>
          <w:u w:color="000000"/>
          <w:bdr w:val="nil"/>
          <w:lang w:val="es-DO" w:eastAsia="es-DO"/>
        </w:rPr>
        <w:t>los usuarios</w:t>
      </w:r>
      <w:r w:rsidRPr="005640F1">
        <w:rPr>
          <w:rFonts w:eastAsia="Arial Unicode MS"/>
          <w:u w:color="000000"/>
          <w:bdr w:val="nil"/>
          <w:lang w:val="es-DO" w:eastAsia="es-DO"/>
        </w:rPr>
        <w:t xml:space="preserve"> explorar las ubicaciones y horarios de todas las sucursales, cajeros automáticos y subagentes bancarios. </w:t>
      </w:r>
    </w:p>
    <w:p w14:paraId="667EE005" w14:textId="07D625FA"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 xml:space="preserve">Cabe destacar que, al 15 de noviembre 2023 la aplicación ProUsuario ha alcanzado doscientos veinte y tres mil novecientos uno (223,901) </w:t>
      </w:r>
      <w:r w:rsidR="000E1A7F" w:rsidRPr="005640F1">
        <w:rPr>
          <w:rFonts w:eastAsia="Arial Unicode MS"/>
          <w:u w:color="000000"/>
          <w:bdr w:val="nil"/>
          <w:lang w:val="es-DO" w:eastAsia="es-DO"/>
        </w:rPr>
        <w:t>usuarios</w:t>
      </w:r>
      <w:r w:rsidRPr="005640F1">
        <w:rPr>
          <w:rFonts w:eastAsia="Arial Unicode MS"/>
          <w:u w:color="000000"/>
          <w:bdr w:val="nil"/>
          <w:lang w:val="es-DO" w:eastAsia="es-DO"/>
        </w:rPr>
        <w:t xml:space="preserve"> financieros registrados </w:t>
      </w:r>
      <w:r w:rsidR="00BE3649">
        <w:rPr>
          <w:rFonts w:eastAsia="Arial Unicode MS"/>
          <w:u w:color="000000"/>
          <w:bdr w:val="nil"/>
          <w:lang w:val="es-DO" w:eastAsia="es-DO"/>
        </w:rPr>
        <w:t>y</w:t>
      </w:r>
      <w:r w:rsidRPr="005640F1">
        <w:rPr>
          <w:rFonts w:eastAsia="Arial Unicode MS"/>
          <w:u w:color="000000"/>
          <w:bdr w:val="nil"/>
          <w:lang w:val="es-DO" w:eastAsia="es-DO"/>
        </w:rPr>
        <w:t xml:space="preserve"> sesenta mil treinta y un (60,031) </w:t>
      </w:r>
      <w:r w:rsidR="000E1A7F" w:rsidRPr="005640F1">
        <w:rPr>
          <w:rFonts w:eastAsia="Arial Unicode MS"/>
          <w:u w:color="000000"/>
          <w:bdr w:val="nil"/>
          <w:lang w:val="es-DO" w:eastAsia="es-DO"/>
        </w:rPr>
        <w:t>usuarios</w:t>
      </w:r>
      <w:r w:rsidRPr="005640F1">
        <w:rPr>
          <w:rFonts w:eastAsia="Arial Unicode MS"/>
          <w:u w:color="000000"/>
          <w:bdr w:val="nil"/>
          <w:lang w:val="es-DO" w:eastAsia="es-DO"/>
        </w:rPr>
        <w:t xml:space="preserve"> han logrado identificar cuentas inactivas y abandonadas mediante </w:t>
      </w:r>
      <w:r w:rsidR="000C737F">
        <w:rPr>
          <w:rFonts w:eastAsia="Arial Unicode MS"/>
          <w:u w:color="000000"/>
          <w:bdr w:val="nil"/>
          <w:lang w:val="es-DO" w:eastAsia="es-DO"/>
        </w:rPr>
        <w:t>la misma</w:t>
      </w:r>
      <w:r w:rsidRPr="005640F1">
        <w:rPr>
          <w:rFonts w:eastAsia="Arial Unicode MS"/>
          <w:u w:color="000000"/>
          <w:bdr w:val="nil"/>
          <w:lang w:val="es-DO" w:eastAsia="es-DO"/>
        </w:rPr>
        <w:t>, con fondos que alcanzan un total de RD $67</w:t>
      </w:r>
      <w:r w:rsidR="00EA485F">
        <w:rPr>
          <w:rFonts w:eastAsia="Arial Unicode MS"/>
          <w:u w:color="000000"/>
          <w:bdr w:val="nil"/>
          <w:lang w:val="es-DO" w:eastAsia="es-DO"/>
        </w:rPr>
        <w:t>,</w:t>
      </w:r>
      <w:r w:rsidRPr="005640F1">
        <w:rPr>
          <w:rFonts w:eastAsia="Arial Unicode MS"/>
          <w:u w:color="000000"/>
          <w:bdr w:val="nil"/>
          <w:lang w:val="es-DO" w:eastAsia="es-DO"/>
        </w:rPr>
        <w:t>810 millones.</w:t>
      </w:r>
    </w:p>
    <w:p w14:paraId="6114BEF9" w14:textId="77777777"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b/>
          <w:bCs/>
          <w:u w:color="000000"/>
          <w:bdr w:val="nil"/>
          <w:lang w:val="es-DO" w:eastAsia="es-DO"/>
        </w:rPr>
        <w:t>Educación Financiera</w:t>
      </w:r>
      <w:r w:rsidRPr="005640F1">
        <w:rPr>
          <w:rFonts w:eastAsia="Arial Unicode MS"/>
          <w:u w:color="000000"/>
          <w:bdr w:val="nil"/>
          <w:lang w:val="es-DO" w:eastAsia="es-DO"/>
        </w:rPr>
        <w:t> </w:t>
      </w:r>
    </w:p>
    <w:p w14:paraId="73EF3EC1" w14:textId="426F572F" w:rsidR="005640F1" w:rsidRPr="005640F1" w:rsidRDefault="005640F1" w:rsidP="006B204A">
      <w:pPr>
        <w:spacing w:line="360" w:lineRule="auto"/>
        <w:jc w:val="both"/>
        <w:rPr>
          <w:rFonts w:eastAsia="Arial Unicode MS"/>
          <w:bdr w:val="nil"/>
          <w:lang w:val="es-DO" w:eastAsia="es-DO"/>
        </w:rPr>
      </w:pPr>
      <w:r w:rsidRPr="005640F1">
        <w:rPr>
          <w:rFonts w:eastAsia="Arial Unicode MS"/>
          <w:bdr w:val="nil"/>
          <w:lang w:val="es-DO" w:eastAsia="es-DO"/>
        </w:rPr>
        <w:t xml:space="preserve">Dentro de las iniciativas realizadas para promover la educación financiera en la población joven dominicana, se destacó la Ruta Nacional de Educación Financiera bajo el nombre de “Ponte </w:t>
      </w:r>
      <w:bookmarkStart w:id="69" w:name="_Int_h5ayyKIT"/>
      <w:proofErr w:type="spellStart"/>
      <w:r w:rsidRPr="005640F1">
        <w:rPr>
          <w:rFonts w:eastAsia="Arial Unicode MS"/>
          <w:bdr w:val="nil"/>
          <w:lang w:val="es-DO" w:eastAsia="es-DO"/>
        </w:rPr>
        <w:t>pa</w:t>
      </w:r>
      <w:bookmarkEnd w:id="69"/>
      <w:proofErr w:type="spellEnd"/>
      <w:r w:rsidRPr="005640F1">
        <w:rPr>
          <w:rFonts w:eastAsia="Arial Unicode MS"/>
          <w:bdr w:val="nil"/>
          <w:lang w:val="es-DO" w:eastAsia="es-DO"/>
        </w:rPr>
        <w:t xml:space="preserve">´ tus finanzas”. En esta ruta se visitaron 7 Centros de Estudios de las provincias más pobladas del país, </w:t>
      </w:r>
      <w:r w:rsidR="00DF18B3">
        <w:rPr>
          <w:rFonts w:eastAsia="Arial Unicode MS"/>
          <w:bdr w:val="nil"/>
          <w:lang w:val="es-DO" w:eastAsia="es-DO"/>
        </w:rPr>
        <w:t>en los que</w:t>
      </w:r>
      <w:r w:rsidRPr="005640F1">
        <w:rPr>
          <w:rFonts w:eastAsia="Arial Unicode MS"/>
          <w:bdr w:val="nil"/>
          <w:lang w:val="es-DO" w:eastAsia="es-DO"/>
        </w:rPr>
        <w:t xml:space="preserve"> fue impartida una charla magistral de educación financiera impartida por el Superintendente de Bancos, Alejandro Fernández W. y la directora de la Oficina de Servicios y Protección al Usuario (ProUsuario), Natalia Sánchez.</w:t>
      </w:r>
    </w:p>
    <w:p w14:paraId="3C476C52" w14:textId="67B1A215" w:rsidR="005640F1" w:rsidRPr="005640F1" w:rsidRDefault="006860B9" w:rsidP="006B204A">
      <w:pPr>
        <w:spacing w:line="360" w:lineRule="auto"/>
        <w:jc w:val="both"/>
        <w:rPr>
          <w:rFonts w:eastAsia="Arial Unicode MS"/>
          <w:u w:color="000000"/>
          <w:bdr w:val="nil"/>
          <w:lang w:val="es-DO" w:eastAsia="es-DO"/>
        </w:rPr>
      </w:pPr>
      <w:r>
        <w:rPr>
          <w:rFonts w:eastAsia="Arial Unicode MS"/>
          <w:u w:color="000000"/>
          <w:bdr w:val="nil"/>
          <w:lang w:val="es-DO" w:eastAsia="es-DO"/>
        </w:rPr>
        <w:t xml:space="preserve">En adición, de </w:t>
      </w:r>
      <w:r w:rsidR="005640F1" w:rsidRPr="005640F1">
        <w:rPr>
          <w:rFonts w:eastAsia="Arial Unicode MS"/>
          <w:u w:color="000000"/>
          <w:bdr w:val="nil"/>
          <w:lang w:val="es-DO" w:eastAsia="es-DO"/>
        </w:rPr>
        <w:t xml:space="preserve">esta ruta de educación participaron más de mil quinientos (1,500) jóvenes </w:t>
      </w:r>
      <w:r w:rsidR="000827D4">
        <w:rPr>
          <w:rFonts w:eastAsia="Arial Unicode MS"/>
          <w:u w:color="000000"/>
          <w:bdr w:val="nil"/>
          <w:lang w:val="es-DO" w:eastAsia="es-DO"/>
        </w:rPr>
        <w:t>de las siguientes universidades</w:t>
      </w:r>
      <w:r w:rsidR="005640F1" w:rsidRPr="005640F1">
        <w:rPr>
          <w:rFonts w:eastAsia="Arial Unicode MS"/>
          <w:u w:color="000000"/>
          <w:bdr w:val="nil"/>
          <w:lang w:val="es-DO" w:eastAsia="es-DO"/>
        </w:rPr>
        <w:t xml:space="preserve">: Universidad Autónoma de Santo Domingo (UASD) recinto Santo Domingo, Pontificia Universidad Católica Madre y Maestra (PUCMM) recinto Santiago, Universidad Tecnológica de Santiago (UTESA), recinto Moca, Universidad Dominicana Organización y Método (O&amp;M), recinto La Romana, Universidad Federico Henríquez </w:t>
      </w:r>
      <w:r w:rsidR="005640F1" w:rsidRPr="005640F1">
        <w:rPr>
          <w:rFonts w:eastAsia="Arial Unicode MS"/>
          <w:u w:color="000000"/>
          <w:bdr w:val="nil"/>
          <w:lang w:val="es-DO" w:eastAsia="es-DO"/>
        </w:rPr>
        <w:lastRenderedPageBreak/>
        <w:t>y Carvajal (UFHEC), recinto Baní, Universidad Tecnológica de Santiago (UTESA), recinto Puerto Plata, incluyendo además al Instituto Politécnico Loyola San Cristóbal.</w:t>
      </w:r>
    </w:p>
    <w:p w14:paraId="1B136985" w14:textId="77777777"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En el 2023, ProUsuario mantuvo su participación en la Semana Económica Financiera del Banco Central, celebrada en el mes de marzo. En la cual se impartieron tres (3) charlas presenciales, dos (2) en Santo Domingo y una (1) en Santiago, las cuales tuvieron un alcance total de doscientos diez (210) jóvenes.  Adicionalmente, se realizó el programa mensual de charlas virtuales de Educación Financiera, donde se han impartido ocho (8) charlas, con un total consolidado de quinientos setenta y cinco (575) asistentes al 15 de noviembre.  </w:t>
      </w:r>
    </w:p>
    <w:p w14:paraId="52C3E417" w14:textId="745BE4F1"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Adicionalmente, bajo el acuerdo de colaboración realizado con el programa "Supérate", para fines de realizar aportes en materia de inclusión y educación financiera este año se dio continuidad al programa de visitas educativas a la Sala de Matemáticas de la Biblioteca Infantil y Juvenil República Dominicana, beneficiando a Cuatrocientos (480) niños y jóvenes pertenecientes a familias del Programa “Supérate”, que están recibiendo instrucción e interactuando en el espacio educativo.</w:t>
      </w:r>
    </w:p>
    <w:p w14:paraId="401218DA" w14:textId="251CA3B3"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 xml:space="preserve">Así mismo, </w:t>
      </w:r>
      <w:r w:rsidR="00F1076B">
        <w:rPr>
          <w:rFonts w:eastAsia="Arial Unicode MS"/>
          <w:u w:color="000000"/>
          <w:bdr w:val="nil"/>
          <w:lang w:val="es-DO" w:eastAsia="es-DO"/>
        </w:rPr>
        <w:t>e</w:t>
      </w:r>
      <w:r w:rsidR="00F1076B" w:rsidRPr="005640F1">
        <w:rPr>
          <w:rFonts w:eastAsia="Arial Unicode MS"/>
          <w:u w:color="000000"/>
          <w:bdr w:val="nil"/>
          <w:lang w:val="es-DO" w:eastAsia="es-DO"/>
        </w:rPr>
        <w:t xml:space="preserve">n el marco </w:t>
      </w:r>
      <w:r w:rsidR="00F1076B">
        <w:rPr>
          <w:rFonts w:eastAsia="Arial Unicode MS"/>
          <w:u w:color="000000"/>
          <w:bdr w:val="nil"/>
          <w:lang w:val="es-DO" w:eastAsia="es-DO"/>
        </w:rPr>
        <w:t>de</w:t>
      </w:r>
      <w:r w:rsidRPr="005640F1">
        <w:rPr>
          <w:rFonts w:eastAsia="Arial Unicode MS"/>
          <w:u w:color="000000"/>
          <w:bdr w:val="nil"/>
          <w:lang w:val="es-DO" w:eastAsia="es-DO"/>
        </w:rPr>
        <w:t xml:space="preserve"> la Feria Internacional del Libro de Santo Domingo</w:t>
      </w:r>
      <w:r w:rsidR="00026BFD">
        <w:rPr>
          <w:rFonts w:eastAsia="Arial Unicode MS"/>
          <w:u w:color="000000"/>
          <w:bdr w:val="nil"/>
          <w:lang w:val="es-DO" w:eastAsia="es-DO"/>
        </w:rPr>
        <w:t>,</w:t>
      </w:r>
      <w:r w:rsidRPr="005640F1">
        <w:rPr>
          <w:rFonts w:eastAsia="Arial Unicode MS"/>
          <w:u w:color="000000"/>
          <w:bdr w:val="nil"/>
          <w:lang w:val="es-DO" w:eastAsia="es-DO"/>
        </w:rPr>
        <w:t xml:space="preserve"> se presentó el libro “Guía Básica de Finanzas para Jóvenes”. Esta publicación digital e impresa invita al lector a tomar decisiones informadas sobre sus finanzas, destacando entre sus temas principales: la disciplina del ahorro, la planificación financiera del futuro, y la mejora en el manejo de los recursos económicos. Desde su lanzamiento, se han realizado doce mil trescientas tres (12,303) descargas de la edición digital del libro, adicionales a los mil cuatrocientos (1,400) libros distribuidos de forma impresa.  </w:t>
      </w:r>
    </w:p>
    <w:p w14:paraId="4E2E34D9" w14:textId="46067D51"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lastRenderedPageBreak/>
        <w:t xml:space="preserve">Asimismo, en este 2023 se ha continuado la difusión del reporte “La Súper Te Escucha”, el cual aporta a las entidades supervisadas información relevante para la mejora de sus servicios. Este reporte incluye analíticas sobre las menciones positivas y negativas que realizan </w:t>
      </w:r>
      <w:r w:rsidR="00691E2D" w:rsidRPr="005640F1">
        <w:rPr>
          <w:rFonts w:eastAsia="Arial Unicode MS"/>
          <w:u w:color="000000"/>
          <w:bdr w:val="nil"/>
          <w:lang w:val="es-DO" w:eastAsia="es-DO"/>
        </w:rPr>
        <w:t>los usuarios</w:t>
      </w:r>
      <w:r w:rsidRPr="005640F1">
        <w:rPr>
          <w:rFonts w:eastAsia="Arial Unicode MS"/>
          <w:u w:color="000000"/>
          <w:bdr w:val="nil"/>
          <w:lang w:val="es-DO" w:eastAsia="es-DO"/>
        </w:rPr>
        <w:t xml:space="preserve"> financieros en la red de Twitter sobre las 4 entidades más grandes del sistema. En el reporte se incluyen las estadísticas de las reclamaciones recibidas en la Oficina de ProUsuario sobre estas entidades. </w:t>
      </w:r>
    </w:p>
    <w:p w14:paraId="5DAE38B4" w14:textId="082BB9C1"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 xml:space="preserve">El envío de boletines de ProUsuario </w:t>
      </w:r>
      <w:r w:rsidR="002F7794">
        <w:rPr>
          <w:rFonts w:eastAsia="Arial Unicode MS"/>
          <w:u w:color="000000"/>
          <w:bdr w:val="nil"/>
          <w:lang w:val="es-DO" w:eastAsia="es-DO"/>
        </w:rPr>
        <w:t xml:space="preserve">ha propiciado que los usuarios se </w:t>
      </w:r>
      <w:r w:rsidRPr="005640F1">
        <w:rPr>
          <w:rFonts w:eastAsia="Arial Unicode MS"/>
          <w:u w:color="000000"/>
          <w:bdr w:val="nil"/>
          <w:lang w:val="es-DO" w:eastAsia="es-DO"/>
        </w:rPr>
        <w:t>manten</w:t>
      </w:r>
      <w:r w:rsidR="002F7794">
        <w:rPr>
          <w:rFonts w:eastAsia="Arial Unicode MS"/>
          <w:u w:color="000000"/>
          <w:bdr w:val="nil"/>
          <w:lang w:val="es-DO" w:eastAsia="es-DO"/>
        </w:rPr>
        <w:t>gan informados</w:t>
      </w:r>
      <w:r w:rsidRPr="005640F1">
        <w:rPr>
          <w:rFonts w:eastAsia="Arial Unicode MS"/>
          <w:u w:color="000000"/>
          <w:bdr w:val="nil"/>
          <w:lang w:val="es-DO" w:eastAsia="es-DO"/>
        </w:rPr>
        <w:t xml:space="preserve"> </w:t>
      </w:r>
      <w:r w:rsidR="00AB1D7E">
        <w:rPr>
          <w:rFonts w:eastAsia="Arial Unicode MS"/>
          <w:u w:color="000000"/>
          <w:bdr w:val="nil"/>
          <w:lang w:val="es-DO" w:eastAsia="es-DO"/>
        </w:rPr>
        <w:t>sobre</w:t>
      </w:r>
      <w:r w:rsidRPr="005640F1">
        <w:rPr>
          <w:rFonts w:eastAsia="Arial Unicode MS"/>
          <w:u w:color="000000"/>
          <w:bdr w:val="nil"/>
          <w:lang w:val="es-DO" w:eastAsia="es-DO"/>
        </w:rPr>
        <w:t xml:space="preserve"> las últimas actualizaciones</w:t>
      </w:r>
      <w:r w:rsidR="00AB1D7E">
        <w:rPr>
          <w:rFonts w:eastAsia="Arial Unicode MS"/>
          <w:u w:color="000000"/>
          <w:bdr w:val="nil"/>
          <w:lang w:val="es-DO" w:eastAsia="es-DO"/>
        </w:rPr>
        <w:t xml:space="preserve"> e </w:t>
      </w:r>
      <w:r w:rsidRPr="005640F1">
        <w:rPr>
          <w:rFonts w:eastAsia="Arial Unicode MS"/>
          <w:u w:color="000000"/>
          <w:bdr w:val="nil"/>
          <w:lang w:val="es-DO" w:eastAsia="es-DO"/>
        </w:rPr>
        <w:t xml:space="preserve">iniciativas relevantes </w:t>
      </w:r>
      <w:r w:rsidR="00AB1D7E">
        <w:rPr>
          <w:rFonts w:eastAsia="Arial Unicode MS"/>
          <w:u w:color="000000"/>
          <w:bdr w:val="nil"/>
          <w:lang w:val="es-DO" w:eastAsia="es-DO"/>
        </w:rPr>
        <w:t>en materia de</w:t>
      </w:r>
      <w:r w:rsidRPr="005640F1">
        <w:rPr>
          <w:rFonts w:eastAsia="Arial Unicode MS"/>
          <w:u w:color="000000"/>
          <w:bdr w:val="nil"/>
          <w:lang w:val="es-DO" w:eastAsia="es-DO"/>
        </w:rPr>
        <w:t xml:space="preserve"> educación financiera. En total se ha logrado una cifra de treinta mil ciento dieciocho (30,118) correos informativos leídos al 15 de noviembre de 2023. </w:t>
      </w:r>
    </w:p>
    <w:p w14:paraId="7FC2435A" w14:textId="4FCE80AF" w:rsidR="005640F1" w:rsidRPr="005640F1" w:rsidRDefault="00E6620B" w:rsidP="006B204A">
      <w:pPr>
        <w:spacing w:line="360" w:lineRule="auto"/>
        <w:jc w:val="both"/>
        <w:rPr>
          <w:rFonts w:eastAsia="Arial Unicode MS"/>
          <w:u w:color="000000"/>
          <w:bdr w:val="nil"/>
          <w:lang w:val="es-DO" w:eastAsia="es-DO"/>
        </w:rPr>
      </w:pPr>
      <w:r>
        <w:rPr>
          <w:rFonts w:eastAsia="Arial Unicode MS"/>
          <w:u w:color="000000"/>
          <w:bdr w:val="nil"/>
          <w:lang w:val="es-DO" w:eastAsia="es-DO"/>
        </w:rPr>
        <w:t>Hasta el</w:t>
      </w:r>
      <w:r w:rsidR="005640F1" w:rsidRPr="005640F1">
        <w:rPr>
          <w:rFonts w:eastAsia="Arial Unicode MS"/>
          <w:u w:color="000000"/>
          <w:bdr w:val="nil"/>
          <w:lang w:val="es-DO" w:eastAsia="es-DO"/>
        </w:rPr>
        <w:t xml:space="preserve"> 15 de noviembre 2023, la página web de ProUsuario ha totalizado 16 millones de visitas. Comparado con el mismo período del año 2022, esta cifra representa un crecimiento de un 82%. La sección dedicada a los contenidos de educación financiera presenta un crecimiento</w:t>
      </w:r>
      <w:r w:rsidR="00AB1D7E">
        <w:rPr>
          <w:rFonts w:eastAsia="Arial Unicode MS"/>
          <w:u w:color="000000"/>
          <w:bdr w:val="nil"/>
          <w:lang w:val="es-DO" w:eastAsia="es-DO"/>
        </w:rPr>
        <w:t xml:space="preserve"> interanual</w:t>
      </w:r>
      <w:r w:rsidR="005640F1" w:rsidRPr="005640F1">
        <w:rPr>
          <w:rFonts w:eastAsia="Arial Unicode MS"/>
          <w:u w:color="000000"/>
          <w:bdr w:val="nil"/>
          <w:lang w:val="es-DO" w:eastAsia="es-DO"/>
        </w:rPr>
        <w:t xml:space="preserve"> de más de un trescientos cuarenta y ocho por ciento (348%) en las visitas recibidas. </w:t>
      </w:r>
      <w:r w:rsidR="00AB1D7E">
        <w:rPr>
          <w:rFonts w:eastAsia="Arial Unicode MS"/>
          <w:u w:color="000000"/>
          <w:bdr w:val="nil"/>
          <w:lang w:val="es-DO" w:eastAsia="es-DO"/>
        </w:rPr>
        <w:t xml:space="preserve">Por su parte, </w:t>
      </w:r>
      <w:r w:rsidR="0073582B">
        <w:rPr>
          <w:rFonts w:eastAsia="Arial Unicode MS"/>
          <w:u w:color="000000"/>
          <w:bdr w:val="nil"/>
          <w:lang w:val="es-DO" w:eastAsia="es-DO"/>
        </w:rPr>
        <w:t>la nueva funcionalidad</w:t>
      </w:r>
      <w:r w:rsidR="002166C6">
        <w:rPr>
          <w:rFonts w:eastAsia="Arial Unicode MS"/>
          <w:u w:color="000000"/>
          <w:bdr w:val="nil"/>
          <w:lang w:val="es-DO" w:eastAsia="es-DO"/>
        </w:rPr>
        <w:t xml:space="preserve"> de la web ProUsuario,</w:t>
      </w:r>
      <w:r w:rsidR="0073582B">
        <w:rPr>
          <w:rFonts w:eastAsia="Arial Unicode MS"/>
          <w:u w:color="000000"/>
          <w:bdr w:val="nil"/>
          <w:lang w:val="es-DO" w:eastAsia="es-DO"/>
        </w:rPr>
        <w:t xml:space="preserve"> </w:t>
      </w:r>
      <w:r w:rsidR="00CC6A9B">
        <w:rPr>
          <w:rFonts w:eastAsia="Arial Unicode MS"/>
          <w:u w:color="000000"/>
          <w:bdr w:val="nil"/>
          <w:lang w:val="es-DO" w:eastAsia="es-DO"/>
        </w:rPr>
        <w:t>Mapa de Puntos de Acceso Bancario</w:t>
      </w:r>
      <w:r w:rsidR="002166C6">
        <w:rPr>
          <w:rFonts w:eastAsia="Arial Unicode MS"/>
          <w:u w:color="000000"/>
          <w:bdr w:val="nil"/>
          <w:lang w:val="es-DO" w:eastAsia="es-DO"/>
        </w:rPr>
        <w:t xml:space="preserve">, ha tenido más de tres mil </w:t>
      </w:r>
      <w:r w:rsidR="00613E6E">
        <w:rPr>
          <w:rFonts w:eastAsia="Arial Unicode MS"/>
          <w:u w:color="000000"/>
          <w:bdr w:val="nil"/>
          <w:lang w:val="es-DO" w:eastAsia="es-DO"/>
        </w:rPr>
        <w:t>seiscientos</w:t>
      </w:r>
      <w:r w:rsidR="002166C6">
        <w:rPr>
          <w:rFonts w:eastAsia="Arial Unicode MS"/>
          <w:u w:color="000000"/>
          <w:bdr w:val="nil"/>
          <w:lang w:val="es-DO" w:eastAsia="es-DO"/>
        </w:rPr>
        <w:t xml:space="preserve"> veinte (3,610) visitas </w:t>
      </w:r>
      <w:r w:rsidR="008A243B">
        <w:rPr>
          <w:rFonts w:eastAsia="Arial Unicode MS"/>
          <w:u w:color="000000"/>
          <w:bdr w:val="nil"/>
          <w:lang w:val="es-DO" w:eastAsia="es-DO"/>
        </w:rPr>
        <w:t>desde su lanzamiento</w:t>
      </w:r>
      <w:r w:rsidR="00613E6E">
        <w:rPr>
          <w:rFonts w:eastAsia="Arial Unicode MS"/>
          <w:u w:color="000000"/>
          <w:bdr w:val="nil"/>
          <w:lang w:val="es-DO" w:eastAsia="es-DO"/>
        </w:rPr>
        <w:t>.</w:t>
      </w:r>
    </w:p>
    <w:p w14:paraId="5A9EDE76" w14:textId="38B34917"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b/>
          <w:bCs/>
          <w:u w:color="000000"/>
          <w:bdr w:val="nil"/>
          <w:lang w:val="es-DO" w:eastAsia="es-DO"/>
        </w:rPr>
        <w:t xml:space="preserve">Protección de los Derechos de los </w:t>
      </w:r>
      <w:r w:rsidR="00124266">
        <w:rPr>
          <w:rFonts w:eastAsia="Arial Unicode MS"/>
          <w:b/>
          <w:bCs/>
          <w:u w:color="000000"/>
          <w:bdr w:val="nil"/>
          <w:lang w:val="es-DO" w:eastAsia="es-DO"/>
        </w:rPr>
        <w:t>u</w:t>
      </w:r>
      <w:r w:rsidR="00124266" w:rsidRPr="005640F1">
        <w:rPr>
          <w:rFonts w:eastAsia="Arial Unicode MS"/>
          <w:b/>
          <w:bCs/>
          <w:u w:color="000000"/>
          <w:bdr w:val="nil"/>
          <w:lang w:val="es-DO" w:eastAsia="es-DO"/>
        </w:rPr>
        <w:t>suarios</w:t>
      </w:r>
      <w:r w:rsidRPr="005640F1">
        <w:rPr>
          <w:rFonts w:eastAsia="Arial Unicode MS"/>
          <w:u w:color="000000"/>
          <w:bdr w:val="nil"/>
          <w:lang w:val="es-DO" w:eastAsia="es-DO"/>
        </w:rPr>
        <w:t> </w:t>
      </w:r>
    </w:p>
    <w:p w14:paraId="1BC93DFE" w14:textId="144E9916" w:rsidR="005640F1" w:rsidRPr="005640F1" w:rsidRDefault="00B73323" w:rsidP="006B204A">
      <w:pPr>
        <w:spacing w:line="360" w:lineRule="auto"/>
        <w:jc w:val="both"/>
        <w:rPr>
          <w:rFonts w:eastAsia="Arial Unicode MS"/>
          <w:u w:color="000000"/>
          <w:bdr w:val="nil"/>
          <w:lang w:val="es-DO" w:eastAsia="es-DO"/>
        </w:rPr>
      </w:pPr>
      <w:r>
        <w:rPr>
          <w:rFonts w:eastAsia="Arial Unicode MS"/>
          <w:u w:color="000000"/>
          <w:bdr w:val="nil"/>
          <w:lang w:val="es-DO" w:eastAsia="es-DO"/>
        </w:rPr>
        <w:t>Al mes de noviembre del presente año</w:t>
      </w:r>
      <w:r w:rsidR="005640F1" w:rsidRPr="005640F1">
        <w:rPr>
          <w:rFonts w:eastAsia="Arial Unicode MS"/>
          <w:u w:color="000000"/>
          <w:bdr w:val="nil"/>
          <w:lang w:val="es-DO" w:eastAsia="es-DO"/>
        </w:rPr>
        <w:t xml:space="preserve">, la Superintendencia de Bancos, a través de ProUsuario, gestionó un total de cuatro mil trescientos noventa y tres (4,393) casos (Reclamaciones y Recursos de Reconsideraciones), manteniéndose dentro de un margen 2% de diferencia frente a la cantidad recibida en el mismo período del año </w:t>
      </w:r>
      <w:r w:rsidR="005640F1" w:rsidRPr="005640F1">
        <w:rPr>
          <w:rFonts w:eastAsia="Arial Unicode MS"/>
          <w:u w:color="000000"/>
          <w:bdr w:val="nil"/>
          <w:lang w:val="es-DO" w:eastAsia="es-DO"/>
        </w:rPr>
        <w:lastRenderedPageBreak/>
        <w:t>2022. De los casos despachados, el tiempo de respuesta para cada caso promedió 35 días, representando una reducción</w:t>
      </w:r>
      <w:r w:rsidR="001A1F5F">
        <w:rPr>
          <w:rFonts w:eastAsia="Arial Unicode MS"/>
          <w:u w:color="000000"/>
          <w:bdr w:val="nil"/>
          <w:lang w:val="es-DO" w:eastAsia="es-DO"/>
        </w:rPr>
        <w:t xml:space="preserve"> interanual</w:t>
      </w:r>
      <w:r w:rsidR="005640F1" w:rsidRPr="005640F1">
        <w:rPr>
          <w:rFonts w:eastAsia="Arial Unicode MS"/>
          <w:u w:color="000000"/>
          <w:bdr w:val="nil"/>
          <w:lang w:val="es-DO" w:eastAsia="es-DO"/>
        </w:rPr>
        <w:t xml:space="preserve"> de 5 días, </w:t>
      </w:r>
      <w:r w:rsidR="00E162C8">
        <w:rPr>
          <w:rFonts w:eastAsia="Arial Unicode MS"/>
          <w:u w:color="000000"/>
          <w:bdr w:val="nil"/>
          <w:lang w:val="es-DO" w:eastAsia="es-DO"/>
        </w:rPr>
        <w:t xml:space="preserve">un logro </w:t>
      </w:r>
      <w:r w:rsidR="00004487">
        <w:rPr>
          <w:rFonts w:eastAsia="Arial Unicode MS"/>
          <w:u w:color="000000"/>
          <w:bdr w:val="nil"/>
          <w:lang w:val="es-DO" w:eastAsia="es-DO"/>
        </w:rPr>
        <w:t xml:space="preserve">considerable si se toma en consideración que </w:t>
      </w:r>
      <w:r w:rsidR="005640F1" w:rsidRPr="005640F1">
        <w:rPr>
          <w:rFonts w:eastAsia="Arial Unicode MS"/>
          <w:u w:color="000000"/>
          <w:bdr w:val="nil"/>
          <w:lang w:val="es-DO" w:eastAsia="es-DO"/>
        </w:rPr>
        <w:t xml:space="preserve">el plazo reglamentario </w:t>
      </w:r>
      <w:r w:rsidR="00004487">
        <w:rPr>
          <w:rFonts w:eastAsia="Arial Unicode MS"/>
          <w:u w:color="000000"/>
          <w:bdr w:val="nil"/>
          <w:lang w:val="es-DO" w:eastAsia="es-DO"/>
        </w:rPr>
        <w:t xml:space="preserve">es </w:t>
      </w:r>
      <w:r w:rsidR="005640F1" w:rsidRPr="005640F1">
        <w:rPr>
          <w:rFonts w:eastAsia="Arial Unicode MS"/>
          <w:u w:color="000000"/>
          <w:bdr w:val="nil"/>
          <w:lang w:val="es-DO" w:eastAsia="es-DO"/>
        </w:rPr>
        <w:t>de 60 días.</w:t>
      </w:r>
    </w:p>
    <w:p w14:paraId="706D3BAE" w14:textId="24D6D866"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 xml:space="preserve">Del total de las reclamaciones respondidas en el período, dos mil ochocientas diez (2,810) correspondieron a respuestas favorables para el usuario, representando un 64% del total de las respuestas. </w:t>
      </w:r>
      <w:r w:rsidR="00550AD2">
        <w:rPr>
          <w:rFonts w:eastAsia="Arial Unicode MS"/>
          <w:u w:color="000000"/>
          <w:bdr w:val="nil"/>
          <w:lang w:val="es-DO" w:eastAsia="es-DO"/>
        </w:rPr>
        <w:t>En</w:t>
      </w:r>
      <w:r w:rsidR="0053355B">
        <w:rPr>
          <w:rFonts w:eastAsia="Arial Unicode MS"/>
          <w:u w:color="000000"/>
          <w:bdr w:val="nil"/>
          <w:lang w:val="es-DO" w:eastAsia="es-DO"/>
        </w:rPr>
        <w:t xml:space="preserve"> consecuencia, </w:t>
      </w:r>
      <w:r w:rsidRPr="005640F1">
        <w:rPr>
          <w:rFonts w:eastAsia="Arial Unicode MS"/>
          <w:u w:color="000000"/>
          <w:bdr w:val="nil"/>
          <w:lang w:val="es-DO" w:eastAsia="es-DO"/>
        </w:rPr>
        <w:t>ciento treinta millones setecientos setenta y ocho mil ochocientos cincuenta y ocho pesos con 26/100 (</w:t>
      </w:r>
      <w:r w:rsidR="00E87E5B">
        <w:rPr>
          <w:rFonts w:eastAsia="Arial Unicode MS"/>
          <w:u w:color="000000"/>
          <w:bdr w:val="nil"/>
          <w:lang w:val="es-DO" w:eastAsia="es-DO"/>
        </w:rPr>
        <w:t>RD$</w:t>
      </w:r>
      <w:r w:rsidRPr="005640F1">
        <w:rPr>
          <w:rFonts w:eastAsia="Arial Unicode MS"/>
          <w:u w:color="000000"/>
          <w:bdr w:val="nil"/>
          <w:lang w:val="es-DO" w:eastAsia="es-DO"/>
        </w:rPr>
        <w:t>130,778,858.26)</w:t>
      </w:r>
      <w:r w:rsidR="007E1418">
        <w:rPr>
          <w:rFonts w:eastAsia="Arial Unicode MS"/>
          <w:u w:color="000000"/>
          <w:bdr w:val="nil"/>
          <w:lang w:val="es-DO" w:eastAsia="es-DO"/>
        </w:rPr>
        <w:t xml:space="preserve"> fueron</w:t>
      </w:r>
      <w:r w:rsidRPr="005640F1">
        <w:rPr>
          <w:rFonts w:eastAsia="Arial Unicode MS"/>
          <w:u w:color="000000"/>
          <w:bdr w:val="nil"/>
          <w:lang w:val="es-DO" w:eastAsia="es-DO"/>
        </w:rPr>
        <w:t xml:space="preserve"> instruidos a ser acreditados en beneficio de los usuarios reclamantes</w:t>
      </w:r>
      <w:r w:rsidR="00DB5C34">
        <w:rPr>
          <w:rFonts w:eastAsia="Arial Unicode MS"/>
          <w:u w:color="000000"/>
          <w:bdr w:val="nil"/>
          <w:lang w:val="es-DO" w:eastAsia="es-DO"/>
        </w:rPr>
        <w:t xml:space="preserve">, lo cual representa un </w:t>
      </w:r>
      <w:r w:rsidRPr="005640F1">
        <w:rPr>
          <w:rFonts w:eastAsia="Arial Unicode MS"/>
          <w:u w:color="000000"/>
          <w:bdr w:val="nil"/>
          <w:lang w:val="es-DO" w:eastAsia="es-DO"/>
        </w:rPr>
        <w:t xml:space="preserve">incremento </w:t>
      </w:r>
      <w:r w:rsidR="00DB5C34">
        <w:rPr>
          <w:rFonts w:eastAsia="Arial Unicode MS"/>
          <w:u w:color="000000"/>
          <w:bdr w:val="nil"/>
          <w:lang w:val="es-DO" w:eastAsia="es-DO"/>
        </w:rPr>
        <w:t xml:space="preserve">interanual </w:t>
      </w:r>
      <w:r w:rsidRPr="005640F1">
        <w:rPr>
          <w:rFonts w:eastAsia="Arial Unicode MS"/>
          <w:u w:color="000000"/>
          <w:bdr w:val="nil"/>
          <w:lang w:val="es-DO" w:eastAsia="es-DO"/>
        </w:rPr>
        <w:t xml:space="preserve">de 34% </w:t>
      </w:r>
      <w:r w:rsidR="00DB5C34">
        <w:rPr>
          <w:rFonts w:eastAsia="Arial Unicode MS"/>
          <w:u w:color="000000"/>
          <w:bdr w:val="nil"/>
          <w:lang w:val="es-DO" w:eastAsia="es-DO"/>
        </w:rPr>
        <w:t>con relación al año anterior</w:t>
      </w:r>
      <w:r w:rsidRPr="005640F1">
        <w:rPr>
          <w:rFonts w:eastAsia="Arial Unicode MS"/>
          <w:u w:color="000000"/>
          <w:bdr w:val="nil"/>
          <w:lang w:val="es-DO" w:eastAsia="es-DO"/>
        </w:rPr>
        <w:t>. </w:t>
      </w:r>
      <w:r w:rsidR="009054A4">
        <w:rPr>
          <w:rFonts w:eastAsia="Arial Unicode MS"/>
          <w:u w:color="000000"/>
          <w:bdr w:val="nil"/>
          <w:lang w:val="es-DO" w:eastAsia="es-DO"/>
        </w:rPr>
        <w:t>E</w:t>
      </w:r>
      <w:r w:rsidRPr="005640F1">
        <w:rPr>
          <w:rFonts w:eastAsia="Arial Unicode MS"/>
          <w:u w:color="000000"/>
          <w:bdr w:val="nil"/>
          <w:lang w:val="es-DO" w:eastAsia="es-DO"/>
        </w:rPr>
        <w:t xml:space="preserve">l nivel de favorabilidad en las decisiones </w:t>
      </w:r>
      <w:r w:rsidR="009054A4">
        <w:rPr>
          <w:rFonts w:eastAsia="Arial Unicode MS"/>
          <w:u w:color="000000"/>
          <w:bdr w:val="nil"/>
          <w:lang w:val="es-DO" w:eastAsia="es-DO"/>
        </w:rPr>
        <w:t>fue igual para ambos sexos</w:t>
      </w:r>
      <w:r w:rsidRPr="005640F1">
        <w:rPr>
          <w:rFonts w:eastAsia="Arial Unicode MS"/>
          <w:u w:color="000000"/>
          <w:bdr w:val="nil"/>
          <w:lang w:val="es-DO" w:eastAsia="es-DO"/>
        </w:rPr>
        <w:t xml:space="preserve">, lo </w:t>
      </w:r>
      <w:r w:rsidR="003A5396">
        <w:rPr>
          <w:rFonts w:eastAsia="Arial Unicode MS"/>
          <w:u w:color="000000"/>
          <w:bdr w:val="nil"/>
          <w:lang w:val="es-DO" w:eastAsia="es-DO"/>
        </w:rPr>
        <w:t>que</w:t>
      </w:r>
      <w:r w:rsidRPr="005640F1">
        <w:rPr>
          <w:rFonts w:eastAsia="Arial Unicode MS"/>
          <w:u w:color="000000"/>
          <w:bdr w:val="nil"/>
          <w:lang w:val="es-DO" w:eastAsia="es-DO"/>
        </w:rPr>
        <w:t xml:space="preserve"> </w:t>
      </w:r>
      <w:r w:rsidR="009054A4">
        <w:rPr>
          <w:rFonts w:eastAsia="Arial Unicode MS"/>
          <w:u w:color="000000"/>
          <w:bdr w:val="nil"/>
          <w:lang w:val="es-DO" w:eastAsia="es-DO"/>
        </w:rPr>
        <w:t>de</w:t>
      </w:r>
      <w:r w:rsidRPr="005640F1">
        <w:rPr>
          <w:rFonts w:eastAsia="Arial Unicode MS"/>
          <w:u w:color="000000"/>
          <w:bdr w:val="nil"/>
          <w:lang w:val="es-DO" w:eastAsia="es-DO"/>
        </w:rPr>
        <w:t xml:space="preserve">muestra </w:t>
      </w:r>
      <w:r w:rsidR="003A5396">
        <w:rPr>
          <w:rFonts w:eastAsia="Arial Unicode MS"/>
          <w:u w:color="000000"/>
          <w:bdr w:val="nil"/>
          <w:lang w:val="es-DO" w:eastAsia="es-DO"/>
        </w:rPr>
        <w:t xml:space="preserve">ausencia de </w:t>
      </w:r>
      <w:r w:rsidR="00B620D4">
        <w:rPr>
          <w:rFonts w:eastAsia="Arial Unicode MS"/>
          <w:u w:color="000000"/>
          <w:bdr w:val="nil"/>
          <w:lang w:val="es-DO" w:eastAsia="es-DO"/>
        </w:rPr>
        <w:t xml:space="preserve">preferencias o sesgos por parte de ProUsuario a </w:t>
      </w:r>
      <w:r w:rsidR="00CD58E2">
        <w:rPr>
          <w:rFonts w:eastAsia="Arial Unicode MS"/>
          <w:u w:color="000000"/>
          <w:bdr w:val="nil"/>
          <w:lang w:val="es-DO" w:eastAsia="es-DO"/>
        </w:rPr>
        <w:t xml:space="preserve">la hora </w:t>
      </w:r>
      <w:r w:rsidR="002A59A2">
        <w:rPr>
          <w:rFonts w:eastAsia="Arial Unicode MS"/>
          <w:u w:color="000000"/>
          <w:bdr w:val="nil"/>
          <w:lang w:val="es-DO" w:eastAsia="es-DO"/>
        </w:rPr>
        <w:t>procesar las</w:t>
      </w:r>
      <w:r w:rsidRPr="005640F1">
        <w:rPr>
          <w:rFonts w:eastAsia="Arial Unicode MS"/>
          <w:u w:color="000000"/>
          <w:bdr w:val="nil"/>
          <w:lang w:val="es-DO" w:eastAsia="es-DO"/>
        </w:rPr>
        <w:t xml:space="preserve"> reclamaciones</w:t>
      </w:r>
      <w:r w:rsidR="00F5067A">
        <w:rPr>
          <w:rFonts w:eastAsia="Arial Unicode MS"/>
          <w:u w:color="000000"/>
          <w:bdr w:val="nil"/>
          <w:lang w:val="es-DO" w:eastAsia="es-DO"/>
        </w:rPr>
        <w:t>.</w:t>
      </w:r>
    </w:p>
    <w:p w14:paraId="29977680" w14:textId="40393CCD"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 xml:space="preserve">En lo que respecta a Recursos Jerárquicos interpuestos por ante la Junta Monetaria (JM), órgano </w:t>
      </w:r>
      <w:r w:rsidR="000B7B92">
        <w:rPr>
          <w:rFonts w:eastAsia="Arial Unicode MS"/>
          <w:u w:color="000000"/>
          <w:bdr w:val="nil"/>
          <w:lang w:val="es-DO" w:eastAsia="es-DO"/>
        </w:rPr>
        <w:t>superior</w:t>
      </w:r>
      <w:r w:rsidRPr="005640F1">
        <w:rPr>
          <w:rFonts w:eastAsia="Arial Unicode MS"/>
          <w:u w:color="000000"/>
          <w:bdr w:val="nil"/>
          <w:lang w:val="es-DO" w:eastAsia="es-DO"/>
        </w:rPr>
        <w:t xml:space="preserve"> de la Superintendencia de Bancos, </w:t>
      </w:r>
      <w:r w:rsidR="00A02A0F">
        <w:rPr>
          <w:rFonts w:eastAsia="Arial Unicode MS"/>
          <w:u w:color="000000"/>
          <w:bdr w:val="nil"/>
          <w:lang w:val="es-DO" w:eastAsia="es-DO"/>
        </w:rPr>
        <w:t xml:space="preserve">de </w:t>
      </w:r>
      <w:r w:rsidRPr="005640F1">
        <w:rPr>
          <w:rFonts w:eastAsia="Arial Unicode MS"/>
          <w:u w:color="000000"/>
          <w:bdr w:val="nil"/>
          <w:lang w:val="es-DO" w:eastAsia="es-DO"/>
        </w:rPr>
        <w:t xml:space="preserve">veinticinco (25) Recursos Jerárquicos conocidos </w:t>
      </w:r>
      <w:r w:rsidR="00A02A0F">
        <w:rPr>
          <w:rFonts w:eastAsia="Arial Unicode MS"/>
          <w:u w:color="000000"/>
          <w:bdr w:val="nil"/>
          <w:lang w:val="es-DO" w:eastAsia="es-DO"/>
        </w:rPr>
        <w:t>noviembre del presente año</w:t>
      </w:r>
      <w:r w:rsidRPr="005640F1">
        <w:rPr>
          <w:rFonts w:eastAsia="Arial Unicode MS"/>
          <w:u w:color="000000"/>
          <w:bdr w:val="nil"/>
          <w:lang w:val="es-DO" w:eastAsia="es-DO"/>
        </w:rPr>
        <w:t>, trece (13) han sido confirmad</w:t>
      </w:r>
      <w:r w:rsidR="00C53781">
        <w:rPr>
          <w:rFonts w:eastAsia="Arial Unicode MS"/>
          <w:u w:color="000000"/>
          <w:bdr w:val="nil"/>
          <w:lang w:val="es-DO" w:eastAsia="es-DO"/>
        </w:rPr>
        <w:t>o</w:t>
      </w:r>
      <w:r w:rsidRPr="005640F1">
        <w:rPr>
          <w:rFonts w:eastAsia="Arial Unicode MS"/>
          <w:u w:color="000000"/>
          <w:bdr w:val="nil"/>
          <w:lang w:val="es-DO" w:eastAsia="es-DO"/>
        </w:rPr>
        <w:t xml:space="preserve">s, cinco (5) revocadas o modificadas, </w:t>
      </w:r>
      <w:r w:rsidR="00D57466" w:rsidRPr="005640F1">
        <w:rPr>
          <w:rFonts w:eastAsia="Arial Unicode MS"/>
          <w:u w:color="000000"/>
          <w:bdr w:val="nil"/>
          <w:lang w:val="es-DO" w:eastAsia="es-DO"/>
        </w:rPr>
        <w:t>cinco (5) casos declarados inadmisibles / incompetencia y dos (2) desestimadas</w:t>
      </w:r>
      <w:r w:rsidR="00682865">
        <w:rPr>
          <w:rFonts w:eastAsia="Arial Unicode MS"/>
          <w:u w:color="000000"/>
          <w:bdr w:val="nil"/>
          <w:lang w:val="es-DO" w:eastAsia="es-DO"/>
        </w:rPr>
        <w:t>.</w:t>
      </w:r>
      <w:r w:rsidRPr="005640F1">
        <w:rPr>
          <w:rFonts w:eastAsia="Arial Unicode MS"/>
          <w:u w:color="000000"/>
          <w:bdr w:val="nil"/>
          <w:lang w:val="es-DO" w:eastAsia="es-DO"/>
        </w:rPr>
        <w:t> </w:t>
      </w:r>
    </w:p>
    <w:p w14:paraId="32A9E2BE" w14:textId="33CF8460" w:rsid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Durante el citado</w:t>
      </w:r>
      <w:r w:rsidR="00B95828">
        <w:rPr>
          <w:rFonts w:eastAsia="Arial Unicode MS"/>
          <w:u w:color="000000"/>
          <w:bdr w:val="nil"/>
          <w:lang w:val="es-DO" w:eastAsia="es-DO"/>
        </w:rPr>
        <w:t xml:space="preserve"> período,</w:t>
      </w:r>
      <w:r w:rsidRPr="005640F1">
        <w:rPr>
          <w:rFonts w:eastAsia="Arial Unicode MS"/>
          <w:u w:color="000000"/>
          <w:bdr w:val="nil"/>
          <w:lang w:val="es-DO" w:eastAsia="es-DO"/>
        </w:rPr>
        <w:t xml:space="preserve"> se recibieron mil quinientas ocho (1,508) consultas, correspondiendo cuatrocientas noventa y dos (492) a </w:t>
      </w:r>
      <w:r w:rsidR="001B5FDC">
        <w:rPr>
          <w:rFonts w:eastAsia="Arial Unicode MS"/>
          <w:u w:color="000000"/>
          <w:bdr w:val="nil"/>
          <w:lang w:val="es-DO" w:eastAsia="es-DO"/>
        </w:rPr>
        <w:t>c</w:t>
      </w:r>
      <w:r w:rsidRPr="005640F1">
        <w:rPr>
          <w:rFonts w:eastAsia="Arial Unicode MS"/>
          <w:u w:color="000000"/>
          <w:bdr w:val="nil"/>
          <w:lang w:val="es-DO" w:eastAsia="es-DO"/>
        </w:rPr>
        <w:t xml:space="preserve">entrales de </w:t>
      </w:r>
      <w:r w:rsidR="001B5FDC">
        <w:rPr>
          <w:rFonts w:eastAsia="Arial Unicode MS"/>
          <w:u w:color="000000"/>
          <w:bdr w:val="nil"/>
          <w:lang w:val="es-DO" w:eastAsia="es-DO"/>
        </w:rPr>
        <w:t>r</w:t>
      </w:r>
      <w:r w:rsidRPr="005640F1">
        <w:rPr>
          <w:rFonts w:eastAsia="Arial Unicode MS"/>
          <w:u w:color="000000"/>
          <w:bdr w:val="nil"/>
          <w:lang w:val="es-DO" w:eastAsia="es-DO"/>
        </w:rPr>
        <w:t xml:space="preserve">iesgos y las mil dieciséis (1,016) restantes a otras tipologías, entre las que predominan la </w:t>
      </w:r>
      <w:r w:rsidR="001B5FDC">
        <w:rPr>
          <w:rFonts w:eastAsia="Arial Unicode MS"/>
          <w:u w:color="000000"/>
          <w:bdr w:val="nil"/>
          <w:lang w:val="es-DO" w:eastAsia="es-DO"/>
        </w:rPr>
        <w:t>e</w:t>
      </w:r>
      <w:r w:rsidRPr="005640F1">
        <w:rPr>
          <w:rFonts w:eastAsia="Arial Unicode MS"/>
          <w:u w:color="000000"/>
          <w:bdr w:val="nil"/>
          <w:lang w:val="es-DO" w:eastAsia="es-DO"/>
        </w:rPr>
        <w:t xml:space="preserve">xistencia de </w:t>
      </w:r>
      <w:r w:rsidR="001B5FDC">
        <w:rPr>
          <w:rFonts w:eastAsia="Arial Unicode MS"/>
          <w:u w:color="000000"/>
          <w:bdr w:val="nil"/>
          <w:lang w:val="es-DO" w:eastAsia="es-DO"/>
        </w:rPr>
        <w:t>p</w:t>
      </w:r>
      <w:r w:rsidRPr="005640F1">
        <w:rPr>
          <w:rFonts w:eastAsia="Arial Unicode MS"/>
          <w:u w:color="000000"/>
          <w:bdr w:val="nil"/>
          <w:lang w:val="es-DO" w:eastAsia="es-DO"/>
        </w:rPr>
        <w:t xml:space="preserve">roductos, </w:t>
      </w:r>
      <w:r w:rsidR="001B5FDC">
        <w:rPr>
          <w:rFonts w:eastAsia="Arial Unicode MS"/>
          <w:u w:color="000000"/>
          <w:bdr w:val="nil"/>
          <w:lang w:val="es-DO" w:eastAsia="es-DO"/>
        </w:rPr>
        <w:t>e</w:t>
      </w:r>
      <w:r w:rsidRPr="005640F1">
        <w:rPr>
          <w:rFonts w:eastAsia="Arial Unicode MS"/>
          <w:u w:color="000000"/>
          <w:bdr w:val="nil"/>
          <w:lang w:val="es-DO" w:eastAsia="es-DO"/>
        </w:rPr>
        <w:t xml:space="preserve">stados y </w:t>
      </w:r>
      <w:r w:rsidR="001B5FDC">
        <w:rPr>
          <w:rFonts w:eastAsia="Arial Unicode MS"/>
          <w:u w:color="000000"/>
          <w:bdr w:val="nil"/>
          <w:lang w:val="es-DO" w:eastAsia="es-DO"/>
        </w:rPr>
        <w:t>b</w:t>
      </w:r>
      <w:r w:rsidRPr="005640F1">
        <w:rPr>
          <w:rFonts w:eastAsia="Arial Unicode MS"/>
          <w:u w:color="000000"/>
          <w:bdr w:val="nil"/>
          <w:lang w:val="es-DO" w:eastAsia="es-DO"/>
        </w:rPr>
        <w:t xml:space="preserve">alances, </w:t>
      </w:r>
      <w:r w:rsidR="001B5FDC">
        <w:rPr>
          <w:rFonts w:eastAsia="Arial Unicode MS"/>
          <w:u w:color="000000"/>
          <w:bdr w:val="nil"/>
          <w:lang w:val="es-DO" w:eastAsia="es-DO"/>
        </w:rPr>
        <w:t>m</w:t>
      </w:r>
      <w:r w:rsidRPr="005640F1">
        <w:rPr>
          <w:rFonts w:eastAsia="Arial Unicode MS"/>
          <w:u w:color="000000"/>
          <w:bdr w:val="nil"/>
          <w:lang w:val="es-DO" w:eastAsia="es-DO"/>
        </w:rPr>
        <w:t xml:space="preserve">ovimientos o </w:t>
      </w:r>
      <w:r w:rsidR="001B5FDC">
        <w:rPr>
          <w:rFonts w:eastAsia="Arial Unicode MS"/>
          <w:u w:color="000000"/>
          <w:bdr w:val="nil"/>
          <w:lang w:val="es-DO" w:eastAsia="es-DO"/>
        </w:rPr>
        <w:t>h</w:t>
      </w:r>
      <w:r w:rsidRPr="005640F1">
        <w:rPr>
          <w:rFonts w:eastAsia="Arial Unicode MS"/>
          <w:u w:color="000000"/>
          <w:bdr w:val="nil"/>
          <w:lang w:val="es-DO" w:eastAsia="es-DO"/>
        </w:rPr>
        <w:t xml:space="preserve">istóricos de </w:t>
      </w:r>
      <w:r w:rsidR="001B5FDC">
        <w:rPr>
          <w:rFonts w:eastAsia="Arial Unicode MS"/>
          <w:u w:color="000000"/>
          <w:bdr w:val="nil"/>
          <w:lang w:val="es-DO" w:eastAsia="es-DO"/>
        </w:rPr>
        <w:t>p</w:t>
      </w:r>
      <w:r w:rsidRPr="005640F1">
        <w:rPr>
          <w:rFonts w:eastAsia="Arial Unicode MS"/>
          <w:u w:color="000000"/>
          <w:bdr w:val="nil"/>
          <w:lang w:val="es-DO" w:eastAsia="es-DO"/>
        </w:rPr>
        <w:t xml:space="preserve">ago, </w:t>
      </w:r>
      <w:r w:rsidR="001B5FDC">
        <w:rPr>
          <w:rFonts w:eastAsia="Arial Unicode MS"/>
          <w:u w:color="000000"/>
          <w:bdr w:val="nil"/>
          <w:lang w:val="es-DO" w:eastAsia="es-DO"/>
        </w:rPr>
        <w:t>m</w:t>
      </w:r>
      <w:r w:rsidRPr="005640F1">
        <w:rPr>
          <w:rFonts w:eastAsia="Arial Unicode MS"/>
          <w:u w:color="000000"/>
          <w:bdr w:val="nil"/>
          <w:lang w:val="es-DO" w:eastAsia="es-DO"/>
        </w:rPr>
        <w:t xml:space="preserve">otivos de </w:t>
      </w:r>
      <w:r w:rsidR="001B5FDC">
        <w:rPr>
          <w:rFonts w:eastAsia="Arial Unicode MS"/>
          <w:u w:color="000000"/>
          <w:bdr w:val="nil"/>
          <w:lang w:val="es-DO" w:eastAsia="es-DO"/>
        </w:rPr>
        <w:t>r</w:t>
      </w:r>
      <w:r w:rsidRPr="005640F1">
        <w:rPr>
          <w:rFonts w:eastAsia="Arial Unicode MS"/>
          <w:u w:color="000000"/>
          <w:bdr w:val="nil"/>
          <w:lang w:val="es-DO" w:eastAsia="es-DO"/>
        </w:rPr>
        <w:t>estricción, entre otras.</w:t>
      </w:r>
    </w:p>
    <w:p w14:paraId="2934E7E3" w14:textId="77777777" w:rsidR="00CA473C" w:rsidRPr="005640F1" w:rsidRDefault="00CA473C" w:rsidP="006B204A">
      <w:pPr>
        <w:spacing w:line="360" w:lineRule="auto"/>
        <w:jc w:val="both"/>
        <w:rPr>
          <w:rFonts w:eastAsia="Arial Unicode MS"/>
          <w:u w:color="000000"/>
          <w:bdr w:val="nil"/>
          <w:lang w:val="es-DO" w:eastAsia="es-DO"/>
        </w:rPr>
      </w:pPr>
    </w:p>
    <w:p w14:paraId="5ED8A991" w14:textId="77777777"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b/>
          <w:bCs/>
          <w:u w:color="000000"/>
          <w:bdr w:val="nil"/>
          <w:lang w:val="es-DO" w:eastAsia="es-DO"/>
        </w:rPr>
        <w:lastRenderedPageBreak/>
        <w:t>Revisión y Aprobación de Contratos de Adhesión</w:t>
      </w:r>
      <w:r w:rsidRPr="005640F1">
        <w:rPr>
          <w:rFonts w:eastAsia="Arial Unicode MS"/>
          <w:u w:color="000000"/>
          <w:bdr w:val="nil"/>
          <w:lang w:val="es-DO" w:eastAsia="es-DO"/>
        </w:rPr>
        <w:t> </w:t>
      </w:r>
    </w:p>
    <w:p w14:paraId="38EDFB04" w14:textId="07DEA02E"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 xml:space="preserve">En términos de revisión de solicitudes de aprobación de </w:t>
      </w:r>
      <w:r w:rsidR="0094618B">
        <w:rPr>
          <w:rFonts w:eastAsia="Arial Unicode MS"/>
          <w:u w:color="000000"/>
          <w:bdr w:val="nil"/>
          <w:lang w:val="es-DO" w:eastAsia="es-DO"/>
        </w:rPr>
        <w:t>c</w:t>
      </w:r>
      <w:r w:rsidRPr="005640F1">
        <w:rPr>
          <w:rFonts w:eastAsia="Arial Unicode MS"/>
          <w:u w:color="000000"/>
          <w:bdr w:val="nil"/>
          <w:lang w:val="es-DO" w:eastAsia="es-DO"/>
        </w:rPr>
        <w:t xml:space="preserve">ontratos de </w:t>
      </w:r>
      <w:r w:rsidR="0094618B">
        <w:rPr>
          <w:rFonts w:eastAsia="Arial Unicode MS"/>
          <w:u w:color="000000"/>
          <w:bdr w:val="nil"/>
          <w:lang w:val="es-DO" w:eastAsia="es-DO"/>
        </w:rPr>
        <w:t>a</w:t>
      </w:r>
      <w:r w:rsidRPr="005640F1">
        <w:rPr>
          <w:rFonts w:eastAsia="Arial Unicode MS"/>
          <w:u w:color="000000"/>
          <w:bdr w:val="nil"/>
          <w:lang w:val="es-DO" w:eastAsia="es-DO"/>
        </w:rPr>
        <w:t xml:space="preserve">dhesión, </w:t>
      </w:r>
      <w:r w:rsidR="00C531FB">
        <w:rPr>
          <w:rFonts w:eastAsia="Arial Unicode MS"/>
          <w:u w:color="000000"/>
          <w:bdr w:val="nil"/>
          <w:lang w:val="es-DO" w:eastAsia="es-DO"/>
        </w:rPr>
        <w:t>a diciembre</w:t>
      </w:r>
      <w:r w:rsidR="007220D1">
        <w:rPr>
          <w:rFonts w:eastAsia="Arial Unicode MS"/>
          <w:u w:color="000000"/>
          <w:bdr w:val="nil"/>
          <w:lang w:val="es-DO" w:eastAsia="es-DO"/>
        </w:rPr>
        <w:t xml:space="preserve"> del presente año</w:t>
      </w:r>
      <w:r w:rsidR="00C531FB">
        <w:rPr>
          <w:rFonts w:eastAsia="Arial Unicode MS"/>
          <w:u w:color="000000"/>
          <w:bdr w:val="nil"/>
          <w:lang w:val="es-DO" w:eastAsia="es-DO"/>
        </w:rPr>
        <w:t xml:space="preserve"> </w:t>
      </w:r>
      <w:r w:rsidRPr="005640F1">
        <w:rPr>
          <w:rFonts w:eastAsia="Arial Unicode MS"/>
          <w:u w:color="000000"/>
          <w:bdr w:val="nil"/>
          <w:lang w:val="es-DO" w:eastAsia="es-DO"/>
        </w:rPr>
        <w:t>se recibieron setecientos nueve (709) requerimientos, representando un incremento de 28% frente al mismo período del año anterior. Por otro lado</w:t>
      </w:r>
      <w:r w:rsidR="00057745">
        <w:rPr>
          <w:rFonts w:eastAsia="Arial Unicode MS"/>
          <w:u w:color="000000"/>
          <w:bdr w:val="nil"/>
          <w:lang w:val="es-DO" w:eastAsia="es-DO"/>
        </w:rPr>
        <w:t xml:space="preserve">, </w:t>
      </w:r>
      <w:r w:rsidRPr="005640F1">
        <w:rPr>
          <w:rFonts w:eastAsia="Arial Unicode MS"/>
          <w:u w:color="000000"/>
          <w:bdr w:val="nil"/>
          <w:lang w:val="es-DO" w:eastAsia="es-DO"/>
        </w:rPr>
        <w:t>se respondieron seiscientos veinte y seis (626) solicitudes, en un tiempo promedio de 24 días calendario, es decir, un 20% por debajo del tiempo reglamentario de respuesta (30 días calendario). </w:t>
      </w:r>
    </w:p>
    <w:p w14:paraId="1CC38C0A" w14:textId="6116A7E8" w:rsidR="005640F1" w:rsidRPr="005640F1" w:rsidRDefault="005640F1" w:rsidP="006B204A">
      <w:pPr>
        <w:spacing w:line="360" w:lineRule="auto"/>
        <w:jc w:val="both"/>
        <w:rPr>
          <w:rFonts w:eastAsia="Arial Unicode MS"/>
          <w:u w:color="000000"/>
          <w:bdr w:val="nil"/>
          <w:lang w:val="es-DO" w:eastAsia="es-DO"/>
        </w:rPr>
      </w:pPr>
      <w:r w:rsidRPr="005640F1">
        <w:rPr>
          <w:rFonts w:eastAsia="Arial Unicode MS"/>
          <w:b/>
          <w:bCs/>
          <w:u w:color="000000"/>
          <w:bdr w:val="nil"/>
          <w:lang w:val="es-DO" w:eastAsia="es-DO"/>
        </w:rPr>
        <w:t xml:space="preserve">Inspecciones a EIF al respeto de los Derechos de los </w:t>
      </w:r>
      <w:r w:rsidR="003E5B6F">
        <w:rPr>
          <w:rFonts w:eastAsia="Arial Unicode MS"/>
          <w:b/>
          <w:bCs/>
          <w:u w:color="000000"/>
          <w:bdr w:val="nil"/>
          <w:lang w:val="es-DO" w:eastAsia="es-DO"/>
        </w:rPr>
        <w:t>u</w:t>
      </w:r>
      <w:r w:rsidR="003E5B6F" w:rsidRPr="005640F1">
        <w:rPr>
          <w:rFonts w:eastAsia="Arial Unicode MS"/>
          <w:b/>
          <w:bCs/>
          <w:u w:color="000000"/>
          <w:bdr w:val="nil"/>
          <w:lang w:val="es-DO" w:eastAsia="es-DO"/>
        </w:rPr>
        <w:t>suarios</w:t>
      </w:r>
      <w:r w:rsidRPr="005640F1">
        <w:rPr>
          <w:rFonts w:eastAsia="Arial Unicode MS"/>
          <w:u w:color="000000"/>
          <w:bdr w:val="nil"/>
          <w:lang w:val="es-DO" w:eastAsia="es-DO"/>
        </w:rPr>
        <w:t> </w:t>
      </w:r>
    </w:p>
    <w:p w14:paraId="6F9D6CA0" w14:textId="77777777" w:rsidR="005D10E7" w:rsidRDefault="005640F1" w:rsidP="006B204A">
      <w:pPr>
        <w:spacing w:line="360" w:lineRule="auto"/>
        <w:jc w:val="both"/>
        <w:rPr>
          <w:rFonts w:eastAsia="Arial Unicode MS"/>
          <w:u w:color="000000"/>
          <w:bdr w:val="nil"/>
          <w:lang w:val="es-DO" w:eastAsia="es-DO"/>
        </w:rPr>
      </w:pPr>
      <w:r w:rsidRPr="005640F1">
        <w:rPr>
          <w:rFonts w:eastAsia="Arial Unicode MS"/>
          <w:u w:color="000000"/>
          <w:bdr w:val="nil"/>
          <w:lang w:val="es-DO" w:eastAsia="es-DO"/>
        </w:rPr>
        <w:t>Con motivo del proceso de migración de la supervisión basada en cumplimiento a la supervisión basada en riesgos</w:t>
      </w:r>
      <w:r w:rsidR="00F74D4D">
        <w:rPr>
          <w:rFonts w:eastAsia="Arial Unicode MS"/>
          <w:u w:color="000000"/>
          <w:bdr w:val="nil"/>
          <w:lang w:val="es-DO" w:eastAsia="es-DO"/>
        </w:rPr>
        <w:t xml:space="preserve"> (SBR)</w:t>
      </w:r>
      <w:r w:rsidRPr="005640F1">
        <w:rPr>
          <w:rFonts w:eastAsia="Arial Unicode MS"/>
          <w:u w:color="000000"/>
          <w:bdr w:val="nil"/>
          <w:lang w:val="es-DO" w:eastAsia="es-DO"/>
        </w:rPr>
        <w:t xml:space="preserve">, en el 2023 se concluyó el primer piloto de supervisión basada en riesgos </w:t>
      </w:r>
      <w:r w:rsidR="004C3DF3">
        <w:rPr>
          <w:rFonts w:eastAsia="Arial Unicode MS"/>
          <w:u w:color="000000"/>
          <w:bdr w:val="nil"/>
          <w:lang w:val="es-DO" w:eastAsia="es-DO"/>
        </w:rPr>
        <w:t>sobre</w:t>
      </w:r>
      <w:r w:rsidRPr="005640F1">
        <w:rPr>
          <w:rFonts w:eastAsia="Arial Unicode MS"/>
          <w:u w:color="000000"/>
          <w:bdr w:val="nil"/>
          <w:lang w:val="es-DO" w:eastAsia="es-DO"/>
        </w:rPr>
        <w:t xml:space="preserve"> temas de conducta del mercado</w:t>
      </w:r>
      <w:r w:rsidR="00772420">
        <w:rPr>
          <w:rFonts w:eastAsia="Arial Unicode MS"/>
          <w:u w:color="000000"/>
          <w:bdr w:val="nil"/>
          <w:lang w:val="es-DO" w:eastAsia="es-DO"/>
        </w:rPr>
        <w:t>, evaluando</w:t>
      </w:r>
      <w:r w:rsidR="00306F1C">
        <w:rPr>
          <w:rFonts w:eastAsia="Arial Unicode MS"/>
          <w:u w:color="000000"/>
          <w:bdr w:val="nil"/>
          <w:lang w:val="es-DO" w:eastAsia="es-DO"/>
        </w:rPr>
        <w:t xml:space="preserve"> aspectos como</w:t>
      </w:r>
      <w:r w:rsidRPr="005640F1">
        <w:rPr>
          <w:rFonts w:eastAsia="Arial Unicode MS"/>
          <w:u w:color="000000"/>
          <w:bdr w:val="nil"/>
          <w:lang w:val="es-DO" w:eastAsia="es-DO"/>
        </w:rPr>
        <w:t xml:space="preserve"> la cultura del trato justo </w:t>
      </w:r>
      <w:r w:rsidR="002A3358">
        <w:rPr>
          <w:rFonts w:eastAsia="Arial Unicode MS"/>
          <w:u w:color="000000"/>
          <w:bdr w:val="nil"/>
          <w:lang w:val="es-DO" w:eastAsia="es-DO"/>
        </w:rPr>
        <w:t>en tres (3)</w:t>
      </w:r>
      <w:r w:rsidRPr="005640F1">
        <w:rPr>
          <w:rFonts w:eastAsia="Arial Unicode MS"/>
          <w:u w:color="000000"/>
          <w:bdr w:val="nil"/>
          <w:lang w:val="es-DO" w:eastAsia="es-DO"/>
        </w:rPr>
        <w:t xml:space="preserve"> entidades de intermediación financiera.</w:t>
      </w:r>
    </w:p>
    <w:p w14:paraId="77847F3B" w14:textId="23DCFB32" w:rsidR="005640F1" w:rsidRPr="005640F1" w:rsidRDefault="003128E3" w:rsidP="006B204A">
      <w:pPr>
        <w:spacing w:line="360" w:lineRule="auto"/>
        <w:jc w:val="both"/>
        <w:rPr>
          <w:rFonts w:eastAsia="Arial Unicode MS"/>
          <w:u w:color="000000"/>
          <w:bdr w:val="nil"/>
          <w:lang w:val="es-DO" w:eastAsia="es-DO"/>
        </w:rPr>
      </w:pPr>
      <w:r>
        <w:rPr>
          <w:rFonts w:eastAsia="Arial Unicode MS"/>
          <w:u w:color="000000"/>
          <w:bdr w:val="nil"/>
          <w:lang w:val="es-DO" w:eastAsia="es-DO"/>
        </w:rPr>
        <w:t xml:space="preserve">Este ejercicio fue realizado </w:t>
      </w:r>
      <w:r w:rsidR="00936AB5">
        <w:rPr>
          <w:rFonts w:eastAsia="Arial Unicode MS"/>
          <w:u w:color="000000"/>
          <w:bdr w:val="nil"/>
          <w:lang w:val="es-DO" w:eastAsia="es-DO"/>
        </w:rPr>
        <w:t>con</w:t>
      </w:r>
      <w:r w:rsidR="00A52214">
        <w:rPr>
          <w:rFonts w:eastAsia="Arial Unicode MS"/>
          <w:u w:color="000000"/>
          <w:bdr w:val="nil"/>
          <w:lang w:val="es-DO" w:eastAsia="es-DO"/>
        </w:rPr>
        <w:t xml:space="preserve"> el</w:t>
      </w:r>
      <w:r w:rsidR="00936AB5">
        <w:rPr>
          <w:rFonts w:eastAsia="Arial Unicode MS"/>
          <w:u w:color="000000"/>
          <w:bdr w:val="nil"/>
          <w:lang w:val="es-DO" w:eastAsia="es-DO"/>
        </w:rPr>
        <w:t xml:space="preserve"> acompañamiento</w:t>
      </w:r>
      <w:r w:rsidR="00A52214">
        <w:rPr>
          <w:rFonts w:eastAsia="Arial Unicode MS"/>
          <w:u w:color="000000"/>
          <w:bdr w:val="nil"/>
          <w:lang w:val="es-DO" w:eastAsia="es-DO"/>
        </w:rPr>
        <w:t xml:space="preserve"> de asesores representantes del </w:t>
      </w:r>
      <w:r w:rsidR="005640F1" w:rsidRPr="005640F1">
        <w:rPr>
          <w:rFonts w:eastAsia="Arial Unicode MS"/>
          <w:u w:color="000000"/>
          <w:bdr w:val="nil"/>
          <w:lang w:val="es-DO" w:eastAsia="es-DO"/>
        </w:rPr>
        <w:t>Toronto Centre</w:t>
      </w:r>
      <w:r w:rsidR="00643A55">
        <w:rPr>
          <w:rFonts w:eastAsia="Arial Unicode MS"/>
          <w:u w:color="000000"/>
          <w:bdr w:val="nil"/>
          <w:lang w:val="es-DO" w:eastAsia="es-DO"/>
        </w:rPr>
        <w:t xml:space="preserve"> quienes asistieron</w:t>
      </w:r>
      <w:r w:rsidR="004D7AA4">
        <w:rPr>
          <w:rFonts w:eastAsia="Arial Unicode MS"/>
          <w:u w:color="000000"/>
          <w:bdr w:val="nil"/>
          <w:lang w:val="es-DO" w:eastAsia="es-DO"/>
        </w:rPr>
        <w:t xml:space="preserve"> en la </w:t>
      </w:r>
      <w:r w:rsidR="005640F1" w:rsidRPr="005640F1">
        <w:rPr>
          <w:rFonts w:eastAsia="Arial Unicode MS"/>
          <w:u w:color="000000"/>
          <w:bdr w:val="nil"/>
          <w:lang w:val="es-DO" w:eastAsia="es-DO"/>
        </w:rPr>
        <w:t>identifica</w:t>
      </w:r>
      <w:r w:rsidR="00CE5932">
        <w:rPr>
          <w:rFonts w:eastAsia="Arial Unicode MS"/>
          <w:u w:color="000000"/>
          <w:bdr w:val="nil"/>
          <w:lang w:val="es-DO" w:eastAsia="es-DO"/>
        </w:rPr>
        <w:t>ción de</w:t>
      </w:r>
      <w:r w:rsidR="005640F1" w:rsidRPr="005640F1">
        <w:rPr>
          <w:rFonts w:eastAsia="Arial Unicode MS"/>
          <w:u w:color="000000"/>
          <w:bdr w:val="nil"/>
          <w:lang w:val="es-DO" w:eastAsia="es-DO"/>
        </w:rPr>
        <w:t xml:space="preserve"> las principales debilidades y oportunidades de mejora en las entidades, </w:t>
      </w:r>
      <w:r w:rsidR="0042060E">
        <w:rPr>
          <w:rFonts w:eastAsia="Arial Unicode MS"/>
          <w:u w:color="000000"/>
          <w:bdr w:val="nil"/>
          <w:lang w:val="es-DO" w:eastAsia="es-DO"/>
        </w:rPr>
        <w:t xml:space="preserve">y emitieron recomendaciones </w:t>
      </w:r>
      <w:r w:rsidR="009245F2">
        <w:rPr>
          <w:rFonts w:eastAsia="Arial Unicode MS"/>
          <w:u w:color="000000"/>
          <w:bdr w:val="nil"/>
          <w:lang w:val="es-DO" w:eastAsia="es-DO"/>
        </w:rPr>
        <w:t xml:space="preserve">para modificar </w:t>
      </w:r>
      <w:r w:rsidR="005640F1" w:rsidRPr="005640F1">
        <w:rPr>
          <w:rFonts w:eastAsia="Arial Unicode MS"/>
          <w:u w:color="000000"/>
          <w:bdr w:val="nil"/>
          <w:lang w:val="es-DO" w:eastAsia="es-DO"/>
        </w:rPr>
        <w:t xml:space="preserve">el Reglamento de Protección al Usuario de los Productos y Servicios Financieros </w:t>
      </w:r>
      <w:r w:rsidR="005D10E7">
        <w:rPr>
          <w:rFonts w:eastAsia="Arial Unicode MS"/>
          <w:u w:color="000000"/>
          <w:bdr w:val="nil"/>
          <w:lang w:val="es-DO" w:eastAsia="es-DO"/>
        </w:rPr>
        <w:t xml:space="preserve">con </w:t>
      </w:r>
      <w:r w:rsidR="005640F1" w:rsidRPr="005640F1">
        <w:rPr>
          <w:rFonts w:eastAsia="Arial Unicode MS"/>
          <w:u w:color="000000"/>
          <w:bdr w:val="nil"/>
          <w:lang w:val="es-DO" w:eastAsia="es-DO"/>
        </w:rPr>
        <w:t>la inclusión de los principios de conducta responsable y trato justo, al igual que el riesgo de conducta como parte de los riesgos a ser supervisados por la Superintendencia de Bancos</w:t>
      </w:r>
      <w:r w:rsidR="005D10E7">
        <w:rPr>
          <w:rFonts w:eastAsia="Arial Unicode MS"/>
          <w:u w:color="000000"/>
          <w:bdr w:val="nil"/>
          <w:lang w:val="es-DO" w:eastAsia="es-DO"/>
        </w:rPr>
        <w:t>.</w:t>
      </w:r>
    </w:p>
    <w:p w14:paraId="6A5E1C84" w14:textId="7ACFCD80" w:rsidR="00E52ED4" w:rsidRPr="00C865B6" w:rsidRDefault="00E52ED4" w:rsidP="006B204A">
      <w:pPr>
        <w:spacing w:line="360" w:lineRule="auto"/>
        <w:jc w:val="both"/>
        <w:rPr>
          <w:bCs/>
          <w:lang w:val="es-DO" w:eastAsia="es-DO"/>
        </w:rPr>
      </w:pPr>
    </w:p>
    <w:p w14:paraId="09BE05D2" w14:textId="5A1BE246" w:rsidR="00081969" w:rsidRPr="00081969" w:rsidRDefault="00F440A1" w:rsidP="006B204A">
      <w:pPr>
        <w:pStyle w:val="Estilo3"/>
        <w:spacing w:before="0" w:after="160" w:line="360" w:lineRule="auto"/>
        <w:rPr>
          <w:b/>
        </w:rPr>
      </w:pPr>
      <w:bookmarkStart w:id="70" w:name="_Toc122435013"/>
      <w:bookmarkStart w:id="71" w:name="_Toc123046918"/>
      <w:bookmarkStart w:id="72" w:name="_Toc155354616"/>
      <w:bookmarkEnd w:id="67"/>
      <w:r>
        <w:rPr>
          <w:b/>
        </w:rPr>
        <w:lastRenderedPageBreak/>
        <w:t>3</w:t>
      </w:r>
      <w:r w:rsidR="00E52ED4" w:rsidRPr="00081969">
        <w:rPr>
          <w:b/>
        </w:rPr>
        <w:t>.9 Atención a Ahorristas de Instituciones Financieras Intervenidas y en Liquidación</w:t>
      </w:r>
      <w:bookmarkEnd w:id="70"/>
      <w:bookmarkEnd w:id="71"/>
      <w:bookmarkEnd w:id="72"/>
    </w:p>
    <w:p w14:paraId="02490248" w14:textId="77777777" w:rsidR="00177D03" w:rsidRDefault="001B0B65" w:rsidP="006B204A">
      <w:pPr>
        <w:spacing w:line="360" w:lineRule="auto"/>
        <w:jc w:val="both"/>
        <w:rPr>
          <w:lang w:val="es-DO"/>
        </w:rPr>
      </w:pPr>
      <w:r w:rsidRPr="00823C78">
        <w:rPr>
          <w:lang w:val="es-DO"/>
        </w:rPr>
        <w:t xml:space="preserve">La Superintendencia de Bancos, a través de su Programa de Entidades Financieras Intervenidas y en Liquidación (IFIL), tiene la función de </w:t>
      </w:r>
      <w:r w:rsidR="00843D51" w:rsidRPr="00823C78">
        <w:rPr>
          <w:lang w:val="es-DO"/>
        </w:rPr>
        <w:t>verificar</w:t>
      </w:r>
      <w:r w:rsidRPr="00823C78">
        <w:rPr>
          <w:lang w:val="es-DO"/>
        </w:rPr>
        <w:t xml:space="preserve"> los activos d</w:t>
      </w:r>
      <w:r w:rsidR="005315A5" w:rsidRPr="00823C78">
        <w:rPr>
          <w:lang w:val="es-DO"/>
        </w:rPr>
        <w:t xml:space="preserve">e las </w:t>
      </w:r>
      <w:r w:rsidRPr="00823C78">
        <w:rPr>
          <w:lang w:val="es-DO"/>
        </w:rPr>
        <w:t xml:space="preserve">entidades que cesaron sus operaciones, a fin de obtener liquidez para resarcir a los ahorristas de estas instituciones. </w:t>
      </w:r>
    </w:p>
    <w:p w14:paraId="0B41A945" w14:textId="37DBAE06" w:rsidR="00081969" w:rsidRPr="00543FB2" w:rsidRDefault="00177D03" w:rsidP="006B204A">
      <w:pPr>
        <w:spacing w:line="360" w:lineRule="auto"/>
        <w:jc w:val="both"/>
        <w:rPr>
          <w:lang w:val="es-DO"/>
        </w:rPr>
      </w:pPr>
      <w:r>
        <w:rPr>
          <w:lang w:val="es-DO"/>
        </w:rPr>
        <w:t>En el período enero – septiembre 2023, a</w:t>
      </w:r>
      <w:r w:rsidR="00E44E76" w:rsidRPr="00823C78">
        <w:rPr>
          <w:lang w:val="es-DO"/>
        </w:rPr>
        <w:t xml:space="preserve"> través de la campaña “Dinero busca dueño”</w:t>
      </w:r>
      <w:r w:rsidR="001B0B65" w:rsidRPr="00823C78">
        <w:rPr>
          <w:lang w:val="es-DO"/>
        </w:rPr>
        <w:t>, la S</w:t>
      </w:r>
      <w:r w:rsidR="001C6F8A" w:rsidRPr="00823C78">
        <w:rPr>
          <w:lang w:val="es-DO"/>
        </w:rPr>
        <w:t xml:space="preserve">uperintendencia de </w:t>
      </w:r>
      <w:r w:rsidR="001B0B65" w:rsidRPr="00823C78">
        <w:rPr>
          <w:lang w:val="es-DO"/>
        </w:rPr>
        <w:t>B</w:t>
      </w:r>
      <w:r w:rsidR="001C6F8A" w:rsidRPr="00823C78">
        <w:rPr>
          <w:lang w:val="es-DO"/>
        </w:rPr>
        <w:t xml:space="preserve">ancos </w:t>
      </w:r>
      <w:r w:rsidR="001B0B65" w:rsidRPr="00823C78">
        <w:rPr>
          <w:lang w:val="es-DO"/>
        </w:rPr>
        <w:t xml:space="preserve">ha </w:t>
      </w:r>
      <w:r w:rsidR="00543FB2" w:rsidRPr="00823C78">
        <w:rPr>
          <w:lang w:val="es-DO"/>
        </w:rPr>
        <w:t>realizados pagos</w:t>
      </w:r>
      <w:r w:rsidR="001B0B65" w:rsidRPr="00823C78">
        <w:rPr>
          <w:lang w:val="es-DO"/>
        </w:rPr>
        <w:t xml:space="preserve"> a favor </w:t>
      </w:r>
      <w:r w:rsidR="00142ECF" w:rsidRPr="00823C78">
        <w:rPr>
          <w:lang w:val="es-DO"/>
        </w:rPr>
        <w:t>a 1,668</w:t>
      </w:r>
      <w:r w:rsidR="001B0B65" w:rsidRPr="00823C78">
        <w:rPr>
          <w:lang w:val="es-DO"/>
        </w:rPr>
        <w:t xml:space="preserve"> </w:t>
      </w:r>
      <w:r>
        <w:rPr>
          <w:lang w:val="es-DO"/>
        </w:rPr>
        <w:t xml:space="preserve">ahorristas, </w:t>
      </w:r>
      <w:r w:rsidR="001B0B65" w:rsidRPr="00823C78">
        <w:rPr>
          <w:lang w:val="es-DO"/>
        </w:rPr>
        <w:t xml:space="preserve">por un valor ascendente a </w:t>
      </w:r>
      <w:r w:rsidR="005974A6" w:rsidRPr="00823C78">
        <w:rPr>
          <w:lang w:val="es-DO"/>
        </w:rPr>
        <w:t>ciento cuarenta y seis millones</w:t>
      </w:r>
      <w:r w:rsidR="001B0B65" w:rsidRPr="00823C78">
        <w:rPr>
          <w:lang w:val="es-DO"/>
        </w:rPr>
        <w:t xml:space="preserve"> ciento nueve mil cuatrocientos cincuenta y seis pesos con cuarenta y nueve centavos (RD$</w:t>
      </w:r>
      <w:r w:rsidR="007B0434" w:rsidRPr="007B0434">
        <w:rPr>
          <w:lang w:val="es-DO"/>
        </w:rPr>
        <w:t>146.002.505</w:t>
      </w:r>
      <w:r w:rsidR="001B0B65" w:rsidRPr="00823C78">
        <w:rPr>
          <w:lang w:val="es-DO"/>
        </w:rPr>
        <w:t>).</w:t>
      </w:r>
    </w:p>
    <w:p w14:paraId="445A5CF5" w14:textId="77777777" w:rsidR="00543FB2" w:rsidRPr="007846C4" w:rsidRDefault="00543FB2" w:rsidP="006B204A">
      <w:pPr>
        <w:spacing w:line="360" w:lineRule="auto"/>
        <w:jc w:val="both"/>
        <w:rPr>
          <w:sz w:val="22"/>
          <w:szCs w:val="22"/>
          <w:lang w:val="es-DO"/>
        </w:rPr>
      </w:pPr>
    </w:p>
    <w:p w14:paraId="07DC143D" w14:textId="09098670" w:rsidR="00E52ED4" w:rsidRPr="00C865B6" w:rsidRDefault="00F440A1" w:rsidP="006B204A">
      <w:pPr>
        <w:pStyle w:val="Estilo3"/>
        <w:spacing w:before="0" w:after="160" w:line="360" w:lineRule="auto"/>
        <w:rPr>
          <w:b/>
        </w:rPr>
      </w:pPr>
      <w:bookmarkStart w:id="73" w:name="_Toc122435015"/>
      <w:bookmarkStart w:id="74" w:name="_Toc123046920"/>
      <w:bookmarkStart w:id="75" w:name="_Toc155354617"/>
      <w:r>
        <w:rPr>
          <w:b/>
        </w:rPr>
        <w:t>3</w:t>
      </w:r>
      <w:r w:rsidR="00E52ED4" w:rsidRPr="00C865B6">
        <w:rPr>
          <w:b/>
        </w:rPr>
        <w:t>.1</w:t>
      </w:r>
      <w:r w:rsidR="0011292A">
        <w:rPr>
          <w:b/>
        </w:rPr>
        <w:t>0</w:t>
      </w:r>
      <w:r w:rsidR="00E52ED4" w:rsidRPr="00C865B6">
        <w:rPr>
          <w:b/>
        </w:rPr>
        <w:t xml:space="preserve"> Estudios Económicos</w:t>
      </w:r>
      <w:bookmarkEnd w:id="75"/>
      <w:r w:rsidR="00E52ED4" w:rsidRPr="00C865B6">
        <w:rPr>
          <w:b/>
        </w:rPr>
        <w:t xml:space="preserve"> </w:t>
      </w:r>
      <w:bookmarkEnd w:id="73"/>
      <w:bookmarkEnd w:id="74"/>
    </w:p>
    <w:p w14:paraId="2FF5D468" w14:textId="1C956A17" w:rsidR="005A2D68" w:rsidRPr="005A2D68" w:rsidRDefault="005A2D68" w:rsidP="006B204A">
      <w:pPr>
        <w:spacing w:line="360" w:lineRule="auto"/>
        <w:jc w:val="both"/>
        <w:rPr>
          <w:u w:color="000000"/>
          <w:lang w:val="es-DO" w:eastAsia="es-DO"/>
        </w:rPr>
      </w:pPr>
      <w:r w:rsidRPr="005A2D68">
        <w:rPr>
          <w:u w:color="000000"/>
          <w:lang w:val="es-DO" w:eastAsia="es-DO"/>
        </w:rPr>
        <w:t xml:space="preserve">La Superintendencia de Bancos, dentro de sus funciones, desarrolla y publica estudios económicos a fin de mantener actualizadas a las autoridades, a los agentes económicos y al público sobre el desempeño del sector bancario. Durante el año 2023, los resultados alcanzados por la Superintendencia de Bancos en materia de estudios económicos se centraron en las siguientes actividades: </w:t>
      </w:r>
    </w:p>
    <w:p w14:paraId="300E1E2D" w14:textId="4BCBBF89" w:rsidR="00507D90" w:rsidRPr="005A2D68" w:rsidRDefault="005A2D68" w:rsidP="006B204A">
      <w:pPr>
        <w:spacing w:line="360" w:lineRule="auto"/>
        <w:jc w:val="both"/>
        <w:rPr>
          <w:u w:color="000000"/>
          <w:lang w:val="es-DO" w:eastAsia="es-DO"/>
        </w:rPr>
      </w:pPr>
      <w:r w:rsidRPr="005A2D68">
        <w:rPr>
          <w:u w:color="000000"/>
          <w:lang w:val="es-DO" w:eastAsia="es-DO"/>
        </w:rPr>
        <w:t xml:space="preserve">Se </w:t>
      </w:r>
      <w:r w:rsidR="00DD11DB">
        <w:rPr>
          <w:u w:color="000000"/>
          <w:lang w:val="es-DO" w:eastAsia="es-DO"/>
        </w:rPr>
        <w:t>elaboraron</w:t>
      </w:r>
      <w:r w:rsidRPr="005A2D68">
        <w:rPr>
          <w:u w:color="000000"/>
          <w:lang w:val="es-DO" w:eastAsia="es-DO"/>
        </w:rPr>
        <w:t xml:space="preserve"> </w:t>
      </w:r>
      <w:r w:rsidR="008D6DD5">
        <w:rPr>
          <w:u w:color="000000"/>
          <w:lang w:val="es-DO" w:eastAsia="es-DO"/>
        </w:rPr>
        <w:t>treinta y ocho (</w:t>
      </w:r>
      <w:r w:rsidRPr="005A2D68">
        <w:rPr>
          <w:u w:color="000000"/>
          <w:lang w:val="es-DO" w:eastAsia="es-DO"/>
        </w:rPr>
        <w:t>38</w:t>
      </w:r>
      <w:r w:rsidR="008D6DD5">
        <w:rPr>
          <w:u w:color="000000"/>
          <w:lang w:val="es-DO" w:eastAsia="es-DO"/>
        </w:rPr>
        <w:t>)</w:t>
      </w:r>
      <w:r w:rsidRPr="005A2D68">
        <w:rPr>
          <w:u w:color="000000"/>
          <w:lang w:val="es-DO" w:eastAsia="es-DO"/>
        </w:rPr>
        <w:t xml:space="preserve"> publicaciones, dentro de las cuales </w:t>
      </w:r>
      <w:r w:rsidR="00E70CE3">
        <w:rPr>
          <w:u w:color="000000"/>
          <w:lang w:val="es-DO" w:eastAsia="es-DO"/>
        </w:rPr>
        <w:t>se pueden resaltar</w:t>
      </w:r>
      <w:r w:rsidR="0080396C">
        <w:rPr>
          <w:u w:color="000000"/>
          <w:lang w:val="es-DO" w:eastAsia="es-DO"/>
        </w:rPr>
        <w:t xml:space="preserve"> </w:t>
      </w:r>
      <w:r w:rsidRPr="005A2D68">
        <w:rPr>
          <w:u w:color="000000"/>
          <w:lang w:val="es-DO" w:eastAsia="es-DO"/>
        </w:rPr>
        <w:t xml:space="preserve">informes </w:t>
      </w:r>
      <w:r w:rsidR="00B321C8">
        <w:rPr>
          <w:u w:color="000000"/>
          <w:lang w:val="es-DO" w:eastAsia="es-DO"/>
        </w:rPr>
        <w:t>sobr</w:t>
      </w:r>
      <w:r w:rsidR="00B122F4">
        <w:rPr>
          <w:u w:color="000000"/>
          <w:lang w:val="es-DO" w:eastAsia="es-DO"/>
        </w:rPr>
        <w:t>e el desempeño del sistema financiero</w:t>
      </w:r>
      <w:r w:rsidR="00024912">
        <w:rPr>
          <w:u w:color="000000"/>
          <w:lang w:val="es-DO" w:eastAsia="es-DO"/>
        </w:rPr>
        <w:t xml:space="preserve">, </w:t>
      </w:r>
      <w:r w:rsidR="00BD2E6A">
        <w:rPr>
          <w:u w:color="000000"/>
          <w:lang w:val="es-DO" w:eastAsia="es-DO"/>
        </w:rPr>
        <w:t xml:space="preserve">la banca </w:t>
      </w:r>
      <w:r w:rsidR="00234C46">
        <w:rPr>
          <w:u w:color="000000"/>
          <w:lang w:val="es-DO" w:eastAsia="es-DO"/>
        </w:rPr>
        <w:t xml:space="preserve">y su relación con </w:t>
      </w:r>
      <w:r w:rsidR="00BD2E6A">
        <w:rPr>
          <w:u w:color="000000"/>
          <w:lang w:val="es-DO" w:eastAsia="es-DO"/>
        </w:rPr>
        <w:t>el turismo</w:t>
      </w:r>
      <w:r w:rsidR="003B31F8">
        <w:rPr>
          <w:u w:color="000000"/>
          <w:lang w:val="es-DO" w:eastAsia="es-DO"/>
        </w:rPr>
        <w:t xml:space="preserve"> y la industria nacional</w:t>
      </w:r>
      <w:r w:rsidR="002627B1">
        <w:rPr>
          <w:u w:color="000000"/>
          <w:lang w:val="es-DO" w:eastAsia="es-DO"/>
        </w:rPr>
        <w:t>,</w:t>
      </w:r>
      <w:r w:rsidR="00395780">
        <w:rPr>
          <w:u w:color="000000"/>
          <w:lang w:val="es-DO" w:eastAsia="es-DO"/>
        </w:rPr>
        <w:t xml:space="preserve"> las tendencias del ahorro en </w:t>
      </w:r>
      <w:r w:rsidR="007B1901">
        <w:rPr>
          <w:u w:color="000000"/>
          <w:lang w:val="es-DO" w:eastAsia="es-DO"/>
        </w:rPr>
        <w:t>República Dominicana</w:t>
      </w:r>
      <w:r w:rsidR="00C82316">
        <w:rPr>
          <w:u w:color="000000"/>
          <w:lang w:val="es-DO" w:eastAsia="es-DO"/>
        </w:rPr>
        <w:t>,</w:t>
      </w:r>
      <w:r w:rsidR="006F1A2A">
        <w:rPr>
          <w:u w:color="000000"/>
          <w:lang w:val="es-DO" w:eastAsia="es-DO"/>
        </w:rPr>
        <w:t xml:space="preserve"> el</w:t>
      </w:r>
      <w:r w:rsidR="003D79BF">
        <w:rPr>
          <w:u w:color="000000"/>
          <w:lang w:val="es-DO" w:eastAsia="es-DO"/>
        </w:rPr>
        <w:t xml:space="preserve"> panorama de</w:t>
      </w:r>
      <w:r w:rsidR="00456950">
        <w:rPr>
          <w:u w:color="000000"/>
          <w:lang w:val="es-DO" w:eastAsia="es-DO"/>
        </w:rPr>
        <w:t>l crédito</w:t>
      </w:r>
      <w:r w:rsidR="00234C46">
        <w:rPr>
          <w:u w:color="000000"/>
          <w:lang w:val="es-DO" w:eastAsia="es-DO"/>
        </w:rPr>
        <w:t xml:space="preserve"> y de</w:t>
      </w:r>
      <w:r w:rsidR="003D79BF">
        <w:rPr>
          <w:u w:color="000000"/>
          <w:lang w:val="es-DO" w:eastAsia="es-DO"/>
        </w:rPr>
        <w:t xml:space="preserve"> la concentración en el sistema financiero</w:t>
      </w:r>
      <w:r w:rsidR="004C36F0">
        <w:rPr>
          <w:u w:color="000000"/>
          <w:lang w:val="es-DO" w:eastAsia="es-DO"/>
        </w:rPr>
        <w:t xml:space="preserve"> y </w:t>
      </w:r>
      <w:r w:rsidR="00234C46">
        <w:rPr>
          <w:u w:color="000000"/>
          <w:lang w:val="es-DO" w:eastAsia="es-DO"/>
        </w:rPr>
        <w:t xml:space="preserve">sobre </w:t>
      </w:r>
      <w:r w:rsidR="004C36F0">
        <w:rPr>
          <w:u w:color="000000"/>
          <w:lang w:val="es-DO" w:eastAsia="es-DO"/>
        </w:rPr>
        <w:t>el crédito en</w:t>
      </w:r>
      <w:r w:rsidR="004C36F0" w:rsidRPr="005A2D68">
        <w:rPr>
          <w:u w:color="000000"/>
          <w:lang w:val="es-DO" w:eastAsia="es-DO"/>
        </w:rPr>
        <w:t xml:space="preserve"> las MIPYMES</w:t>
      </w:r>
      <w:r w:rsidR="00B2273A">
        <w:rPr>
          <w:u w:color="000000"/>
          <w:lang w:val="es-DO" w:eastAsia="es-DO"/>
        </w:rPr>
        <w:t xml:space="preserve">. </w:t>
      </w:r>
      <w:r w:rsidR="008D6DD5">
        <w:rPr>
          <w:u w:color="000000"/>
          <w:lang w:val="es-DO" w:eastAsia="es-DO"/>
        </w:rPr>
        <w:t xml:space="preserve">Además, </w:t>
      </w:r>
      <w:r w:rsidR="00B2273A">
        <w:rPr>
          <w:u w:color="000000"/>
          <w:lang w:val="es-DO" w:eastAsia="es-DO"/>
        </w:rPr>
        <w:t xml:space="preserve">se realizó </w:t>
      </w:r>
      <w:r w:rsidR="004C75EC">
        <w:rPr>
          <w:u w:color="000000"/>
          <w:lang w:val="es-DO" w:eastAsia="es-DO"/>
        </w:rPr>
        <w:t xml:space="preserve">una </w:t>
      </w:r>
      <w:r w:rsidRPr="005A2D68">
        <w:rPr>
          <w:u w:color="000000"/>
          <w:lang w:val="es-DO" w:eastAsia="es-DO"/>
        </w:rPr>
        <w:t>nota analítica</w:t>
      </w:r>
      <w:r w:rsidR="004C75EC">
        <w:rPr>
          <w:u w:color="000000"/>
          <w:lang w:val="es-DO" w:eastAsia="es-DO"/>
        </w:rPr>
        <w:t xml:space="preserve"> sobre </w:t>
      </w:r>
      <w:r w:rsidR="00507D90">
        <w:rPr>
          <w:u w:color="000000"/>
          <w:lang w:val="es-DO" w:eastAsia="es-DO"/>
        </w:rPr>
        <w:t>el ratio</w:t>
      </w:r>
      <w:r w:rsidR="004C75EC">
        <w:rPr>
          <w:u w:color="000000"/>
          <w:lang w:val="es-DO" w:eastAsia="es-DO"/>
        </w:rPr>
        <w:t xml:space="preserve"> </w:t>
      </w:r>
      <w:r w:rsidR="004C75EC" w:rsidRPr="005A2D68">
        <w:rPr>
          <w:u w:color="000000"/>
          <w:lang w:val="es-DO" w:eastAsia="es-DO"/>
        </w:rPr>
        <w:t xml:space="preserve">de </w:t>
      </w:r>
      <w:r w:rsidR="004C75EC">
        <w:rPr>
          <w:u w:color="000000"/>
          <w:lang w:val="es-DO" w:eastAsia="es-DO"/>
        </w:rPr>
        <w:t>i</w:t>
      </w:r>
      <w:r w:rsidR="004C75EC" w:rsidRPr="005A2D68">
        <w:rPr>
          <w:u w:color="000000"/>
          <w:lang w:val="es-DO" w:eastAsia="es-DO"/>
        </w:rPr>
        <w:t xml:space="preserve">ncumplimiento para el sistema financiero </w:t>
      </w:r>
      <w:r w:rsidR="004C75EC" w:rsidRPr="005A2D68">
        <w:rPr>
          <w:u w:color="000000"/>
          <w:lang w:val="es-DO" w:eastAsia="es-DO"/>
        </w:rPr>
        <w:lastRenderedPageBreak/>
        <w:t>dominicano</w:t>
      </w:r>
      <w:r w:rsidR="004C75EC">
        <w:rPr>
          <w:u w:color="000000"/>
          <w:lang w:val="es-DO" w:eastAsia="es-DO"/>
        </w:rPr>
        <w:t xml:space="preserve"> y un</w:t>
      </w:r>
      <w:r w:rsidRPr="005A2D68">
        <w:rPr>
          <w:u w:color="000000"/>
          <w:lang w:val="es-DO" w:eastAsia="es-DO"/>
        </w:rPr>
        <w:t xml:space="preserve"> estudio académico</w:t>
      </w:r>
      <w:r w:rsidR="00507D90">
        <w:rPr>
          <w:u w:color="000000"/>
          <w:lang w:val="es-DO" w:eastAsia="es-DO"/>
        </w:rPr>
        <w:t xml:space="preserve"> sobre predicciones de</w:t>
      </w:r>
      <w:r w:rsidR="00507D90" w:rsidRPr="005A2D68">
        <w:rPr>
          <w:u w:color="000000"/>
          <w:lang w:val="es-DO" w:eastAsia="es-DO"/>
        </w:rPr>
        <w:t xml:space="preserve"> series de tiempo de variables económicas dominicanas</w:t>
      </w:r>
      <w:r w:rsidRPr="005A2D68">
        <w:rPr>
          <w:u w:color="000000"/>
          <w:lang w:val="es-DO" w:eastAsia="es-DO"/>
        </w:rPr>
        <w:t xml:space="preserve">. </w:t>
      </w:r>
    </w:p>
    <w:p w14:paraId="45D08776" w14:textId="0FD806AE" w:rsidR="005A2D68" w:rsidRPr="005A2D68" w:rsidRDefault="005A2D68" w:rsidP="006B204A">
      <w:pPr>
        <w:spacing w:line="360" w:lineRule="auto"/>
        <w:jc w:val="both"/>
        <w:rPr>
          <w:u w:color="000000"/>
          <w:lang w:val="es-DO" w:eastAsia="es-DO"/>
        </w:rPr>
      </w:pPr>
      <w:r w:rsidRPr="005A2D68">
        <w:rPr>
          <w:u w:color="000000"/>
          <w:lang w:val="es-DO" w:eastAsia="es-DO"/>
        </w:rPr>
        <w:t>Sobre el Sistema de Información del Mercado Bancario Dominicano (SIMBAD)</w:t>
      </w:r>
      <w:r w:rsidR="00460B48">
        <w:rPr>
          <w:u w:color="000000"/>
          <w:lang w:val="es-DO" w:eastAsia="es-DO"/>
        </w:rPr>
        <w:t>, s</w:t>
      </w:r>
      <w:r w:rsidRPr="005A2D68">
        <w:rPr>
          <w:u w:color="000000"/>
          <w:lang w:val="es-DO" w:eastAsia="es-DO"/>
        </w:rPr>
        <w:t>e incorpor</w:t>
      </w:r>
      <w:r w:rsidR="00460B48">
        <w:rPr>
          <w:u w:color="000000"/>
          <w:lang w:val="es-DO" w:eastAsia="es-DO"/>
        </w:rPr>
        <w:t>ó</w:t>
      </w:r>
      <w:r w:rsidRPr="005A2D68">
        <w:rPr>
          <w:u w:color="000000"/>
          <w:lang w:val="es-DO" w:eastAsia="es-DO"/>
        </w:rPr>
        <w:t xml:space="preserve"> un nuevo tablero sobre deudores únicos, además de mejores funcionalidades y nuevas visualizaciones. Durante el 2023, SIMBAD fue consultado por más de 17,000 usuarios.</w:t>
      </w:r>
    </w:p>
    <w:p w14:paraId="76F0EA30" w14:textId="022BE382" w:rsidR="005A2D68" w:rsidRPr="005A2D68" w:rsidRDefault="005A2D68" w:rsidP="006B204A">
      <w:pPr>
        <w:spacing w:line="360" w:lineRule="auto"/>
        <w:jc w:val="both"/>
        <w:rPr>
          <w:u w:color="000000"/>
          <w:lang w:val="es-DO" w:eastAsia="es-DO"/>
        </w:rPr>
      </w:pPr>
      <w:r w:rsidRPr="005A2D68">
        <w:rPr>
          <w:u w:color="000000"/>
          <w:lang w:val="es-DO" w:eastAsia="es-DO"/>
        </w:rPr>
        <w:t>En materia de innovación tecnológica</w:t>
      </w:r>
      <w:r w:rsidR="00F0485E">
        <w:rPr>
          <w:u w:color="000000"/>
          <w:lang w:val="es-DO" w:eastAsia="es-DO"/>
        </w:rPr>
        <w:t>,</w:t>
      </w:r>
      <w:r w:rsidRPr="005A2D68">
        <w:rPr>
          <w:u w:color="000000"/>
          <w:lang w:val="es-DO" w:eastAsia="es-DO"/>
        </w:rPr>
        <w:t xml:space="preserve"> la Superintendencia de Bancos, ha realizado las siguientes acciones:</w:t>
      </w:r>
    </w:p>
    <w:p w14:paraId="13553823" w14:textId="77777777" w:rsidR="005A2D68" w:rsidRPr="005A2D68" w:rsidRDefault="005A2D68" w:rsidP="00CB4994">
      <w:pPr>
        <w:numPr>
          <w:ilvl w:val="0"/>
          <w:numId w:val="15"/>
        </w:numPr>
        <w:spacing w:line="360" w:lineRule="auto"/>
        <w:ind w:left="360"/>
        <w:jc w:val="both"/>
        <w:rPr>
          <w:u w:color="000000"/>
          <w:lang w:val="es-DO" w:eastAsia="es-DO"/>
        </w:rPr>
      </w:pPr>
      <w:r w:rsidRPr="005A2D68">
        <w:rPr>
          <w:b/>
          <w:bCs/>
          <w:u w:color="000000"/>
          <w:lang w:val="es-DO" w:eastAsia="es-DO"/>
        </w:rPr>
        <w:t xml:space="preserve">Lanzamiento de nueva versión del API de Estadísticas del Sistema Financiero. </w:t>
      </w:r>
      <w:r w:rsidRPr="005A2D68">
        <w:rPr>
          <w:u w:color="000000"/>
          <w:lang w:val="es-DO" w:eastAsia="es-DO"/>
        </w:rPr>
        <w:t>Se lanzó la versión 2.0 del API de estadísticas con algunas mejoras importantes y nuevas experiencias.</w:t>
      </w:r>
    </w:p>
    <w:p w14:paraId="47576491" w14:textId="77777777" w:rsidR="005A2D68" w:rsidRPr="005A2D68" w:rsidRDefault="005A2D68" w:rsidP="00CB4994">
      <w:pPr>
        <w:numPr>
          <w:ilvl w:val="0"/>
          <w:numId w:val="15"/>
        </w:numPr>
        <w:spacing w:line="360" w:lineRule="auto"/>
        <w:ind w:left="360"/>
        <w:jc w:val="both"/>
        <w:rPr>
          <w:u w:color="000000"/>
          <w:lang w:val="es-DO" w:eastAsia="es-DO"/>
        </w:rPr>
      </w:pPr>
      <w:r w:rsidRPr="005A2D68">
        <w:rPr>
          <w:b/>
          <w:bCs/>
          <w:u w:color="000000"/>
          <w:lang w:val="es-DO" w:eastAsia="es-DO"/>
        </w:rPr>
        <w:t>Actualización del portal interno DASH. </w:t>
      </w:r>
      <w:r w:rsidRPr="005A2D68">
        <w:rPr>
          <w:u w:color="000000"/>
          <w:lang w:val="es-DO" w:eastAsia="es-DO"/>
        </w:rPr>
        <w:t>Esta actualización incluye nuevas vistas y mejores funcionalidades para el apoyo de las labores de supervisión de la entidad, como el monitoreo automático de la concentración de grupos de riesgos.</w:t>
      </w:r>
    </w:p>
    <w:p w14:paraId="7EB9DDF2" w14:textId="77777777" w:rsidR="005A2D68" w:rsidRPr="005A2D68" w:rsidRDefault="005A2D68" w:rsidP="00CB4994">
      <w:pPr>
        <w:numPr>
          <w:ilvl w:val="0"/>
          <w:numId w:val="15"/>
        </w:numPr>
        <w:spacing w:line="360" w:lineRule="auto"/>
        <w:ind w:left="360"/>
        <w:jc w:val="both"/>
        <w:rPr>
          <w:u w:color="000000"/>
          <w:lang w:val="es-DO" w:eastAsia="es-DO"/>
        </w:rPr>
      </w:pPr>
      <w:r w:rsidRPr="005A2D68">
        <w:rPr>
          <w:b/>
          <w:bCs/>
          <w:u w:color="000000"/>
          <w:lang w:val="es-DO" w:eastAsia="es-DO"/>
        </w:rPr>
        <w:t>Implementación metodología D-SIB para identificar entidades sistémicas.</w:t>
      </w:r>
      <w:r w:rsidRPr="005A2D68">
        <w:rPr>
          <w:u w:color="000000"/>
          <w:lang w:val="es-DO" w:eastAsia="es-DO"/>
        </w:rPr>
        <w:t xml:space="preserve"> Con esta metodología se determinan de manera objetiva las entidades sistémicas, según lo recomendado por el Comité de Basilea, para apoyar la transformación del modelo de supervisión hacia la Supervisión Basada en Riesgos.</w:t>
      </w:r>
    </w:p>
    <w:p w14:paraId="3B8493DC" w14:textId="77777777" w:rsidR="005A2D68" w:rsidRPr="005A2D68" w:rsidRDefault="005A2D68" w:rsidP="00CB4994">
      <w:pPr>
        <w:numPr>
          <w:ilvl w:val="0"/>
          <w:numId w:val="15"/>
        </w:numPr>
        <w:spacing w:line="360" w:lineRule="auto"/>
        <w:ind w:left="360"/>
        <w:jc w:val="both"/>
        <w:rPr>
          <w:u w:color="000000"/>
          <w:lang w:val="es-DO" w:eastAsia="es-DO"/>
        </w:rPr>
      </w:pPr>
      <w:r w:rsidRPr="005A2D68">
        <w:rPr>
          <w:b/>
          <w:bCs/>
          <w:u w:color="000000"/>
          <w:lang w:val="es-DO" w:eastAsia="es-DO"/>
        </w:rPr>
        <w:t>Ampliación de la metodología de calificación de Riesgo Cuantitativo de las EIF. </w:t>
      </w:r>
      <w:r w:rsidRPr="005A2D68">
        <w:rPr>
          <w:u w:color="000000"/>
          <w:lang w:val="es-DO" w:eastAsia="es-DO"/>
        </w:rPr>
        <w:t>Esta iniciativa apoya la transformación del modelo de supervisión hacia la Supervisión Basada en Riesgos.</w:t>
      </w:r>
    </w:p>
    <w:p w14:paraId="68293E01" w14:textId="77777777" w:rsidR="005A2D68" w:rsidRPr="005A2D68" w:rsidRDefault="005A2D68" w:rsidP="00CB4994">
      <w:pPr>
        <w:numPr>
          <w:ilvl w:val="0"/>
          <w:numId w:val="15"/>
        </w:numPr>
        <w:spacing w:line="360" w:lineRule="auto"/>
        <w:ind w:left="360"/>
        <w:jc w:val="both"/>
        <w:rPr>
          <w:u w:color="000000"/>
          <w:lang w:val="es-DO" w:eastAsia="es-DO"/>
        </w:rPr>
      </w:pPr>
      <w:r w:rsidRPr="005A2D68">
        <w:rPr>
          <w:b/>
          <w:bCs/>
          <w:u w:color="000000"/>
          <w:lang w:val="es-DO" w:eastAsia="es-DO"/>
        </w:rPr>
        <w:lastRenderedPageBreak/>
        <w:t xml:space="preserve">Elaboración de nuevos indicadores y analíticas para evaluar la salud de la cartera de crédito de las EIF. </w:t>
      </w:r>
      <w:r w:rsidRPr="005A2D68">
        <w:rPr>
          <w:u w:color="000000"/>
          <w:lang w:val="es-DO" w:eastAsia="es-DO"/>
        </w:rPr>
        <w:t>Estas nuevas analíticas permiten evaluar la cartera de crédito en función de lo sugerido por el Comité de Basilea y ofrece elementos prospectivos de su comportamiento.</w:t>
      </w:r>
    </w:p>
    <w:p w14:paraId="113C9976" w14:textId="77777777" w:rsidR="005A2D68" w:rsidRPr="005A2D68" w:rsidRDefault="005A2D68" w:rsidP="00CB4994">
      <w:pPr>
        <w:numPr>
          <w:ilvl w:val="0"/>
          <w:numId w:val="15"/>
        </w:numPr>
        <w:spacing w:line="360" w:lineRule="auto"/>
        <w:ind w:left="360"/>
        <w:jc w:val="both"/>
        <w:rPr>
          <w:u w:color="000000"/>
          <w:lang w:val="es-DO" w:eastAsia="es-DO"/>
        </w:rPr>
      </w:pPr>
      <w:r w:rsidRPr="005A2D68">
        <w:rPr>
          <w:b/>
          <w:bCs/>
          <w:u w:color="000000"/>
          <w:lang w:val="es-DO" w:eastAsia="es-DO"/>
        </w:rPr>
        <w:t>Ejecución de prueba de estrés ampliada a las EIF supervisadas. </w:t>
      </w:r>
      <w:r w:rsidRPr="005A2D68">
        <w:rPr>
          <w:u w:color="000000"/>
          <w:lang w:val="es-DO" w:eastAsia="es-DO"/>
        </w:rPr>
        <w:t>Esta iniciativa ofrece visibilidad sobre la posición actual de las EIF y el potencial impacto que experimentarían de materializarse algún escenario adverso, apoyando labores preventivas de supervisión y aumentando el nivel de transparencia.</w:t>
      </w:r>
    </w:p>
    <w:p w14:paraId="5CD80953" w14:textId="77777777" w:rsidR="005A2D68" w:rsidRDefault="005A2D68" w:rsidP="00CB4994">
      <w:pPr>
        <w:numPr>
          <w:ilvl w:val="0"/>
          <w:numId w:val="15"/>
        </w:numPr>
        <w:spacing w:line="360" w:lineRule="auto"/>
        <w:ind w:left="360"/>
        <w:jc w:val="both"/>
        <w:rPr>
          <w:u w:color="000000"/>
          <w:lang w:val="es-DO" w:eastAsia="es-DO"/>
        </w:rPr>
      </w:pPr>
      <w:r w:rsidRPr="005A2D68">
        <w:rPr>
          <w:b/>
          <w:bCs/>
          <w:u w:color="000000"/>
          <w:lang w:val="es-DO" w:eastAsia="es-DO"/>
        </w:rPr>
        <w:t>Publicación de una guía para el diseño y gestión de pruebas de estrés para las entidades de intermediación financiera.</w:t>
      </w:r>
      <w:r w:rsidRPr="005A2D68">
        <w:rPr>
          <w:u w:color="000000"/>
          <w:lang w:val="es-DO" w:eastAsia="es-DO"/>
        </w:rPr>
        <w:t xml:space="preserve"> Con esta guía se establece una política formal para la ejecución de las pruebas de estrés y que los resultados sirvan como herramienta de gestión para las entidades.</w:t>
      </w:r>
    </w:p>
    <w:p w14:paraId="123D5B30" w14:textId="77777777" w:rsidR="00E53004" w:rsidRPr="005A2D68" w:rsidRDefault="00E53004" w:rsidP="006B204A">
      <w:pPr>
        <w:spacing w:line="360" w:lineRule="auto"/>
        <w:jc w:val="both"/>
        <w:rPr>
          <w:u w:color="000000"/>
          <w:lang w:val="es-DO" w:eastAsia="es-DO"/>
        </w:rPr>
      </w:pPr>
    </w:p>
    <w:p w14:paraId="6C3344B5" w14:textId="314DE276" w:rsidR="00E52ED4" w:rsidRPr="00C865B6" w:rsidRDefault="00F440A1" w:rsidP="006B204A">
      <w:pPr>
        <w:pStyle w:val="Ttulo1"/>
        <w:spacing w:before="0" w:after="160"/>
        <w:rPr>
          <w:rStyle w:val="EstiloTItulosMemoriasCar"/>
          <w:rFonts w:eastAsia="Calibri" w:cs="Times New Roman"/>
        </w:rPr>
      </w:pPr>
      <w:bookmarkStart w:id="76" w:name="_Toc122435016"/>
      <w:bookmarkStart w:id="77" w:name="_Toc123046921"/>
      <w:bookmarkStart w:id="78" w:name="_Toc155354618"/>
      <w:r>
        <w:rPr>
          <w:rStyle w:val="EstiloTItulosMemoriasCar"/>
          <w:rFonts w:eastAsia="Calibri" w:cs="Times New Roman"/>
        </w:rPr>
        <w:t>IV</w:t>
      </w:r>
      <w:r w:rsidR="00E52ED4" w:rsidRPr="00C865B6">
        <w:rPr>
          <w:rStyle w:val="EstiloTItulosMemoriasCar"/>
          <w:rFonts w:eastAsia="Calibri" w:cs="Times New Roman"/>
        </w:rPr>
        <w:t>.RESULTADOS ÁREAS TRANSVERSALES Y DE APOYO</w:t>
      </w:r>
      <w:bookmarkEnd w:id="76"/>
      <w:bookmarkEnd w:id="77"/>
      <w:bookmarkEnd w:id="78"/>
    </w:p>
    <w:p w14:paraId="05DFBBFC" w14:textId="77777777" w:rsidR="00E52ED4" w:rsidRPr="00C865B6" w:rsidRDefault="00E52ED4" w:rsidP="006B204A">
      <w:pPr>
        <w:rPr>
          <w:lang w:val="es-DO"/>
        </w:rPr>
      </w:pPr>
      <w:r w:rsidRPr="00C865B6">
        <w:rPr>
          <w:noProof/>
          <w:sz w:val="22"/>
          <w:highlight w:val="green"/>
          <w:lang w:eastAsia="es-ES"/>
        </w:rPr>
        <mc:AlternateContent>
          <mc:Choice Requires="wps">
            <w:drawing>
              <wp:anchor distT="0" distB="0" distL="114300" distR="114300" simplePos="0" relativeHeight="251658252" behindDoc="0" locked="0" layoutInCell="1" allowOverlap="1" wp14:anchorId="1356F27B" wp14:editId="09A10425">
                <wp:simplePos x="0" y="0"/>
                <wp:positionH relativeFrom="page">
                  <wp:align>center</wp:align>
                </wp:positionH>
                <wp:positionV relativeFrom="paragraph">
                  <wp:posOffset>41910</wp:posOffset>
                </wp:positionV>
                <wp:extent cx="463550" cy="0"/>
                <wp:effectExtent l="0" t="19050" r="31750" b="19050"/>
                <wp:wrapNone/>
                <wp:docPr id="35" name="Conector recto 3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45BA441C" id="Conector recto 35" o:spid="_x0000_s1026" style="position:absolute;z-index:251658258;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page" from="0,3.3pt" to="36.5pt,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" strokecolor="#ee2a24" strokeweight="2.25pt">
                <v:stroke joinstyle="miter"/>
                <w10:wrap anchorx="page"/>
              </v:line>
            </w:pict>
          </mc:Fallback>
        </mc:AlternateContent>
      </w:r>
    </w:p>
    <w:p w14:paraId="1AE21033" w14:textId="4FB4AD18" w:rsidR="00090137" w:rsidRPr="003E774F" w:rsidRDefault="00F440A1" w:rsidP="006B204A">
      <w:pPr>
        <w:pStyle w:val="Estilo3"/>
        <w:spacing w:before="0" w:after="160" w:line="360" w:lineRule="auto"/>
        <w:rPr>
          <w:rFonts w:eastAsia="Calibri"/>
          <w:b/>
          <w:szCs w:val="24"/>
        </w:rPr>
      </w:pPr>
      <w:bookmarkStart w:id="79" w:name="_Toc122435017"/>
      <w:bookmarkStart w:id="80" w:name="_Toc123046922"/>
      <w:bookmarkStart w:id="81" w:name="_Hlk121908954"/>
      <w:bookmarkStart w:id="82" w:name="_Toc155354619"/>
      <w:r>
        <w:rPr>
          <w:rFonts w:eastAsia="Calibri"/>
          <w:b/>
          <w:szCs w:val="24"/>
        </w:rPr>
        <w:t>4</w:t>
      </w:r>
      <w:r w:rsidR="00E52ED4" w:rsidRPr="00344B50">
        <w:rPr>
          <w:rFonts w:eastAsia="Calibri"/>
          <w:b/>
          <w:szCs w:val="24"/>
        </w:rPr>
        <w:t xml:space="preserve">.1 Desempeño </w:t>
      </w:r>
      <w:r w:rsidR="00630E6F">
        <w:rPr>
          <w:rFonts w:eastAsia="Calibri"/>
          <w:b/>
          <w:szCs w:val="24"/>
        </w:rPr>
        <w:t>A</w:t>
      </w:r>
      <w:r w:rsidR="00E52ED4" w:rsidRPr="00344B50">
        <w:rPr>
          <w:rFonts w:eastAsia="Calibri"/>
          <w:b/>
          <w:szCs w:val="24"/>
        </w:rPr>
        <w:t xml:space="preserve">dministrativo y </w:t>
      </w:r>
      <w:bookmarkEnd w:id="79"/>
      <w:bookmarkEnd w:id="80"/>
      <w:r w:rsidR="00630E6F">
        <w:rPr>
          <w:rFonts w:eastAsia="Calibri"/>
          <w:b/>
          <w:szCs w:val="24"/>
        </w:rPr>
        <w:t>F</w:t>
      </w:r>
      <w:r w:rsidR="00E52ED4" w:rsidRPr="00344B50">
        <w:rPr>
          <w:rFonts w:eastAsia="Calibri"/>
          <w:b/>
          <w:szCs w:val="24"/>
        </w:rPr>
        <w:t>inanciero</w:t>
      </w:r>
      <w:bookmarkEnd w:id="82"/>
    </w:p>
    <w:p w14:paraId="5B56EA52" w14:textId="77777777" w:rsidR="001967A0" w:rsidRPr="00F8311E" w:rsidRDefault="001967A0" w:rsidP="00F8311E">
      <w:pPr>
        <w:pStyle w:val="CuerpoSB"/>
        <w:pBdr>
          <w:top w:val="none" w:sz="0" w:space="0" w:color="auto"/>
          <w:left w:val="none" w:sz="0" w:space="0" w:color="auto"/>
          <w:bottom w:val="none" w:sz="0" w:space="0" w:color="auto"/>
          <w:right w:val="none" w:sz="0" w:space="0" w:color="auto"/>
        </w:pBdr>
        <w:spacing w:line="360" w:lineRule="auto"/>
        <w:ind w:left="0"/>
        <w:contextualSpacing w:val="0"/>
        <w:jc w:val="left"/>
        <w:rPr>
          <w:rFonts w:ascii="Times New Roman" w:hAnsi="Times New Roman" w:cs="Times New Roman"/>
          <w:b/>
          <w:color w:val="767171"/>
          <w:spacing w:val="20"/>
          <w:sz w:val="24"/>
          <w:szCs w:val="24"/>
          <w:bdr w:val="none" w:sz="0" w:space="0" w:color="auto"/>
          <w:lang w:val="es-ES"/>
        </w:rPr>
      </w:pPr>
      <w:r w:rsidRPr="00F8311E">
        <w:rPr>
          <w:rFonts w:ascii="Times New Roman" w:hAnsi="Times New Roman" w:cs="Times New Roman"/>
          <w:b/>
          <w:color w:val="767171"/>
          <w:spacing w:val="20"/>
          <w:sz w:val="24"/>
          <w:szCs w:val="24"/>
          <w:bdr w:val="none" w:sz="0" w:space="0" w:color="auto"/>
          <w:lang w:val="es-ES"/>
        </w:rPr>
        <w:t xml:space="preserve">Presupuesto de </w:t>
      </w:r>
      <w:r w:rsidRPr="00F8311E">
        <w:rPr>
          <w:rFonts w:ascii="Times New Roman" w:eastAsia="Calibri" w:hAnsi="Times New Roman" w:cs="Times New Roman"/>
          <w:b/>
          <w:color w:val="767171"/>
          <w:spacing w:val="20"/>
          <w:sz w:val="24"/>
          <w:szCs w:val="24"/>
          <w:bdr w:val="none" w:sz="0" w:space="0" w:color="auto"/>
          <w:lang w:val="es-ES" w:eastAsia="en-US"/>
        </w:rPr>
        <w:t>i</w:t>
      </w:r>
      <w:r w:rsidRPr="00F8311E">
        <w:rPr>
          <w:rFonts w:ascii="Times New Roman" w:hAnsi="Times New Roman" w:cs="Times New Roman"/>
          <w:b/>
          <w:color w:val="767171"/>
          <w:spacing w:val="20"/>
          <w:sz w:val="24"/>
          <w:szCs w:val="24"/>
          <w:bdr w:val="none" w:sz="0" w:space="0" w:color="auto"/>
          <w:lang w:val="es-ES"/>
        </w:rPr>
        <w:t>ngresos</w:t>
      </w:r>
    </w:p>
    <w:p w14:paraId="7B871F32" w14:textId="4121FC35" w:rsidR="00732F29" w:rsidRPr="008D3929" w:rsidRDefault="001967A0" w:rsidP="006B204A">
      <w:pPr>
        <w:pStyle w:val="CuerpoSB"/>
        <w:pBdr>
          <w:top w:val="none" w:sz="0" w:space="0" w:color="auto"/>
          <w:left w:val="none" w:sz="0" w:space="0" w:color="auto"/>
          <w:bottom w:val="none" w:sz="0" w:space="0" w:color="auto"/>
          <w:right w:val="none" w:sz="0" w:space="0" w:color="auto"/>
        </w:pBdr>
        <w:spacing w:line="360" w:lineRule="auto"/>
        <w:ind w:left="0"/>
        <w:contextualSpacing w:val="0"/>
        <w:rPr>
          <w:rFonts w:ascii="Times New Roman" w:hAnsi="Times New Roman" w:cs="Times New Roman"/>
          <w:color w:val="767171"/>
          <w:spacing w:val="20"/>
          <w:sz w:val="24"/>
          <w:bdr w:val="none" w:sz="0" w:space="0" w:color="auto"/>
        </w:rPr>
      </w:pPr>
      <w:r w:rsidRPr="008D3929">
        <w:rPr>
          <w:rFonts w:ascii="Times New Roman" w:hAnsi="Times New Roman" w:cs="Times New Roman"/>
          <w:color w:val="767171"/>
          <w:spacing w:val="20"/>
          <w:sz w:val="24"/>
          <w:bdr w:val="none" w:sz="0" w:space="0" w:color="auto"/>
        </w:rPr>
        <w:t xml:space="preserve">Los ingresos de la Superintendencia de Bancos de la República Dominicana están amparados en la Cuarta Resolución de fecha 15 de diciembre de 2022, en la cual se recibió la aprobación de la Junta Monetaria de las partidas de ingresos, para el año 2023, por concepto de cuotas para cubrir los servicios de supervisión de las EIF que </w:t>
      </w:r>
      <w:r w:rsidRPr="008D3929">
        <w:rPr>
          <w:rFonts w:ascii="Times New Roman" w:hAnsi="Times New Roman" w:cs="Times New Roman"/>
          <w:color w:val="767171"/>
          <w:spacing w:val="20"/>
          <w:sz w:val="24"/>
          <w:bdr w:val="none" w:sz="0" w:space="0" w:color="auto"/>
        </w:rPr>
        <w:lastRenderedPageBreak/>
        <w:t>integran el sistema financiero de la República Dominicana, así como los Agentes de Cambios, por un monto de cinco mil setecientos veintiséis millones, novecientos sesenta y dos mil trescientos cuarenta y ocho pesos con 00/100 (RD$ 5,726,962,348). En adición, se presupuestaron otros ingresos, en su mayoría por rentabilidad de instrumentos financieros, por un monto de seiscientos ochenta millones, ochocientos setenta y cuatro mil doscientos ochenta y seis pesos 00/100 (RD$ 680,874,286).</w:t>
      </w:r>
    </w:p>
    <w:p w14:paraId="26E59E3F" w14:textId="39A21D55" w:rsidR="001967A0" w:rsidRPr="00C865B6" w:rsidRDefault="001967A0" w:rsidP="006B204A">
      <w:pPr>
        <w:spacing w:line="360" w:lineRule="auto"/>
        <w:ind w:left="360"/>
        <w:jc w:val="center"/>
        <w:rPr>
          <w:b/>
          <w:bCs/>
          <w:sz w:val="20"/>
          <w:szCs w:val="20"/>
          <w:lang w:val="es-DO"/>
        </w:rPr>
      </w:pPr>
      <w:r>
        <w:rPr>
          <w:b/>
          <w:bCs/>
          <w:lang w:val="es-DO"/>
        </w:rPr>
        <w:t>Tabla</w:t>
      </w:r>
      <w:r w:rsidRPr="00C865B6">
        <w:rPr>
          <w:b/>
          <w:bCs/>
          <w:lang w:val="es-DO"/>
        </w:rPr>
        <w:t xml:space="preserve"> </w:t>
      </w:r>
      <w:r w:rsidR="00C814E1">
        <w:rPr>
          <w:b/>
          <w:bCs/>
          <w:lang w:val="es-DO"/>
        </w:rPr>
        <w:t>5</w:t>
      </w:r>
      <w:r w:rsidRPr="00C865B6">
        <w:rPr>
          <w:b/>
          <w:bCs/>
          <w:lang w:val="es-DO"/>
        </w:rPr>
        <w:t xml:space="preserve">. Ingresos presupuestados y percibidos por la Superintendencia de Bancos según fuente de ingresos. </w:t>
      </w:r>
    </w:p>
    <w:tbl>
      <w:tblPr>
        <w:tblW w:w="7882" w:type="dxa"/>
        <w:jc w:val="center"/>
        <w:tblCellMar>
          <w:left w:w="70" w:type="dxa"/>
          <w:right w:w="70" w:type="dxa"/>
        </w:tblCellMar>
        <w:tblLook w:val="04A0" w:firstRow="1" w:lastRow="0" w:firstColumn="1" w:lastColumn="0" w:noHBand="0" w:noVBand="1"/>
      </w:tblPr>
      <w:tblGrid>
        <w:gridCol w:w="4054"/>
        <w:gridCol w:w="1952"/>
        <w:gridCol w:w="1876"/>
      </w:tblGrid>
      <w:tr w:rsidR="001967A0" w:rsidRPr="00C865B6" w14:paraId="5D04F580" w14:textId="77777777">
        <w:trPr>
          <w:trHeight w:val="394"/>
          <w:tblHeader/>
          <w:jc w:val="center"/>
        </w:trPr>
        <w:tc>
          <w:tcPr>
            <w:tcW w:w="0" w:type="auto"/>
            <w:tcBorders>
              <w:top w:val="single" w:sz="8" w:space="0" w:color="auto"/>
              <w:left w:val="single" w:sz="8" w:space="0" w:color="auto"/>
              <w:bottom w:val="single" w:sz="8" w:space="0" w:color="auto"/>
              <w:right w:val="single" w:sz="8" w:space="0" w:color="000000"/>
            </w:tcBorders>
            <w:shd w:val="clear" w:color="auto" w:fill="003876"/>
            <w:vAlign w:val="center"/>
            <w:hideMark/>
          </w:tcPr>
          <w:p w14:paraId="51F4AD21" w14:textId="77777777" w:rsidR="001967A0" w:rsidRPr="00C865B6" w:rsidRDefault="001967A0" w:rsidP="006B204A">
            <w:pPr>
              <w:spacing w:after="0" w:line="360" w:lineRule="auto"/>
              <w:jc w:val="center"/>
              <w:rPr>
                <w:rFonts w:eastAsia="Times New Roman"/>
                <w:b/>
                <w:bCs/>
                <w:color w:val="FFFFFF"/>
                <w:lang w:val="es-DO" w:eastAsia="es-DO"/>
              </w:rPr>
            </w:pPr>
            <w:r w:rsidRPr="00C865B6">
              <w:rPr>
                <w:rFonts w:eastAsia="Times New Roman"/>
                <w:b/>
                <w:bCs/>
                <w:color w:val="FFFFFF"/>
                <w:lang w:val="es-DO" w:eastAsia="es-DO"/>
              </w:rPr>
              <w:t>Fuente</w:t>
            </w:r>
          </w:p>
        </w:tc>
        <w:tc>
          <w:tcPr>
            <w:tcW w:w="0" w:type="auto"/>
            <w:tcBorders>
              <w:top w:val="single" w:sz="8" w:space="0" w:color="auto"/>
              <w:left w:val="nil"/>
              <w:bottom w:val="single" w:sz="8" w:space="0" w:color="auto"/>
              <w:right w:val="single" w:sz="8" w:space="0" w:color="auto"/>
            </w:tcBorders>
            <w:shd w:val="clear" w:color="auto" w:fill="003876"/>
            <w:vAlign w:val="center"/>
            <w:hideMark/>
          </w:tcPr>
          <w:p w14:paraId="32A2A773" w14:textId="77777777" w:rsidR="001967A0" w:rsidRPr="00C865B6" w:rsidRDefault="001967A0" w:rsidP="006B204A">
            <w:pPr>
              <w:spacing w:after="0" w:line="360" w:lineRule="auto"/>
              <w:jc w:val="center"/>
              <w:rPr>
                <w:rFonts w:eastAsia="Times New Roman"/>
                <w:b/>
                <w:bCs/>
                <w:color w:val="FFFFFF"/>
                <w:lang w:val="es-DO" w:eastAsia="es-DO"/>
              </w:rPr>
            </w:pPr>
            <w:r w:rsidRPr="00C865B6">
              <w:rPr>
                <w:rFonts w:eastAsia="Times New Roman"/>
                <w:b/>
                <w:bCs/>
                <w:color w:val="FFFFFF"/>
                <w:lang w:val="es-DO" w:eastAsia="es-DO"/>
              </w:rPr>
              <w:t>Monto Presupuesto</w:t>
            </w:r>
          </w:p>
        </w:tc>
        <w:tc>
          <w:tcPr>
            <w:tcW w:w="0" w:type="auto"/>
            <w:tcBorders>
              <w:top w:val="single" w:sz="8" w:space="0" w:color="auto"/>
              <w:left w:val="nil"/>
              <w:bottom w:val="single" w:sz="8" w:space="0" w:color="auto"/>
              <w:right w:val="single" w:sz="8" w:space="0" w:color="000000"/>
            </w:tcBorders>
            <w:shd w:val="clear" w:color="auto" w:fill="003876"/>
            <w:vAlign w:val="center"/>
            <w:hideMark/>
          </w:tcPr>
          <w:p w14:paraId="24FEC62A" w14:textId="77777777" w:rsidR="001967A0" w:rsidRPr="00C865B6" w:rsidRDefault="001967A0" w:rsidP="006B204A">
            <w:pPr>
              <w:spacing w:after="0" w:line="360" w:lineRule="auto"/>
              <w:jc w:val="center"/>
              <w:rPr>
                <w:rFonts w:eastAsia="Times New Roman"/>
                <w:b/>
                <w:bCs/>
                <w:color w:val="FFFFFF"/>
                <w:lang w:val="es-DO" w:eastAsia="es-DO"/>
              </w:rPr>
            </w:pPr>
            <w:r w:rsidRPr="00C865B6">
              <w:rPr>
                <w:rFonts w:eastAsia="Times New Roman"/>
                <w:b/>
                <w:bCs/>
                <w:color w:val="FFFFFF"/>
                <w:lang w:val="es-DO" w:eastAsia="es-DO"/>
              </w:rPr>
              <w:t>Monto Percibido</w:t>
            </w:r>
          </w:p>
        </w:tc>
      </w:tr>
      <w:tr w:rsidR="001967A0" w:rsidRPr="00C865B6" w14:paraId="299BA65B" w14:textId="77777777">
        <w:trPr>
          <w:trHeight w:val="394"/>
          <w:tblHeader/>
          <w:jc w:val="center"/>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224B0AD7"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Bancos de Servicios Múltiples</w:t>
            </w:r>
          </w:p>
        </w:tc>
        <w:tc>
          <w:tcPr>
            <w:tcW w:w="0" w:type="auto"/>
            <w:tcBorders>
              <w:top w:val="nil"/>
              <w:left w:val="nil"/>
              <w:bottom w:val="single" w:sz="8" w:space="0" w:color="auto"/>
              <w:right w:val="single" w:sz="8" w:space="0" w:color="auto"/>
            </w:tcBorders>
            <w:shd w:val="clear" w:color="auto" w:fill="auto"/>
            <w:vAlign w:val="center"/>
            <w:hideMark/>
          </w:tcPr>
          <w:p w14:paraId="33EB9DB1"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5,070,911,830</w:t>
            </w:r>
          </w:p>
        </w:tc>
        <w:tc>
          <w:tcPr>
            <w:tcW w:w="0" w:type="auto"/>
            <w:tcBorders>
              <w:top w:val="nil"/>
              <w:left w:val="nil"/>
              <w:bottom w:val="single" w:sz="8" w:space="0" w:color="auto"/>
              <w:right w:val="single" w:sz="8" w:space="0" w:color="000000"/>
            </w:tcBorders>
            <w:shd w:val="clear" w:color="auto" w:fill="auto"/>
            <w:vAlign w:val="center"/>
            <w:hideMark/>
          </w:tcPr>
          <w:p w14:paraId="710D62FE"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5,070,911,830</w:t>
            </w:r>
          </w:p>
        </w:tc>
      </w:tr>
      <w:tr w:rsidR="001967A0" w:rsidRPr="00C865B6" w14:paraId="49B34D01" w14:textId="77777777">
        <w:trPr>
          <w:trHeight w:val="394"/>
          <w:tblHeader/>
          <w:jc w:val="center"/>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5349C31B"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Asociaciones   de Ahorros y Préstamos</w:t>
            </w:r>
          </w:p>
        </w:tc>
        <w:tc>
          <w:tcPr>
            <w:tcW w:w="0" w:type="auto"/>
            <w:tcBorders>
              <w:top w:val="nil"/>
              <w:left w:val="nil"/>
              <w:bottom w:val="single" w:sz="8" w:space="0" w:color="auto"/>
              <w:right w:val="single" w:sz="8" w:space="0" w:color="auto"/>
            </w:tcBorders>
            <w:shd w:val="clear" w:color="auto" w:fill="auto"/>
            <w:vAlign w:val="center"/>
            <w:hideMark/>
          </w:tcPr>
          <w:p w14:paraId="4FCEB8AD"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542,288,034</w:t>
            </w:r>
          </w:p>
        </w:tc>
        <w:tc>
          <w:tcPr>
            <w:tcW w:w="0" w:type="auto"/>
            <w:tcBorders>
              <w:top w:val="nil"/>
              <w:left w:val="nil"/>
              <w:bottom w:val="single" w:sz="8" w:space="0" w:color="auto"/>
              <w:right w:val="single" w:sz="8" w:space="0" w:color="000000"/>
            </w:tcBorders>
            <w:shd w:val="clear" w:color="auto" w:fill="auto"/>
            <w:vAlign w:val="center"/>
            <w:hideMark/>
          </w:tcPr>
          <w:p w14:paraId="488FA4D5"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542,288,034</w:t>
            </w:r>
          </w:p>
        </w:tc>
      </w:tr>
      <w:tr w:rsidR="001967A0" w:rsidRPr="00C865B6" w14:paraId="3F424C03" w14:textId="77777777">
        <w:trPr>
          <w:trHeight w:val="394"/>
          <w:tblHeader/>
          <w:jc w:val="center"/>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7E9E0018"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Bancos de Ahorros y Créditos</w:t>
            </w:r>
          </w:p>
        </w:tc>
        <w:tc>
          <w:tcPr>
            <w:tcW w:w="0" w:type="auto"/>
            <w:tcBorders>
              <w:top w:val="nil"/>
              <w:left w:val="nil"/>
              <w:bottom w:val="single" w:sz="8" w:space="0" w:color="auto"/>
              <w:right w:val="single" w:sz="8" w:space="0" w:color="auto"/>
            </w:tcBorders>
            <w:shd w:val="clear" w:color="auto" w:fill="auto"/>
            <w:vAlign w:val="center"/>
            <w:hideMark/>
          </w:tcPr>
          <w:p w14:paraId="0E7685AB"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101,327,294</w:t>
            </w:r>
          </w:p>
        </w:tc>
        <w:tc>
          <w:tcPr>
            <w:tcW w:w="0" w:type="auto"/>
            <w:tcBorders>
              <w:top w:val="nil"/>
              <w:left w:val="nil"/>
              <w:bottom w:val="single" w:sz="8" w:space="0" w:color="auto"/>
              <w:right w:val="single" w:sz="8" w:space="0" w:color="000000"/>
            </w:tcBorders>
            <w:shd w:val="clear" w:color="auto" w:fill="auto"/>
            <w:vAlign w:val="center"/>
            <w:hideMark/>
          </w:tcPr>
          <w:p w14:paraId="73F2A8CA"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101,327,294</w:t>
            </w:r>
          </w:p>
        </w:tc>
      </w:tr>
      <w:tr w:rsidR="001967A0" w:rsidRPr="00C865B6" w14:paraId="7BD9B58E" w14:textId="77777777">
        <w:trPr>
          <w:trHeight w:val="394"/>
          <w:tblHeader/>
          <w:jc w:val="center"/>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6D6AE807"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Corporaciones de Créditos</w:t>
            </w:r>
          </w:p>
        </w:tc>
        <w:tc>
          <w:tcPr>
            <w:tcW w:w="0" w:type="auto"/>
            <w:tcBorders>
              <w:top w:val="nil"/>
              <w:left w:val="nil"/>
              <w:bottom w:val="single" w:sz="8" w:space="0" w:color="auto"/>
              <w:right w:val="single" w:sz="8" w:space="0" w:color="auto"/>
            </w:tcBorders>
            <w:shd w:val="clear" w:color="auto" w:fill="auto"/>
            <w:vAlign w:val="center"/>
            <w:hideMark/>
          </w:tcPr>
          <w:p w14:paraId="395445AF"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6,865,60</w:t>
            </w:r>
            <w:r>
              <w:rPr>
                <w:rFonts w:eastAsia="Times New Roman"/>
                <w:lang w:val="es-DO" w:eastAsia="es-DO"/>
              </w:rPr>
              <w:t>1</w:t>
            </w:r>
          </w:p>
        </w:tc>
        <w:tc>
          <w:tcPr>
            <w:tcW w:w="0" w:type="auto"/>
            <w:tcBorders>
              <w:top w:val="nil"/>
              <w:left w:val="nil"/>
              <w:bottom w:val="single" w:sz="8" w:space="0" w:color="auto"/>
              <w:right w:val="single" w:sz="8" w:space="0" w:color="000000"/>
            </w:tcBorders>
            <w:shd w:val="clear" w:color="auto" w:fill="auto"/>
            <w:vAlign w:val="center"/>
            <w:hideMark/>
          </w:tcPr>
          <w:p w14:paraId="71022F33"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6,865,601</w:t>
            </w:r>
          </w:p>
        </w:tc>
      </w:tr>
      <w:tr w:rsidR="001967A0" w:rsidRPr="00C865B6" w14:paraId="67862FF6" w14:textId="77777777">
        <w:trPr>
          <w:trHeight w:val="770"/>
          <w:tblHeader/>
          <w:jc w:val="center"/>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6A16F681"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Organismos del Estado Sujetos a Supervisión (Banco Nacional de las Exportaciones)</w:t>
            </w:r>
          </w:p>
        </w:tc>
        <w:tc>
          <w:tcPr>
            <w:tcW w:w="0" w:type="auto"/>
            <w:tcBorders>
              <w:top w:val="nil"/>
              <w:left w:val="nil"/>
              <w:bottom w:val="single" w:sz="8" w:space="0" w:color="auto"/>
              <w:right w:val="single" w:sz="8" w:space="0" w:color="auto"/>
            </w:tcBorders>
            <w:shd w:val="clear" w:color="auto" w:fill="auto"/>
            <w:vAlign w:val="center"/>
            <w:hideMark/>
          </w:tcPr>
          <w:p w14:paraId="0DFB9EB0" w14:textId="77777777" w:rsidR="001967A0" w:rsidRPr="00C865B6" w:rsidRDefault="001967A0" w:rsidP="006B204A">
            <w:pPr>
              <w:spacing w:after="0" w:line="360" w:lineRule="auto"/>
              <w:jc w:val="center"/>
              <w:rPr>
                <w:rFonts w:eastAsia="Times New Roman"/>
                <w:lang w:val="es-DO" w:eastAsia="es-DO"/>
              </w:rPr>
            </w:pPr>
            <w:r w:rsidRPr="00C865B6">
              <w:rPr>
                <w:rFonts w:eastAsia="Times New Roman"/>
                <w:lang w:val="es-DO" w:eastAsia="es-DO"/>
              </w:rPr>
              <w:t>0</w:t>
            </w:r>
          </w:p>
        </w:tc>
        <w:tc>
          <w:tcPr>
            <w:tcW w:w="0" w:type="auto"/>
            <w:tcBorders>
              <w:top w:val="nil"/>
              <w:left w:val="nil"/>
              <w:bottom w:val="single" w:sz="8" w:space="0" w:color="auto"/>
              <w:right w:val="single" w:sz="8" w:space="0" w:color="000000"/>
            </w:tcBorders>
            <w:shd w:val="clear" w:color="auto" w:fill="auto"/>
            <w:vAlign w:val="center"/>
            <w:hideMark/>
          </w:tcPr>
          <w:p w14:paraId="09038807" w14:textId="77777777" w:rsidR="001967A0" w:rsidRPr="00C865B6" w:rsidRDefault="001967A0" w:rsidP="006B204A">
            <w:pPr>
              <w:spacing w:after="0" w:line="360" w:lineRule="auto"/>
              <w:jc w:val="center"/>
              <w:rPr>
                <w:rFonts w:eastAsia="Times New Roman"/>
                <w:lang w:val="es-DO" w:eastAsia="es-DO"/>
              </w:rPr>
            </w:pPr>
            <w:r w:rsidRPr="00C865B6">
              <w:rPr>
                <w:rFonts w:eastAsia="Times New Roman"/>
                <w:lang w:val="es-DO" w:eastAsia="es-DO"/>
              </w:rPr>
              <w:t>0</w:t>
            </w:r>
          </w:p>
        </w:tc>
      </w:tr>
      <w:tr w:rsidR="001967A0" w:rsidRPr="00C865B6" w14:paraId="58AE2AE4" w14:textId="77777777">
        <w:trPr>
          <w:trHeight w:val="394"/>
          <w:tblHeader/>
          <w:jc w:val="center"/>
        </w:trPr>
        <w:tc>
          <w:tcPr>
            <w:tcW w:w="0" w:type="auto"/>
            <w:tcBorders>
              <w:top w:val="nil"/>
              <w:left w:val="single" w:sz="8" w:space="0" w:color="auto"/>
              <w:bottom w:val="single" w:sz="8" w:space="0" w:color="auto"/>
              <w:right w:val="single" w:sz="8" w:space="0" w:color="000000"/>
            </w:tcBorders>
            <w:shd w:val="clear" w:color="auto" w:fill="auto"/>
            <w:vAlign w:val="center"/>
            <w:hideMark/>
          </w:tcPr>
          <w:p w14:paraId="21EACBC8"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Agentes de Cambio y Remesadoras</w:t>
            </w:r>
          </w:p>
        </w:tc>
        <w:tc>
          <w:tcPr>
            <w:tcW w:w="0" w:type="auto"/>
            <w:tcBorders>
              <w:top w:val="nil"/>
              <w:left w:val="nil"/>
              <w:bottom w:val="single" w:sz="8" w:space="0" w:color="auto"/>
              <w:right w:val="single" w:sz="8" w:space="0" w:color="auto"/>
            </w:tcBorders>
            <w:shd w:val="clear" w:color="auto" w:fill="auto"/>
            <w:vAlign w:val="center"/>
            <w:hideMark/>
          </w:tcPr>
          <w:p w14:paraId="47988236"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5,569,589</w:t>
            </w:r>
          </w:p>
        </w:tc>
        <w:tc>
          <w:tcPr>
            <w:tcW w:w="0" w:type="auto"/>
            <w:tcBorders>
              <w:top w:val="nil"/>
              <w:left w:val="nil"/>
              <w:bottom w:val="single" w:sz="8" w:space="0" w:color="auto"/>
              <w:right w:val="single" w:sz="8" w:space="0" w:color="000000"/>
            </w:tcBorders>
            <w:shd w:val="clear" w:color="auto" w:fill="auto"/>
            <w:vAlign w:val="center"/>
            <w:hideMark/>
          </w:tcPr>
          <w:p w14:paraId="40C82131" w14:textId="77777777" w:rsidR="001967A0" w:rsidRPr="00C865B6" w:rsidRDefault="001967A0" w:rsidP="006B204A">
            <w:pPr>
              <w:spacing w:after="0" w:line="360" w:lineRule="auto"/>
              <w:jc w:val="center"/>
              <w:rPr>
                <w:rFonts w:eastAsia="Times New Roman"/>
                <w:lang w:val="es-DO" w:eastAsia="es-DO"/>
              </w:rPr>
            </w:pPr>
            <w:r w:rsidRPr="00106B25">
              <w:rPr>
                <w:rFonts w:eastAsia="Times New Roman"/>
                <w:lang w:val="es-DO" w:eastAsia="es-DO"/>
              </w:rPr>
              <w:t>5,569,589</w:t>
            </w:r>
          </w:p>
        </w:tc>
      </w:tr>
      <w:tr w:rsidR="001967A0" w:rsidRPr="00C865B6" w14:paraId="56624E23" w14:textId="77777777">
        <w:trPr>
          <w:trHeight w:val="394"/>
          <w:tblHeader/>
          <w:jc w:val="center"/>
        </w:trPr>
        <w:tc>
          <w:tcPr>
            <w:tcW w:w="0" w:type="auto"/>
            <w:tcBorders>
              <w:top w:val="nil"/>
              <w:left w:val="single" w:sz="8" w:space="0" w:color="auto"/>
              <w:bottom w:val="single" w:sz="8" w:space="0" w:color="auto"/>
              <w:right w:val="single" w:sz="8" w:space="0" w:color="000000"/>
            </w:tcBorders>
            <w:shd w:val="clear" w:color="auto" w:fill="003876"/>
            <w:vAlign w:val="center"/>
            <w:hideMark/>
          </w:tcPr>
          <w:p w14:paraId="2CB061B8" w14:textId="77777777" w:rsidR="001967A0" w:rsidRPr="00C865B6" w:rsidRDefault="001967A0" w:rsidP="006B204A">
            <w:pPr>
              <w:spacing w:after="0" w:line="360" w:lineRule="auto"/>
              <w:rPr>
                <w:rFonts w:eastAsia="Times New Roman"/>
                <w:b/>
                <w:bCs/>
                <w:color w:val="FFFFFF"/>
                <w:lang w:eastAsia="es-DO"/>
              </w:rPr>
            </w:pPr>
            <w:r w:rsidRPr="00C865B6">
              <w:rPr>
                <w:rFonts w:eastAsia="Times New Roman"/>
                <w:b/>
                <w:bCs/>
                <w:color w:val="FFFFFF"/>
                <w:lang w:eastAsia="es-DO"/>
              </w:rPr>
              <w:t>Total</w:t>
            </w:r>
          </w:p>
        </w:tc>
        <w:tc>
          <w:tcPr>
            <w:tcW w:w="0" w:type="auto"/>
            <w:tcBorders>
              <w:top w:val="nil"/>
              <w:left w:val="nil"/>
              <w:bottom w:val="single" w:sz="8" w:space="0" w:color="auto"/>
              <w:right w:val="single" w:sz="8" w:space="0" w:color="auto"/>
            </w:tcBorders>
            <w:shd w:val="clear" w:color="auto" w:fill="003876"/>
            <w:vAlign w:val="center"/>
            <w:hideMark/>
          </w:tcPr>
          <w:p w14:paraId="05A1911C" w14:textId="77777777" w:rsidR="001967A0" w:rsidRPr="00C865B6" w:rsidRDefault="001967A0" w:rsidP="006B204A">
            <w:pPr>
              <w:spacing w:after="0" w:line="360" w:lineRule="auto"/>
              <w:jc w:val="center"/>
              <w:rPr>
                <w:rFonts w:eastAsia="Times New Roman"/>
                <w:b/>
                <w:bCs/>
                <w:color w:val="FFFFFF"/>
                <w:lang w:eastAsia="es-DO"/>
              </w:rPr>
            </w:pPr>
            <w:r w:rsidRPr="00106B25">
              <w:rPr>
                <w:rFonts w:eastAsia="Times New Roman"/>
                <w:b/>
                <w:bCs/>
                <w:color w:val="FFFFFF"/>
                <w:lang w:eastAsia="es-DO"/>
              </w:rPr>
              <w:t>5,726,962,348</w:t>
            </w:r>
          </w:p>
        </w:tc>
        <w:tc>
          <w:tcPr>
            <w:tcW w:w="0" w:type="auto"/>
            <w:tcBorders>
              <w:top w:val="nil"/>
              <w:left w:val="nil"/>
              <w:bottom w:val="single" w:sz="8" w:space="0" w:color="auto"/>
              <w:right w:val="single" w:sz="8" w:space="0" w:color="000000"/>
            </w:tcBorders>
            <w:shd w:val="clear" w:color="auto" w:fill="003876"/>
            <w:vAlign w:val="center"/>
            <w:hideMark/>
          </w:tcPr>
          <w:p w14:paraId="22489AAB" w14:textId="77777777" w:rsidR="001967A0" w:rsidRPr="00C865B6" w:rsidRDefault="001967A0" w:rsidP="006B204A">
            <w:pPr>
              <w:spacing w:after="0" w:line="360" w:lineRule="auto"/>
              <w:jc w:val="center"/>
              <w:rPr>
                <w:rFonts w:eastAsia="Times New Roman"/>
                <w:b/>
                <w:bCs/>
                <w:color w:val="FFFFFF"/>
                <w:lang w:eastAsia="es-DO"/>
              </w:rPr>
            </w:pPr>
            <w:r w:rsidRPr="00106B25">
              <w:rPr>
                <w:rFonts w:eastAsia="Times New Roman"/>
                <w:b/>
                <w:bCs/>
                <w:color w:val="FFFFFF"/>
                <w:lang w:eastAsia="es-DO"/>
              </w:rPr>
              <w:t>5,726,962,348</w:t>
            </w:r>
          </w:p>
        </w:tc>
      </w:tr>
    </w:tbl>
    <w:p w14:paraId="662A2705" w14:textId="73075B0A" w:rsidR="00F8311E" w:rsidRPr="00CB1F0F" w:rsidRDefault="001967A0" w:rsidP="00CB1F0F">
      <w:pPr>
        <w:spacing w:line="360" w:lineRule="auto"/>
        <w:jc w:val="center"/>
        <w:rPr>
          <w:lang w:val="es-DO"/>
        </w:rPr>
      </w:pPr>
      <w:r w:rsidRPr="00CB1F0F">
        <w:rPr>
          <w:b/>
          <w:lang w:val="es-DO"/>
        </w:rPr>
        <w:t>Fuente</w:t>
      </w:r>
      <w:r w:rsidRPr="00CB1F0F">
        <w:rPr>
          <w:lang w:val="es-DO"/>
        </w:rPr>
        <w:t>: Departamento Administrativo, Financiero y de Planificación. Superintendencia de Bancos de la República Dominicana.</w:t>
      </w:r>
    </w:p>
    <w:p w14:paraId="3A6E776C" w14:textId="77777777" w:rsidR="0057082E" w:rsidRDefault="0057082E" w:rsidP="0057082E">
      <w:pPr>
        <w:spacing w:line="360" w:lineRule="auto"/>
        <w:rPr>
          <w:lang w:val="es-DO"/>
        </w:rPr>
      </w:pPr>
    </w:p>
    <w:p w14:paraId="7B25EF6E" w14:textId="77777777" w:rsidR="00CA473C" w:rsidRDefault="00CA473C" w:rsidP="00F8311E">
      <w:pPr>
        <w:pStyle w:val="CuerpoSB"/>
        <w:pBdr>
          <w:top w:val="none" w:sz="0" w:space="0" w:color="auto"/>
          <w:left w:val="none" w:sz="0" w:space="0" w:color="auto"/>
          <w:bottom w:val="none" w:sz="0" w:space="0" w:color="auto"/>
          <w:right w:val="none" w:sz="0" w:space="0" w:color="auto"/>
        </w:pBdr>
        <w:spacing w:line="360" w:lineRule="auto"/>
        <w:ind w:left="0"/>
        <w:contextualSpacing w:val="0"/>
        <w:jc w:val="left"/>
        <w:rPr>
          <w:rFonts w:ascii="Times New Roman" w:hAnsi="Times New Roman" w:cs="Times New Roman"/>
          <w:b/>
          <w:color w:val="767171"/>
          <w:spacing w:val="20"/>
          <w:sz w:val="24"/>
          <w:bdr w:val="none" w:sz="0" w:space="0" w:color="auto"/>
          <w:lang w:val="es-ES"/>
        </w:rPr>
      </w:pPr>
    </w:p>
    <w:p w14:paraId="7BCF97AC" w14:textId="436B0184" w:rsidR="00280F23" w:rsidRPr="008D3929" w:rsidRDefault="00280F23" w:rsidP="00F8311E">
      <w:pPr>
        <w:pStyle w:val="CuerpoSB"/>
        <w:pBdr>
          <w:top w:val="none" w:sz="0" w:space="0" w:color="auto"/>
          <w:left w:val="none" w:sz="0" w:space="0" w:color="auto"/>
          <w:bottom w:val="none" w:sz="0" w:space="0" w:color="auto"/>
          <w:right w:val="none" w:sz="0" w:space="0" w:color="auto"/>
        </w:pBdr>
        <w:spacing w:line="360" w:lineRule="auto"/>
        <w:ind w:left="0"/>
        <w:contextualSpacing w:val="0"/>
        <w:jc w:val="left"/>
        <w:rPr>
          <w:rFonts w:ascii="Times New Roman" w:hAnsi="Times New Roman" w:cs="Times New Roman"/>
          <w:b/>
          <w:color w:val="767171"/>
          <w:spacing w:val="20"/>
          <w:sz w:val="24"/>
          <w:bdr w:val="none" w:sz="0" w:space="0" w:color="auto"/>
          <w:lang w:val="es-ES"/>
        </w:rPr>
      </w:pPr>
      <w:r w:rsidRPr="008D3929">
        <w:rPr>
          <w:rFonts w:ascii="Times New Roman" w:hAnsi="Times New Roman" w:cs="Times New Roman"/>
          <w:b/>
          <w:color w:val="767171"/>
          <w:spacing w:val="20"/>
          <w:sz w:val="24"/>
          <w:bdr w:val="none" w:sz="0" w:space="0" w:color="auto"/>
          <w:lang w:val="es-ES"/>
        </w:rPr>
        <w:lastRenderedPageBreak/>
        <w:t xml:space="preserve">Presupuesto de </w:t>
      </w:r>
      <w:r w:rsidRPr="008D3929">
        <w:rPr>
          <w:rFonts w:ascii="Times New Roman" w:eastAsia="Calibri" w:hAnsi="Times New Roman" w:cs="Times New Roman"/>
          <w:b/>
          <w:color w:val="767171"/>
          <w:spacing w:val="20"/>
          <w:sz w:val="24"/>
          <w:szCs w:val="24"/>
          <w:bdr w:val="none" w:sz="0" w:space="0" w:color="auto"/>
          <w:lang w:val="es-ES" w:eastAsia="en-US"/>
        </w:rPr>
        <w:t>g</w:t>
      </w:r>
      <w:r w:rsidRPr="008D3929">
        <w:rPr>
          <w:rFonts w:ascii="Times New Roman" w:hAnsi="Times New Roman" w:cs="Times New Roman"/>
          <w:b/>
          <w:color w:val="767171"/>
          <w:spacing w:val="20"/>
          <w:sz w:val="24"/>
          <w:bdr w:val="none" w:sz="0" w:space="0" w:color="auto"/>
          <w:lang w:val="es-ES"/>
        </w:rPr>
        <w:t>astos</w:t>
      </w:r>
    </w:p>
    <w:p w14:paraId="65FA8AFB" w14:textId="77777777" w:rsidR="001967A0" w:rsidRPr="008D3929" w:rsidRDefault="001967A0" w:rsidP="006B204A">
      <w:pPr>
        <w:pStyle w:val="CuerpoSB"/>
        <w:pBdr>
          <w:top w:val="none" w:sz="0" w:space="0" w:color="auto"/>
          <w:left w:val="none" w:sz="0" w:space="0" w:color="auto"/>
          <w:bottom w:val="none" w:sz="0" w:space="0" w:color="auto"/>
          <w:right w:val="none" w:sz="0" w:space="0" w:color="auto"/>
        </w:pBdr>
        <w:spacing w:line="360" w:lineRule="auto"/>
        <w:ind w:left="0"/>
        <w:contextualSpacing w:val="0"/>
        <w:rPr>
          <w:rFonts w:ascii="Times New Roman" w:hAnsi="Times New Roman" w:cs="Times New Roman"/>
          <w:color w:val="767171"/>
          <w:spacing w:val="20"/>
          <w:sz w:val="24"/>
          <w:bdr w:val="none" w:sz="0" w:space="0" w:color="auto"/>
          <w:lang w:val="es-ES"/>
        </w:rPr>
      </w:pPr>
      <w:r w:rsidRPr="008D3929">
        <w:rPr>
          <w:rFonts w:ascii="Times New Roman" w:hAnsi="Times New Roman" w:cs="Times New Roman"/>
          <w:color w:val="767171"/>
          <w:spacing w:val="20"/>
          <w:sz w:val="24"/>
          <w:bdr w:val="none" w:sz="0" w:space="0" w:color="auto"/>
          <w:lang w:val="es-ES"/>
        </w:rPr>
        <w:t xml:space="preserve">Desde el punto de vista del gasto, para el año 2023 el presupuesto aprobado asciende a cuatro mil ochenta y dos millones, quinientos cuarenta y dos mil cuatrocientos noventa y siete pesos (RD$ 4,082,542,497). A esto se le suman transferencias extraordinarias al Gobierno Central por dos mil millones de pesos (RD$2,000,000,000), aprobadas mediante la Ley 366-22, que modifica el Presupuesto General de la Nación, y la adenda de modificación para el Presupuesto Reformulado aprobada por la Junta Monetaria a través de la Cuarta Resolución de fecha 26 de octubre del 2023. Lo que nos da como resultado un presupuesto total general de gastos y transferencias al Ministerio de Hacienda de seis mil ochenta dos millones, quinientos cuarenta y dos mil cuatrocientos noventa y siete pesos (RD$ 6,082,542,497). A continuación, se presenta en resumen de gastos: </w:t>
      </w:r>
    </w:p>
    <w:p w14:paraId="57B2B5CB" w14:textId="0D1F4A04" w:rsidR="001967A0" w:rsidRDefault="00D84806" w:rsidP="006B204A">
      <w:pPr>
        <w:spacing w:after="0" w:line="240" w:lineRule="auto"/>
        <w:jc w:val="center"/>
        <w:rPr>
          <w:b/>
          <w:bCs/>
          <w:lang w:val="es-DO"/>
        </w:rPr>
      </w:pPr>
      <w:r>
        <w:rPr>
          <w:b/>
          <w:bCs/>
          <w:lang w:val="es-DO"/>
        </w:rPr>
        <w:t>Tabla 6</w:t>
      </w:r>
      <w:r w:rsidR="001967A0" w:rsidRPr="00C865B6">
        <w:rPr>
          <w:b/>
          <w:bCs/>
          <w:lang w:val="es-DO"/>
        </w:rPr>
        <w:t>. Presupuesto de gastos de la Superintendencia de Bancos según Grupo de Cuentas.</w:t>
      </w:r>
    </w:p>
    <w:p w14:paraId="4F1253A2" w14:textId="77777777" w:rsidR="00977775" w:rsidRPr="00C865B6" w:rsidRDefault="00977775" w:rsidP="006B204A">
      <w:pPr>
        <w:spacing w:after="0" w:line="240" w:lineRule="auto"/>
        <w:rPr>
          <w:b/>
          <w:bCs/>
          <w:sz w:val="28"/>
          <w:szCs w:val="28"/>
          <w:lang w:val="es-DO"/>
        </w:rPr>
      </w:pPr>
    </w:p>
    <w:tbl>
      <w:tblPr>
        <w:tblW w:w="0" w:type="auto"/>
        <w:tblLayout w:type="fixed"/>
        <w:tblCellMar>
          <w:left w:w="70" w:type="dxa"/>
          <w:right w:w="70" w:type="dxa"/>
        </w:tblCellMar>
        <w:tblLook w:val="04A0" w:firstRow="1" w:lastRow="0" w:firstColumn="1" w:lastColumn="0" w:noHBand="0" w:noVBand="1"/>
      </w:tblPr>
      <w:tblGrid>
        <w:gridCol w:w="4324"/>
        <w:gridCol w:w="1983"/>
        <w:gridCol w:w="1843"/>
      </w:tblGrid>
      <w:tr w:rsidR="001967A0" w:rsidRPr="00C865B6" w14:paraId="39BA9429" w14:textId="77777777">
        <w:trPr>
          <w:trHeight w:val="384"/>
        </w:trPr>
        <w:tc>
          <w:tcPr>
            <w:tcW w:w="4324" w:type="dxa"/>
            <w:vMerge w:val="restart"/>
            <w:tcBorders>
              <w:top w:val="single" w:sz="8" w:space="0" w:color="auto"/>
              <w:left w:val="single" w:sz="8" w:space="0" w:color="auto"/>
              <w:bottom w:val="single" w:sz="8" w:space="0" w:color="000000"/>
              <w:right w:val="single" w:sz="8" w:space="0" w:color="auto"/>
            </w:tcBorders>
            <w:shd w:val="clear" w:color="auto" w:fill="003876"/>
            <w:noWrap/>
            <w:vAlign w:val="center"/>
            <w:hideMark/>
          </w:tcPr>
          <w:p w14:paraId="7DF51B30" w14:textId="77777777" w:rsidR="001967A0" w:rsidRPr="00C865B6" w:rsidRDefault="001967A0" w:rsidP="006B204A">
            <w:pPr>
              <w:spacing w:after="0" w:line="360" w:lineRule="auto"/>
              <w:jc w:val="center"/>
              <w:rPr>
                <w:rFonts w:eastAsia="Times New Roman"/>
                <w:b/>
                <w:bCs/>
                <w:color w:val="FFFFFF"/>
                <w:lang w:eastAsia="es-DO"/>
              </w:rPr>
            </w:pPr>
            <w:proofErr w:type="spellStart"/>
            <w:r w:rsidRPr="00C865B6">
              <w:rPr>
                <w:rFonts w:eastAsia="Times New Roman"/>
                <w:b/>
                <w:bCs/>
                <w:color w:val="FFFFFF"/>
                <w:lang w:eastAsia="es-DO"/>
              </w:rPr>
              <w:t>Detalle</w:t>
            </w:r>
            <w:proofErr w:type="spellEnd"/>
            <w:r w:rsidRPr="00C865B6">
              <w:rPr>
                <w:rFonts w:eastAsia="Times New Roman"/>
                <w:b/>
                <w:bCs/>
                <w:color w:val="FFFFFF"/>
                <w:lang w:eastAsia="es-DO"/>
              </w:rPr>
              <w:t xml:space="preserve"> Cuentas</w:t>
            </w:r>
          </w:p>
        </w:tc>
        <w:tc>
          <w:tcPr>
            <w:tcW w:w="1983" w:type="dxa"/>
            <w:tcBorders>
              <w:top w:val="single" w:sz="8" w:space="0" w:color="auto"/>
              <w:left w:val="nil"/>
              <w:bottom w:val="nil"/>
              <w:right w:val="single" w:sz="8" w:space="0" w:color="auto"/>
            </w:tcBorders>
            <w:shd w:val="clear" w:color="auto" w:fill="003876"/>
            <w:noWrap/>
            <w:vAlign w:val="center"/>
            <w:hideMark/>
          </w:tcPr>
          <w:p w14:paraId="3F20F69A" w14:textId="77777777" w:rsidR="001967A0" w:rsidRPr="00C865B6" w:rsidRDefault="001967A0" w:rsidP="006B204A">
            <w:pPr>
              <w:spacing w:after="0" w:line="360" w:lineRule="auto"/>
              <w:jc w:val="center"/>
              <w:rPr>
                <w:rFonts w:eastAsia="Times New Roman"/>
                <w:b/>
                <w:bCs/>
                <w:color w:val="FFFFFF"/>
                <w:lang w:eastAsia="es-DO"/>
              </w:rPr>
            </w:pPr>
            <w:r w:rsidRPr="00C865B6">
              <w:rPr>
                <w:rFonts w:eastAsia="Times New Roman"/>
                <w:b/>
                <w:bCs/>
                <w:color w:val="FFFFFF"/>
                <w:lang w:eastAsia="es-DO"/>
              </w:rPr>
              <w:t>Monto</w:t>
            </w:r>
          </w:p>
        </w:tc>
        <w:tc>
          <w:tcPr>
            <w:tcW w:w="1843" w:type="dxa"/>
            <w:vMerge w:val="restart"/>
            <w:tcBorders>
              <w:top w:val="single" w:sz="8" w:space="0" w:color="auto"/>
              <w:left w:val="single" w:sz="8" w:space="0" w:color="auto"/>
              <w:bottom w:val="single" w:sz="8" w:space="0" w:color="000000"/>
              <w:right w:val="single" w:sz="8" w:space="0" w:color="auto"/>
            </w:tcBorders>
            <w:shd w:val="clear" w:color="auto" w:fill="003876"/>
            <w:noWrap/>
            <w:vAlign w:val="center"/>
            <w:hideMark/>
          </w:tcPr>
          <w:p w14:paraId="6EA136A7" w14:textId="77777777" w:rsidR="001967A0" w:rsidRPr="00C865B6" w:rsidRDefault="001967A0" w:rsidP="006B204A">
            <w:pPr>
              <w:spacing w:after="0" w:line="360" w:lineRule="auto"/>
              <w:jc w:val="center"/>
              <w:rPr>
                <w:rFonts w:eastAsia="Times New Roman"/>
                <w:b/>
                <w:bCs/>
                <w:color w:val="FFFFFF"/>
                <w:lang w:eastAsia="es-DO"/>
              </w:rPr>
            </w:pPr>
            <w:proofErr w:type="spellStart"/>
            <w:r w:rsidRPr="00C865B6">
              <w:rPr>
                <w:rFonts w:eastAsia="Times New Roman"/>
                <w:b/>
                <w:bCs/>
                <w:color w:val="FFFFFF"/>
                <w:lang w:eastAsia="es-DO"/>
              </w:rPr>
              <w:t>Porcentaje</w:t>
            </w:r>
            <w:proofErr w:type="spellEnd"/>
            <w:r w:rsidRPr="00C865B6">
              <w:rPr>
                <w:rFonts w:eastAsia="Times New Roman"/>
                <w:b/>
                <w:bCs/>
                <w:color w:val="FFFFFF"/>
                <w:lang w:eastAsia="es-DO"/>
              </w:rPr>
              <w:t xml:space="preserve"> del total</w:t>
            </w:r>
          </w:p>
        </w:tc>
      </w:tr>
      <w:tr w:rsidR="001967A0" w:rsidRPr="00C865B6" w14:paraId="074F0679" w14:textId="77777777">
        <w:trPr>
          <w:trHeight w:val="403"/>
        </w:trPr>
        <w:tc>
          <w:tcPr>
            <w:tcW w:w="4324" w:type="dxa"/>
            <w:vMerge/>
            <w:tcBorders>
              <w:top w:val="single" w:sz="8" w:space="0" w:color="auto"/>
              <w:left w:val="single" w:sz="8" w:space="0" w:color="auto"/>
              <w:bottom w:val="single" w:sz="8" w:space="0" w:color="000000"/>
              <w:right w:val="single" w:sz="8" w:space="0" w:color="auto"/>
            </w:tcBorders>
            <w:shd w:val="clear" w:color="auto" w:fill="003876"/>
            <w:vAlign w:val="center"/>
            <w:hideMark/>
          </w:tcPr>
          <w:p w14:paraId="45D2CD86" w14:textId="77777777" w:rsidR="001967A0" w:rsidRPr="00C865B6" w:rsidRDefault="001967A0" w:rsidP="006B204A">
            <w:pPr>
              <w:spacing w:after="0" w:line="360" w:lineRule="auto"/>
              <w:rPr>
                <w:rFonts w:eastAsia="Times New Roman"/>
                <w:b/>
                <w:bCs/>
                <w:color w:val="FFFFFF"/>
                <w:lang w:eastAsia="es-DO"/>
              </w:rPr>
            </w:pPr>
          </w:p>
        </w:tc>
        <w:tc>
          <w:tcPr>
            <w:tcW w:w="1983" w:type="dxa"/>
            <w:tcBorders>
              <w:top w:val="nil"/>
              <w:left w:val="nil"/>
              <w:bottom w:val="nil"/>
              <w:right w:val="single" w:sz="8" w:space="0" w:color="auto"/>
            </w:tcBorders>
            <w:shd w:val="clear" w:color="auto" w:fill="003876"/>
            <w:noWrap/>
            <w:vAlign w:val="center"/>
            <w:hideMark/>
          </w:tcPr>
          <w:p w14:paraId="43236559" w14:textId="77777777" w:rsidR="001967A0" w:rsidRPr="00C865B6" w:rsidRDefault="001967A0" w:rsidP="006B204A">
            <w:pPr>
              <w:spacing w:after="0" w:line="360" w:lineRule="auto"/>
              <w:jc w:val="center"/>
              <w:rPr>
                <w:rFonts w:eastAsia="Times New Roman"/>
                <w:b/>
                <w:bCs/>
                <w:color w:val="FFFFFF"/>
                <w:lang w:eastAsia="es-DO"/>
              </w:rPr>
            </w:pPr>
            <w:proofErr w:type="spellStart"/>
            <w:r w:rsidRPr="00C865B6">
              <w:rPr>
                <w:rFonts w:eastAsia="Times New Roman"/>
                <w:b/>
                <w:bCs/>
                <w:color w:val="FFFFFF"/>
                <w:lang w:eastAsia="es-DO"/>
              </w:rPr>
              <w:t>Presupuesto</w:t>
            </w:r>
            <w:proofErr w:type="spellEnd"/>
          </w:p>
        </w:tc>
        <w:tc>
          <w:tcPr>
            <w:tcW w:w="1843" w:type="dxa"/>
            <w:vMerge/>
            <w:tcBorders>
              <w:top w:val="single" w:sz="8" w:space="0" w:color="auto"/>
              <w:left w:val="single" w:sz="8" w:space="0" w:color="auto"/>
              <w:bottom w:val="single" w:sz="8" w:space="0" w:color="000000"/>
              <w:right w:val="single" w:sz="8" w:space="0" w:color="auto"/>
            </w:tcBorders>
            <w:shd w:val="clear" w:color="auto" w:fill="003876"/>
            <w:vAlign w:val="center"/>
            <w:hideMark/>
          </w:tcPr>
          <w:p w14:paraId="3FF3CEBD" w14:textId="77777777" w:rsidR="001967A0" w:rsidRPr="00C865B6" w:rsidRDefault="001967A0" w:rsidP="006B204A">
            <w:pPr>
              <w:spacing w:after="0" w:line="360" w:lineRule="auto"/>
              <w:rPr>
                <w:rFonts w:eastAsia="Times New Roman"/>
                <w:b/>
                <w:bCs/>
                <w:color w:val="FFFFFF"/>
                <w:lang w:eastAsia="es-DO"/>
              </w:rPr>
            </w:pPr>
          </w:p>
        </w:tc>
      </w:tr>
      <w:tr w:rsidR="001967A0" w:rsidRPr="00C865B6" w14:paraId="51292F7F" w14:textId="77777777">
        <w:trPr>
          <w:trHeight w:val="403"/>
        </w:trPr>
        <w:tc>
          <w:tcPr>
            <w:tcW w:w="4324" w:type="dxa"/>
            <w:tcBorders>
              <w:top w:val="nil"/>
              <w:left w:val="single" w:sz="8" w:space="0" w:color="auto"/>
              <w:bottom w:val="single" w:sz="8" w:space="0" w:color="auto"/>
              <w:right w:val="single" w:sz="8" w:space="0" w:color="auto"/>
            </w:tcBorders>
            <w:shd w:val="clear" w:color="auto" w:fill="auto"/>
            <w:noWrap/>
            <w:vAlign w:val="center"/>
            <w:hideMark/>
          </w:tcPr>
          <w:p w14:paraId="7DB81350"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Servicios Personales</w:t>
            </w:r>
          </w:p>
        </w:tc>
        <w:tc>
          <w:tcPr>
            <w:tcW w:w="1983" w:type="dxa"/>
            <w:tcBorders>
              <w:top w:val="single" w:sz="8" w:space="0" w:color="auto"/>
              <w:left w:val="nil"/>
              <w:bottom w:val="single" w:sz="8" w:space="0" w:color="auto"/>
              <w:right w:val="single" w:sz="8" w:space="0" w:color="auto"/>
            </w:tcBorders>
            <w:shd w:val="clear" w:color="auto" w:fill="auto"/>
            <w:noWrap/>
            <w:vAlign w:val="center"/>
            <w:hideMark/>
          </w:tcPr>
          <w:p w14:paraId="19C9EF95" w14:textId="77777777" w:rsidR="001967A0" w:rsidRPr="00C865B6" w:rsidRDefault="001967A0" w:rsidP="006B204A">
            <w:pPr>
              <w:spacing w:after="0" w:line="360" w:lineRule="auto"/>
              <w:jc w:val="center"/>
              <w:rPr>
                <w:rFonts w:eastAsia="Times New Roman"/>
                <w:lang w:val="es-DO" w:eastAsia="es-DO"/>
              </w:rPr>
            </w:pPr>
            <w:r w:rsidRPr="006B4BE3">
              <w:t>2,394,034,297</w:t>
            </w:r>
          </w:p>
        </w:tc>
        <w:tc>
          <w:tcPr>
            <w:tcW w:w="1843" w:type="dxa"/>
            <w:tcBorders>
              <w:top w:val="nil"/>
              <w:left w:val="nil"/>
              <w:bottom w:val="single" w:sz="8" w:space="0" w:color="auto"/>
              <w:right w:val="single" w:sz="8" w:space="0" w:color="auto"/>
            </w:tcBorders>
            <w:shd w:val="clear" w:color="auto" w:fill="auto"/>
            <w:noWrap/>
            <w:vAlign w:val="center"/>
            <w:hideMark/>
          </w:tcPr>
          <w:p w14:paraId="72F8E2FE" w14:textId="77777777" w:rsidR="001967A0" w:rsidRPr="00C865B6" w:rsidRDefault="001967A0" w:rsidP="006B204A">
            <w:pPr>
              <w:spacing w:after="0" w:line="360" w:lineRule="auto"/>
              <w:jc w:val="center"/>
              <w:rPr>
                <w:rFonts w:eastAsia="Times New Roman"/>
                <w:lang w:val="es-DO" w:eastAsia="es-DO"/>
              </w:rPr>
            </w:pPr>
            <w:r w:rsidRPr="00E84DC0">
              <w:t>39.4%</w:t>
            </w:r>
          </w:p>
        </w:tc>
      </w:tr>
      <w:tr w:rsidR="001967A0" w:rsidRPr="00C865B6" w14:paraId="31F8106E" w14:textId="77777777">
        <w:trPr>
          <w:trHeight w:val="403"/>
        </w:trPr>
        <w:tc>
          <w:tcPr>
            <w:tcW w:w="4324" w:type="dxa"/>
            <w:tcBorders>
              <w:top w:val="nil"/>
              <w:left w:val="single" w:sz="8" w:space="0" w:color="auto"/>
              <w:bottom w:val="single" w:sz="8" w:space="0" w:color="auto"/>
              <w:right w:val="single" w:sz="8" w:space="0" w:color="auto"/>
            </w:tcBorders>
            <w:shd w:val="clear" w:color="auto" w:fill="auto"/>
            <w:noWrap/>
            <w:vAlign w:val="center"/>
            <w:hideMark/>
          </w:tcPr>
          <w:p w14:paraId="340FF37A"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Servicios No Personales</w:t>
            </w:r>
          </w:p>
        </w:tc>
        <w:tc>
          <w:tcPr>
            <w:tcW w:w="1983" w:type="dxa"/>
            <w:tcBorders>
              <w:top w:val="nil"/>
              <w:left w:val="nil"/>
              <w:bottom w:val="single" w:sz="8" w:space="0" w:color="auto"/>
              <w:right w:val="single" w:sz="8" w:space="0" w:color="auto"/>
            </w:tcBorders>
            <w:shd w:val="clear" w:color="auto" w:fill="auto"/>
            <w:noWrap/>
            <w:vAlign w:val="center"/>
            <w:hideMark/>
          </w:tcPr>
          <w:p w14:paraId="62FC6F14" w14:textId="77777777" w:rsidR="001967A0" w:rsidRPr="00C865B6" w:rsidRDefault="001967A0" w:rsidP="006B204A">
            <w:pPr>
              <w:spacing w:after="0" w:line="360" w:lineRule="auto"/>
              <w:jc w:val="center"/>
              <w:rPr>
                <w:rFonts w:eastAsia="Times New Roman"/>
                <w:lang w:val="es-DO" w:eastAsia="es-DO"/>
              </w:rPr>
            </w:pPr>
            <w:r w:rsidRPr="006B4BE3">
              <w:t>595,487,887</w:t>
            </w:r>
          </w:p>
        </w:tc>
        <w:tc>
          <w:tcPr>
            <w:tcW w:w="1843" w:type="dxa"/>
            <w:tcBorders>
              <w:top w:val="nil"/>
              <w:left w:val="nil"/>
              <w:bottom w:val="single" w:sz="8" w:space="0" w:color="auto"/>
              <w:right w:val="single" w:sz="8" w:space="0" w:color="auto"/>
            </w:tcBorders>
            <w:shd w:val="clear" w:color="auto" w:fill="auto"/>
            <w:noWrap/>
            <w:vAlign w:val="center"/>
            <w:hideMark/>
          </w:tcPr>
          <w:p w14:paraId="093E315A" w14:textId="77777777" w:rsidR="001967A0" w:rsidRPr="00C865B6" w:rsidRDefault="001967A0" w:rsidP="006B204A">
            <w:pPr>
              <w:spacing w:after="0" w:line="360" w:lineRule="auto"/>
              <w:jc w:val="center"/>
              <w:rPr>
                <w:rFonts w:eastAsia="Times New Roman"/>
                <w:lang w:val="es-DO" w:eastAsia="es-DO"/>
              </w:rPr>
            </w:pPr>
            <w:r w:rsidRPr="00E84DC0">
              <w:t>9.8%</w:t>
            </w:r>
          </w:p>
        </w:tc>
      </w:tr>
      <w:tr w:rsidR="001967A0" w:rsidRPr="00C865B6" w14:paraId="359EE974" w14:textId="77777777">
        <w:trPr>
          <w:trHeight w:val="225"/>
        </w:trPr>
        <w:tc>
          <w:tcPr>
            <w:tcW w:w="4324" w:type="dxa"/>
            <w:tcBorders>
              <w:top w:val="nil"/>
              <w:left w:val="single" w:sz="8" w:space="0" w:color="auto"/>
              <w:bottom w:val="single" w:sz="8" w:space="0" w:color="auto"/>
              <w:right w:val="single" w:sz="8" w:space="0" w:color="auto"/>
            </w:tcBorders>
            <w:shd w:val="clear" w:color="auto" w:fill="auto"/>
            <w:noWrap/>
            <w:vAlign w:val="center"/>
            <w:hideMark/>
          </w:tcPr>
          <w:p w14:paraId="149B116C"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Materiales y Suministros</w:t>
            </w:r>
          </w:p>
        </w:tc>
        <w:tc>
          <w:tcPr>
            <w:tcW w:w="1983" w:type="dxa"/>
            <w:tcBorders>
              <w:top w:val="nil"/>
              <w:left w:val="nil"/>
              <w:bottom w:val="single" w:sz="8" w:space="0" w:color="auto"/>
              <w:right w:val="single" w:sz="8" w:space="0" w:color="auto"/>
            </w:tcBorders>
            <w:shd w:val="clear" w:color="auto" w:fill="auto"/>
            <w:noWrap/>
            <w:vAlign w:val="center"/>
            <w:hideMark/>
          </w:tcPr>
          <w:p w14:paraId="1BF81E53" w14:textId="77777777" w:rsidR="001967A0" w:rsidRPr="00C865B6" w:rsidRDefault="001967A0" w:rsidP="006B204A">
            <w:pPr>
              <w:spacing w:after="0" w:line="360" w:lineRule="auto"/>
              <w:jc w:val="center"/>
              <w:rPr>
                <w:rFonts w:eastAsia="Times New Roman"/>
                <w:lang w:val="es-DO" w:eastAsia="es-DO"/>
              </w:rPr>
            </w:pPr>
            <w:r w:rsidRPr="006B4BE3">
              <w:t>50,600,753</w:t>
            </w:r>
          </w:p>
        </w:tc>
        <w:tc>
          <w:tcPr>
            <w:tcW w:w="1843" w:type="dxa"/>
            <w:tcBorders>
              <w:top w:val="nil"/>
              <w:left w:val="nil"/>
              <w:bottom w:val="single" w:sz="8" w:space="0" w:color="auto"/>
              <w:right w:val="single" w:sz="8" w:space="0" w:color="auto"/>
            </w:tcBorders>
            <w:shd w:val="clear" w:color="auto" w:fill="auto"/>
            <w:noWrap/>
            <w:vAlign w:val="center"/>
            <w:hideMark/>
          </w:tcPr>
          <w:p w14:paraId="18B01193" w14:textId="77777777" w:rsidR="001967A0" w:rsidRPr="00C865B6" w:rsidRDefault="001967A0" w:rsidP="006B204A">
            <w:pPr>
              <w:spacing w:after="0" w:line="360" w:lineRule="auto"/>
              <w:jc w:val="center"/>
              <w:rPr>
                <w:rFonts w:eastAsia="Times New Roman"/>
                <w:lang w:val="es-DO" w:eastAsia="es-DO"/>
              </w:rPr>
            </w:pPr>
            <w:r w:rsidRPr="00E84DC0">
              <w:t>0.8%</w:t>
            </w:r>
          </w:p>
        </w:tc>
      </w:tr>
      <w:tr w:rsidR="001967A0" w:rsidRPr="00C865B6" w14:paraId="662CCF23" w14:textId="77777777">
        <w:trPr>
          <w:trHeight w:val="403"/>
        </w:trPr>
        <w:tc>
          <w:tcPr>
            <w:tcW w:w="4324" w:type="dxa"/>
            <w:tcBorders>
              <w:top w:val="nil"/>
              <w:left w:val="single" w:sz="8" w:space="0" w:color="auto"/>
              <w:bottom w:val="single" w:sz="8" w:space="0" w:color="auto"/>
              <w:right w:val="single" w:sz="8" w:space="0" w:color="auto"/>
            </w:tcBorders>
            <w:shd w:val="clear" w:color="auto" w:fill="auto"/>
            <w:noWrap/>
            <w:vAlign w:val="center"/>
            <w:hideMark/>
          </w:tcPr>
          <w:p w14:paraId="2C6ED1B2"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Transferencias Corrientes</w:t>
            </w:r>
          </w:p>
        </w:tc>
        <w:tc>
          <w:tcPr>
            <w:tcW w:w="1983" w:type="dxa"/>
            <w:tcBorders>
              <w:top w:val="nil"/>
              <w:left w:val="nil"/>
              <w:bottom w:val="single" w:sz="8" w:space="0" w:color="auto"/>
              <w:right w:val="single" w:sz="8" w:space="0" w:color="auto"/>
            </w:tcBorders>
            <w:shd w:val="clear" w:color="auto" w:fill="auto"/>
            <w:noWrap/>
            <w:vAlign w:val="center"/>
            <w:hideMark/>
          </w:tcPr>
          <w:p w14:paraId="326F693D" w14:textId="77777777" w:rsidR="001967A0" w:rsidRPr="00C865B6" w:rsidRDefault="001967A0" w:rsidP="006B204A">
            <w:pPr>
              <w:spacing w:after="0" w:line="360" w:lineRule="auto"/>
              <w:jc w:val="center"/>
              <w:rPr>
                <w:rFonts w:eastAsia="Times New Roman"/>
                <w:lang w:val="es-DO" w:eastAsia="es-DO"/>
              </w:rPr>
            </w:pPr>
            <w:r w:rsidRPr="006B4BE3">
              <w:t>2,405,525,551</w:t>
            </w:r>
          </w:p>
        </w:tc>
        <w:tc>
          <w:tcPr>
            <w:tcW w:w="1843" w:type="dxa"/>
            <w:tcBorders>
              <w:top w:val="nil"/>
              <w:left w:val="nil"/>
              <w:bottom w:val="single" w:sz="8" w:space="0" w:color="auto"/>
              <w:right w:val="single" w:sz="8" w:space="0" w:color="auto"/>
            </w:tcBorders>
            <w:shd w:val="clear" w:color="auto" w:fill="auto"/>
            <w:noWrap/>
            <w:vAlign w:val="center"/>
            <w:hideMark/>
          </w:tcPr>
          <w:p w14:paraId="77251F40" w14:textId="77777777" w:rsidR="001967A0" w:rsidRPr="00C865B6" w:rsidRDefault="001967A0" w:rsidP="006B204A">
            <w:pPr>
              <w:spacing w:after="0" w:line="360" w:lineRule="auto"/>
              <w:jc w:val="center"/>
              <w:rPr>
                <w:rFonts w:eastAsia="Times New Roman"/>
                <w:lang w:val="es-DO" w:eastAsia="es-DO"/>
              </w:rPr>
            </w:pPr>
            <w:r w:rsidRPr="00E84DC0">
              <w:t>39.5%</w:t>
            </w:r>
          </w:p>
        </w:tc>
      </w:tr>
      <w:tr w:rsidR="001967A0" w:rsidRPr="00C865B6" w14:paraId="16784AAF" w14:textId="77777777">
        <w:trPr>
          <w:trHeight w:val="403"/>
        </w:trPr>
        <w:tc>
          <w:tcPr>
            <w:tcW w:w="4324" w:type="dxa"/>
            <w:tcBorders>
              <w:top w:val="nil"/>
              <w:left w:val="single" w:sz="8" w:space="0" w:color="auto"/>
              <w:bottom w:val="single" w:sz="8" w:space="0" w:color="auto"/>
              <w:right w:val="single" w:sz="8" w:space="0" w:color="auto"/>
            </w:tcBorders>
            <w:shd w:val="clear" w:color="auto" w:fill="auto"/>
            <w:vAlign w:val="center"/>
            <w:hideMark/>
          </w:tcPr>
          <w:p w14:paraId="60135957"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Bienes Muebles, Inmuebles e Intangibles</w:t>
            </w:r>
          </w:p>
        </w:tc>
        <w:tc>
          <w:tcPr>
            <w:tcW w:w="1983" w:type="dxa"/>
            <w:tcBorders>
              <w:top w:val="nil"/>
              <w:left w:val="nil"/>
              <w:bottom w:val="single" w:sz="8" w:space="0" w:color="auto"/>
              <w:right w:val="single" w:sz="8" w:space="0" w:color="auto"/>
            </w:tcBorders>
            <w:shd w:val="clear" w:color="auto" w:fill="auto"/>
            <w:noWrap/>
            <w:vAlign w:val="center"/>
            <w:hideMark/>
          </w:tcPr>
          <w:p w14:paraId="61574076" w14:textId="77777777" w:rsidR="001967A0" w:rsidRPr="00C865B6" w:rsidRDefault="001967A0" w:rsidP="006B204A">
            <w:pPr>
              <w:spacing w:after="0" w:line="360" w:lineRule="auto"/>
              <w:jc w:val="center"/>
              <w:rPr>
                <w:rFonts w:eastAsia="Times New Roman"/>
                <w:lang w:val="es-DO" w:eastAsia="es-DO"/>
              </w:rPr>
            </w:pPr>
            <w:r w:rsidRPr="006B4BE3">
              <w:t>466,608,616</w:t>
            </w:r>
          </w:p>
        </w:tc>
        <w:tc>
          <w:tcPr>
            <w:tcW w:w="1843" w:type="dxa"/>
            <w:tcBorders>
              <w:top w:val="nil"/>
              <w:left w:val="nil"/>
              <w:bottom w:val="single" w:sz="8" w:space="0" w:color="auto"/>
              <w:right w:val="single" w:sz="8" w:space="0" w:color="auto"/>
            </w:tcBorders>
            <w:shd w:val="clear" w:color="auto" w:fill="auto"/>
            <w:noWrap/>
            <w:vAlign w:val="center"/>
            <w:hideMark/>
          </w:tcPr>
          <w:p w14:paraId="6B50D13F" w14:textId="77777777" w:rsidR="001967A0" w:rsidRPr="00C865B6" w:rsidRDefault="001967A0" w:rsidP="006B204A">
            <w:pPr>
              <w:spacing w:after="0" w:line="360" w:lineRule="auto"/>
              <w:jc w:val="center"/>
              <w:rPr>
                <w:rFonts w:eastAsia="Times New Roman"/>
                <w:lang w:val="es-DO" w:eastAsia="es-DO"/>
              </w:rPr>
            </w:pPr>
            <w:r w:rsidRPr="00E84DC0">
              <w:t>7.7%</w:t>
            </w:r>
          </w:p>
        </w:tc>
      </w:tr>
      <w:tr w:rsidR="001967A0" w:rsidRPr="00C865B6" w14:paraId="281A7BFB" w14:textId="77777777">
        <w:trPr>
          <w:trHeight w:val="403"/>
        </w:trPr>
        <w:tc>
          <w:tcPr>
            <w:tcW w:w="4324" w:type="dxa"/>
            <w:tcBorders>
              <w:top w:val="nil"/>
              <w:left w:val="single" w:sz="8" w:space="0" w:color="auto"/>
              <w:bottom w:val="single" w:sz="8" w:space="0" w:color="auto"/>
              <w:right w:val="single" w:sz="8" w:space="0" w:color="auto"/>
            </w:tcBorders>
            <w:shd w:val="clear" w:color="auto" w:fill="auto"/>
            <w:noWrap/>
            <w:vAlign w:val="center"/>
            <w:hideMark/>
          </w:tcPr>
          <w:p w14:paraId="1FD5EB86" w14:textId="77777777" w:rsidR="001967A0" w:rsidRPr="00C865B6" w:rsidRDefault="001967A0" w:rsidP="006B204A">
            <w:pPr>
              <w:spacing w:after="0" w:line="360" w:lineRule="auto"/>
              <w:rPr>
                <w:rFonts w:eastAsia="Times New Roman"/>
                <w:b/>
                <w:bCs/>
                <w:lang w:val="es-DO" w:eastAsia="es-DO"/>
              </w:rPr>
            </w:pPr>
            <w:r w:rsidRPr="00C865B6">
              <w:rPr>
                <w:rFonts w:eastAsia="Times New Roman"/>
                <w:b/>
                <w:bCs/>
                <w:lang w:val="es-DO" w:eastAsia="es-DO"/>
              </w:rPr>
              <w:t>Obras</w:t>
            </w:r>
          </w:p>
        </w:tc>
        <w:tc>
          <w:tcPr>
            <w:tcW w:w="1983" w:type="dxa"/>
            <w:tcBorders>
              <w:top w:val="nil"/>
              <w:left w:val="nil"/>
              <w:bottom w:val="single" w:sz="8" w:space="0" w:color="auto"/>
              <w:right w:val="single" w:sz="8" w:space="0" w:color="auto"/>
            </w:tcBorders>
            <w:shd w:val="clear" w:color="auto" w:fill="auto"/>
            <w:noWrap/>
            <w:vAlign w:val="center"/>
            <w:hideMark/>
          </w:tcPr>
          <w:p w14:paraId="6CB94640" w14:textId="77777777" w:rsidR="001967A0" w:rsidRPr="00C865B6" w:rsidRDefault="001967A0" w:rsidP="006B204A">
            <w:pPr>
              <w:spacing w:after="0" w:line="360" w:lineRule="auto"/>
              <w:jc w:val="center"/>
              <w:rPr>
                <w:rFonts w:eastAsia="Times New Roman"/>
                <w:lang w:val="es-DO" w:eastAsia="es-DO"/>
              </w:rPr>
            </w:pPr>
            <w:r w:rsidRPr="006B4BE3">
              <w:t>170,285,393</w:t>
            </w:r>
          </w:p>
        </w:tc>
        <w:tc>
          <w:tcPr>
            <w:tcW w:w="1843" w:type="dxa"/>
            <w:tcBorders>
              <w:top w:val="nil"/>
              <w:left w:val="nil"/>
              <w:bottom w:val="single" w:sz="8" w:space="0" w:color="auto"/>
              <w:right w:val="single" w:sz="8" w:space="0" w:color="auto"/>
            </w:tcBorders>
            <w:shd w:val="clear" w:color="auto" w:fill="auto"/>
            <w:noWrap/>
            <w:vAlign w:val="center"/>
            <w:hideMark/>
          </w:tcPr>
          <w:p w14:paraId="1AC8E589" w14:textId="77777777" w:rsidR="001967A0" w:rsidRPr="00C865B6" w:rsidRDefault="001967A0" w:rsidP="006B204A">
            <w:pPr>
              <w:spacing w:after="0" w:line="360" w:lineRule="auto"/>
              <w:jc w:val="center"/>
              <w:rPr>
                <w:rFonts w:eastAsia="Times New Roman"/>
                <w:lang w:val="es-DO" w:eastAsia="es-DO"/>
              </w:rPr>
            </w:pPr>
            <w:r w:rsidRPr="00E84DC0">
              <w:t>2.8%</w:t>
            </w:r>
          </w:p>
        </w:tc>
      </w:tr>
      <w:tr w:rsidR="001967A0" w:rsidRPr="00C865B6" w14:paraId="7EC4B29E" w14:textId="77777777">
        <w:trPr>
          <w:trHeight w:val="403"/>
        </w:trPr>
        <w:tc>
          <w:tcPr>
            <w:tcW w:w="4324" w:type="dxa"/>
            <w:tcBorders>
              <w:top w:val="nil"/>
              <w:left w:val="single" w:sz="8" w:space="0" w:color="auto"/>
              <w:bottom w:val="single" w:sz="8" w:space="0" w:color="auto"/>
              <w:right w:val="single" w:sz="8" w:space="0" w:color="auto"/>
            </w:tcBorders>
            <w:shd w:val="clear" w:color="auto" w:fill="003876"/>
            <w:noWrap/>
            <w:vAlign w:val="center"/>
            <w:hideMark/>
          </w:tcPr>
          <w:p w14:paraId="1B132367" w14:textId="77777777" w:rsidR="001967A0" w:rsidRPr="00C865B6" w:rsidRDefault="001967A0" w:rsidP="006B204A">
            <w:pPr>
              <w:spacing w:after="0" w:line="360" w:lineRule="auto"/>
              <w:rPr>
                <w:rFonts w:eastAsia="Times New Roman"/>
                <w:b/>
                <w:bCs/>
                <w:color w:val="FFFFFF"/>
                <w:lang w:eastAsia="es-DO"/>
              </w:rPr>
            </w:pPr>
            <w:r w:rsidRPr="00C865B6">
              <w:rPr>
                <w:rFonts w:eastAsia="Times New Roman"/>
                <w:b/>
                <w:bCs/>
                <w:color w:val="FFFFFF"/>
                <w:lang w:eastAsia="es-DO"/>
              </w:rPr>
              <w:t xml:space="preserve">Total de </w:t>
            </w:r>
            <w:proofErr w:type="spellStart"/>
            <w:r w:rsidRPr="00C865B6">
              <w:rPr>
                <w:rFonts w:eastAsia="Times New Roman"/>
                <w:b/>
                <w:bCs/>
                <w:color w:val="FFFFFF"/>
                <w:lang w:eastAsia="es-DO"/>
              </w:rPr>
              <w:t>Gastos</w:t>
            </w:r>
            <w:proofErr w:type="spellEnd"/>
          </w:p>
        </w:tc>
        <w:tc>
          <w:tcPr>
            <w:tcW w:w="1983" w:type="dxa"/>
            <w:tcBorders>
              <w:top w:val="nil"/>
              <w:left w:val="nil"/>
              <w:bottom w:val="single" w:sz="8" w:space="0" w:color="auto"/>
              <w:right w:val="single" w:sz="8" w:space="0" w:color="auto"/>
            </w:tcBorders>
            <w:shd w:val="clear" w:color="auto" w:fill="003876"/>
            <w:noWrap/>
            <w:vAlign w:val="center"/>
            <w:hideMark/>
          </w:tcPr>
          <w:p w14:paraId="4841EA61" w14:textId="77777777" w:rsidR="001967A0" w:rsidRPr="00C865B6" w:rsidRDefault="001967A0" w:rsidP="006B204A">
            <w:pPr>
              <w:spacing w:after="0" w:line="360" w:lineRule="auto"/>
              <w:jc w:val="center"/>
              <w:rPr>
                <w:rFonts w:eastAsia="Times New Roman"/>
                <w:b/>
                <w:bCs/>
                <w:color w:val="FFFFFF"/>
                <w:lang w:eastAsia="es-DO"/>
              </w:rPr>
            </w:pPr>
            <w:r w:rsidRPr="00D750B2">
              <w:rPr>
                <w:rFonts w:eastAsia="Times New Roman"/>
                <w:b/>
                <w:bCs/>
                <w:color w:val="FFFFFF"/>
                <w:lang w:eastAsia="es-DO"/>
              </w:rPr>
              <w:t>6,082,542,497</w:t>
            </w:r>
          </w:p>
        </w:tc>
        <w:tc>
          <w:tcPr>
            <w:tcW w:w="1843" w:type="dxa"/>
            <w:tcBorders>
              <w:top w:val="nil"/>
              <w:left w:val="nil"/>
              <w:bottom w:val="single" w:sz="8" w:space="0" w:color="auto"/>
              <w:right w:val="single" w:sz="8" w:space="0" w:color="auto"/>
            </w:tcBorders>
            <w:shd w:val="clear" w:color="auto" w:fill="003876"/>
            <w:noWrap/>
            <w:vAlign w:val="center"/>
            <w:hideMark/>
          </w:tcPr>
          <w:p w14:paraId="23C95B6A" w14:textId="77777777" w:rsidR="001967A0" w:rsidRPr="00C865B6" w:rsidRDefault="001967A0" w:rsidP="006B204A">
            <w:pPr>
              <w:spacing w:after="0" w:line="360" w:lineRule="auto"/>
              <w:jc w:val="center"/>
              <w:rPr>
                <w:rFonts w:eastAsia="Times New Roman"/>
                <w:b/>
                <w:bCs/>
                <w:color w:val="FFFFFF"/>
                <w:lang w:eastAsia="es-DO"/>
              </w:rPr>
            </w:pPr>
            <w:r w:rsidRPr="00C865B6">
              <w:rPr>
                <w:rFonts w:eastAsia="Times New Roman"/>
                <w:b/>
                <w:bCs/>
                <w:color w:val="FFFFFF"/>
                <w:lang w:eastAsia="es-DO"/>
              </w:rPr>
              <w:t>100%</w:t>
            </w:r>
          </w:p>
        </w:tc>
      </w:tr>
    </w:tbl>
    <w:p w14:paraId="14DE596E" w14:textId="31BF6869" w:rsidR="00280F23" w:rsidRPr="00CA473C" w:rsidRDefault="001967A0" w:rsidP="00CA473C">
      <w:pPr>
        <w:tabs>
          <w:tab w:val="left" w:pos="6420"/>
        </w:tabs>
        <w:spacing w:line="360" w:lineRule="auto"/>
        <w:jc w:val="center"/>
        <w:rPr>
          <w:sz w:val="22"/>
          <w:szCs w:val="22"/>
          <w:lang w:val="es-DO"/>
        </w:rPr>
      </w:pPr>
      <w:r w:rsidRPr="00CA473C">
        <w:rPr>
          <w:b/>
          <w:sz w:val="22"/>
          <w:szCs w:val="22"/>
          <w:lang w:val="es-DO"/>
        </w:rPr>
        <w:t>Fuente</w:t>
      </w:r>
      <w:r w:rsidRPr="00CA473C">
        <w:rPr>
          <w:sz w:val="22"/>
          <w:szCs w:val="22"/>
          <w:lang w:val="es-DO"/>
        </w:rPr>
        <w:t>: Departamento Administrativo, Financiero y de Planificación. Superintendencia de Bancos de la República Dominicana.</w:t>
      </w:r>
    </w:p>
    <w:p w14:paraId="311981BE" w14:textId="77777777" w:rsidR="00280F23" w:rsidRPr="00D8680B" w:rsidRDefault="00280F23" w:rsidP="00F8311E">
      <w:pPr>
        <w:pStyle w:val="CuerpoSB"/>
        <w:pBdr>
          <w:top w:val="none" w:sz="0" w:space="0" w:color="auto"/>
          <w:left w:val="none" w:sz="0" w:space="0" w:color="auto"/>
          <w:bottom w:val="none" w:sz="0" w:space="0" w:color="auto"/>
          <w:right w:val="none" w:sz="0" w:space="0" w:color="auto"/>
        </w:pBdr>
        <w:spacing w:line="360" w:lineRule="auto"/>
        <w:ind w:left="0"/>
        <w:contextualSpacing w:val="0"/>
        <w:jc w:val="left"/>
        <w:rPr>
          <w:rFonts w:ascii="Times New Roman" w:hAnsi="Times New Roman" w:cs="Times New Roman"/>
          <w:b/>
          <w:color w:val="767171"/>
          <w:spacing w:val="20"/>
          <w:sz w:val="24"/>
          <w:bdr w:val="none" w:sz="0" w:space="0" w:color="auto"/>
          <w:lang w:val="es-ES"/>
        </w:rPr>
      </w:pPr>
      <w:r w:rsidRPr="00D8680B">
        <w:rPr>
          <w:rFonts w:ascii="Times New Roman" w:hAnsi="Times New Roman" w:cs="Times New Roman"/>
          <w:b/>
          <w:color w:val="767171"/>
          <w:spacing w:val="20"/>
          <w:sz w:val="24"/>
          <w:bdr w:val="none" w:sz="0" w:space="0" w:color="auto"/>
          <w:lang w:val="es-ES"/>
        </w:rPr>
        <w:lastRenderedPageBreak/>
        <w:t>Ejecución presupuestaria</w:t>
      </w:r>
    </w:p>
    <w:p w14:paraId="3A931304" w14:textId="6202564B" w:rsidR="001967A0" w:rsidRDefault="001967A0" w:rsidP="006B204A">
      <w:pPr>
        <w:pStyle w:val="CuerpoSB"/>
        <w:pBdr>
          <w:top w:val="none" w:sz="0" w:space="0" w:color="auto"/>
          <w:left w:val="none" w:sz="0" w:space="0" w:color="auto"/>
          <w:bottom w:val="none" w:sz="0" w:space="0" w:color="auto"/>
          <w:right w:val="none" w:sz="0" w:space="0" w:color="auto"/>
        </w:pBdr>
        <w:spacing w:line="360" w:lineRule="auto"/>
        <w:ind w:left="0"/>
        <w:contextualSpacing w:val="0"/>
        <w:rPr>
          <w:rFonts w:ascii="Times New Roman" w:hAnsi="Times New Roman" w:cs="Times New Roman"/>
          <w:color w:val="767171"/>
          <w:spacing w:val="20"/>
          <w:sz w:val="24"/>
          <w:bdr w:val="none" w:sz="0" w:space="0" w:color="auto"/>
          <w:lang w:val="es-ES"/>
        </w:rPr>
      </w:pPr>
      <w:r w:rsidRPr="00D8680B">
        <w:rPr>
          <w:rFonts w:ascii="Times New Roman" w:hAnsi="Times New Roman" w:cs="Times New Roman"/>
          <w:color w:val="767171"/>
          <w:spacing w:val="20"/>
          <w:sz w:val="24"/>
          <w:bdr w:val="none" w:sz="0" w:space="0" w:color="auto"/>
          <w:lang w:val="es-ES"/>
        </w:rPr>
        <w:t>Al corte del 3</w:t>
      </w:r>
      <w:r w:rsidR="00A1453A">
        <w:rPr>
          <w:rFonts w:ascii="Times New Roman" w:hAnsi="Times New Roman" w:cs="Times New Roman"/>
          <w:color w:val="767171"/>
          <w:spacing w:val="20"/>
          <w:sz w:val="24"/>
          <w:bdr w:val="none" w:sz="0" w:space="0" w:color="auto"/>
          <w:lang w:val="es-ES"/>
        </w:rPr>
        <w:t>0</w:t>
      </w:r>
      <w:r w:rsidRPr="00D8680B">
        <w:rPr>
          <w:rFonts w:ascii="Times New Roman" w:hAnsi="Times New Roman" w:cs="Times New Roman"/>
          <w:color w:val="767171"/>
          <w:spacing w:val="20"/>
          <w:sz w:val="24"/>
          <w:bdr w:val="none" w:sz="0" w:space="0" w:color="auto"/>
          <w:lang w:val="es-ES"/>
        </w:rPr>
        <w:t xml:space="preserve"> de </w:t>
      </w:r>
      <w:r w:rsidR="00A1453A">
        <w:rPr>
          <w:rFonts w:ascii="Times New Roman" w:hAnsi="Times New Roman" w:cs="Times New Roman"/>
          <w:color w:val="767171"/>
          <w:spacing w:val="20"/>
          <w:sz w:val="24"/>
          <w:bdr w:val="none" w:sz="0" w:space="0" w:color="auto"/>
          <w:lang w:val="es-ES"/>
        </w:rPr>
        <w:t>noviembre</w:t>
      </w:r>
      <w:r w:rsidRPr="00D8680B">
        <w:rPr>
          <w:rFonts w:ascii="Times New Roman" w:hAnsi="Times New Roman" w:cs="Times New Roman"/>
          <w:color w:val="767171"/>
          <w:spacing w:val="20"/>
          <w:sz w:val="24"/>
          <w:bdr w:val="none" w:sz="0" w:space="0" w:color="auto"/>
          <w:lang w:val="es-ES"/>
        </w:rPr>
        <w:t xml:space="preserve"> del año 2023, la ejecución del gasto de la Superintendencia de Bancos asciende a un total de </w:t>
      </w:r>
      <w:r w:rsidR="00397483">
        <w:rPr>
          <w:rFonts w:ascii="Times New Roman" w:hAnsi="Times New Roman" w:cs="Times New Roman"/>
          <w:color w:val="767171"/>
          <w:spacing w:val="20"/>
          <w:sz w:val="24"/>
          <w:bdr w:val="none" w:sz="0" w:space="0" w:color="auto"/>
          <w:lang w:val="es-ES"/>
        </w:rPr>
        <w:t>dos</w:t>
      </w:r>
      <w:r w:rsidRPr="00D8680B">
        <w:rPr>
          <w:rFonts w:ascii="Times New Roman" w:hAnsi="Times New Roman" w:cs="Times New Roman"/>
          <w:color w:val="767171"/>
          <w:spacing w:val="20"/>
          <w:sz w:val="24"/>
          <w:bdr w:val="none" w:sz="0" w:space="0" w:color="auto"/>
          <w:lang w:val="es-ES"/>
        </w:rPr>
        <w:t xml:space="preserve"> mil </w:t>
      </w:r>
      <w:r w:rsidR="00B1135C">
        <w:rPr>
          <w:rFonts w:ascii="Times New Roman" w:hAnsi="Times New Roman" w:cs="Times New Roman"/>
          <w:color w:val="767171"/>
          <w:spacing w:val="20"/>
          <w:sz w:val="24"/>
          <w:bdr w:val="none" w:sz="0" w:space="0" w:color="auto"/>
          <w:lang w:val="es-ES"/>
        </w:rPr>
        <w:t>ochocientos</w:t>
      </w:r>
      <w:r w:rsidRPr="00D8680B">
        <w:rPr>
          <w:rFonts w:ascii="Times New Roman" w:hAnsi="Times New Roman" w:cs="Times New Roman"/>
          <w:color w:val="767171"/>
          <w:spacing w:val="20"/>
          <w:sz w:val="24"/>
          <w:bdr w:val="none" w:sz="0" w:space="0" w:color="auto"/>
          <w:lang w:val="es-ES"/>
        </w:rPr>
        <w:t xml:space="preserve"> </w:t>
      </w:r>
      <w:r w:rsidR="00B1135C">
        <w:rPr>
          <w:rFonts w:ascii="Times New Roman" w:hAnsi="Times New Roman" w:cs="Times New Roman"/>
          <w:color w:val="767171"/>
          <w:spacing w:val="20"/>
          <w:sz w:val="24"/>
          <w:bdr w:val="none" w:sz="0" w:space="0" w:color="auto"/>
          <w:lang w:val="es-ES"/>
        </w:rPr>
        <w:t>cincuenta</w:t>
      </w:r>
      <w:r w:rsidRPr="00D8680B">
        <w:rPr>
          <w:rFonts w:ascii="Times New Roman" w:hAnsi="Times New Roman" w:cs="Times New Roman"/>
          <w:color w:val="767171"/>
          <w:spacing w:val="20"/>
          <w:sz w:val="24"/>
          <w:bdr w:val="none" w:sz="0" w:space="0" w:color="auto"/>
          <w:lang w:val="es-ES"/>
        </w:rPr>
        <w:t xml:space="preserve"> y un mil millones, </w:t>
      </w:r>
      <w:r w:rsidR="00B1135C">
        <w:rPr>
          <w:rFonts w:ascii="Times New Roman" w:hAnsi="Times New Roman" w:cs="Times New Roman"/>
          <w:color w:val="767171"/>
          <w:spacing w:val="20"/>
          <w:sz w:val="24"/>
          <w:bdr w:val="none" w:sz="0" w:space="0" w:color="auto"/>
          <w:lang w:val="es-ES"/>
        </w:rPr>
        <w:t>tres</w:t>
      </w:r>
      <w:r w:rsidRPr="00D8680B">
        <w:rPr>
          <w:rFonts w:ascii="Times New Roman" w:hAnsi="Times New Roman" w:cs="Times New Roman"/>
          <w:color w:val="767171"/>
          <w:spacing w:val="20"/>
          <w:sz w:val="24"/>
          <w:bdr w:val="none" w:sz="0" w:space="0" w:color="auto"/>
          <w:lang w:val="es-ES"/>
        </w:rPr>
        <w:t xml:space="preserve">cientos sesenta y </w:t>
      </w:r>
      <w:r w:rsidR="00B1135C">
        <w:rPr>
          <w:rFonts w:ascii="Times New Roman" w:hAnsi="Times New Roman" w:cs="Times New Roman"/>
          <w:color w:val="767171"/>
          <w:spacing w:val="20"/>
          <w:sz w:val="24"/>
          <w:bdr w:val="none" w:sz="0" w:space="0" w:color="auto"/>
          <w:lang w:val="es-ES"/>
        </w:rPr>
        <w:t>cinco</w:t>
      </w:r>
      <w:r w:rsidRPr="00D8680B">
        <w:rPr>
          <w:rFonts w:ascii="Times New Roman" w:hAnsi="Times New Roman" w:cs="Times New Roman"/>
          <w:color w:val="767171"/>
          <w:spacing w:val="20"/>
          <w:sz w:val="24"/>
          <w:bdr w:val="none" w:sz="0" w:space="0" w:color="auto"/>
          <w:lang w:val="es-ES"/>
        </w:rPr>
        <w:t xml:space="preserve"> mil, </w:t>
      </w:r>
      <w:r w:rsidR="00B1135C">
        <w:rPr>
          <w:rFonts w:ascii="Times New Roman" w:hAnsi="Times New Roman" w:cs="Times New Roman"/>
          <w:color w:val="767171"/>
          <w:spacing w:val="20"/>
          <w:sz w:val="24"/>
          <w:bdr w:val="none" w:sz="0" w:space="0" w:color="auto"/>
          <w:lang w:val="es-ES"/>
        </w:rPr>
        <w:t>ciento</w:t>
      </w:r>
      <w:r w:rsidRPr="00D8680B">
        <w:rPr>
          <w:rFonts w:ascii="Times New Roman" w:hAnsi="Times New Roman" w:cs="Times New Roman"/>
          <w:color w:val="767171"/>
          <w:spacing w:val="20"/>
          <w:sz w:val="24"/>
          <w:bdr w:val="none" w:sz="0" w:space="0" w:color="auto"/>
          <w:lang w:val="es-ES"/>
        </w:rPr>
        <w:t xml:space="preserve"> </w:t>
      </w:r>
      <w:r w:rsidR="00B1135C">
        <w:rPr>
          <w:rFonts w:ascii="Times New Roman" w:hAnsi="Times New Roman" w:cs="Times New Roman"/>
          <w:color w:val="767171"/>
          <w:spacing w:val="20"/>
          <w:sz w:val="24"/>
          <w:bdr w:val="none" w:sz="0" w:space="0" w:color="auto"/>
          <w:lang w:val="es-ES"/>
        </w:rPr>
        <w:t>veintinueve</w:t>
      </w:r>
      <w:r w:rsidRPr="00D8680B">
        <w:rPr>
          <w:rFonts w:ascii="Times New Roman" w:hAnsi="Times New Roman" w:cs="Times New Roman"/>
          <w:color w:val="767171"/>
          <w:spacing w:val="20"/>
          <w:sz w:val="24"/>
          <w:bdr w:val="none" w:sz="0" w:space="0" w:color="auto"/>
          <w:lang w:val="es-ES"/>
        </w:rPr>
        <w:t xml:space="preserve"> (</w:t>
      </w:r>
      <w:r w:rsidRPr="005A5297">
        <w:rPr>
          <w:rFonts w:ascii="Times New Roman" w:hAnsi="Times New Roman" w:cs="Times New Roman"/>
          <w:color w:val="767171"/>
          <w:spacing w:val="20"/>
          <w:sz w:val="24"/>
          <w:bdr w:val="none" w:sz="0" w:space="0" w:color="auto"/>
          <w:lang w:val="es-ES"/>
        </w:rPr>
        <w:t xml:space="preserve">RD$ </w:t>
      </w:r>
      <w:r w:rsidR="00397483" w:rsidRPr="00397483">
        <w:rPr>
          <w:rFonts w:ascii="Times New Roman" w:hAnsi="Times New Roman" w:cs="Times New Roman"/>
          <w:color w:val="767171"/>
          <w:spacing w:val="20"/>
          <w:sz w:val="24"/>
          <w:bdr w:val="none" w:sz="0" w:space="0" w:color="auto"/>
          <w:lang w:val="es-ES"/>
        </w:rPr>
        <w:t>2,851,375,12</w:t>
      </w:r>
      <w:r w:rsidR="00397483">
        <w:rPr>
          <w:rFonts w:ascii="Times New Roman" w:hAnsi="Times New Roman" w:cs="Times New Roman"/>
          <w:color w:val="767171"/>
          <w:spacing w:val="20"/>
          <w:sz w:val="24"/>
          <w:bdr w:val="none" w:sz="0" w:space="0" w:color="auto"/>
          <w:lang w:val="es-ES"/>
        </w:rPr>
        <w:t>9</w:t>
      </w:r>
      <w:r w:rsidRPr="00D8680B">
        <w:rPr>
          <w:rFonts w:ascii="Times New Roman" w:hAnsi="Times New Roman" w:cs="Times New Roman"/>
          <w:color w:val="767171"/>
          <w:spacing w:val="20"/>
          <w:sz w:val="24"/>
          <w:bdr w:val="none" w:sz="0" w:space="0" w:color="auto"/>
          <w:lang w:val="es-ES"/>
        </w:rPr>
        <w:t>)</w:t>
      </w:r>
      <w:r w:rsidR="00FD0D11">
        <w:rPr>
          <w:rFonts w:ascii="Times New Roman" w:hAnsi="Times New Roman" w:cs="Times New Roman"/>
          <w:color w:val="767171"/>
          <w:spacing w:val="20"/>
          <w:sz w:val="24"/>
          <w:bdr w:val="none" w:sz="0" w:space="0" w:color="auto"/>
          <w:lang w:val="es-ES"/>
        </w:rPr>
        <w:t xml:space="preserve"> para una ejecución de</w:t>
      </w:r>
      <w:r w:rsidR="00C36B90">
        <w:rPr>
          <w:rFonts w:ascii="Times New Roman" w:hAnsi="Times New Roman" w:cs="Times New Roman"/>
          <w:color w:val="767171"/>
          <w:spacing w:val="20"/>
          <w:sz w:val="24"/>
          <w:bdr w:val="none" w:sz="0" w:space="0" w:color="auto"/>
          <w:lang w:val="es-ES"/>
        </w:rPr>
        <w:t xml:space="preserve">l </w:t>
      </w:r>
      <w:r w:rsidR="00397483">
        <w:rPr>
          <w:rFonts w:ascii="Times New Roman" w:hAnsi="Times New Roman" w:cs="Times New Roman"/>
          <w:color w:val="767171"/>
          <w:spacing w:val="20"/>
          <w:sz w:val="24"/>
          <w:bdr w:val="none" w:sz="0" w:space="0" w:color="auto"/>
          <w:lang w:val="es-ES"/>
        </w:rPr>
        <w:t>70</w:t>
      </w:r>
      <w:r w:rsidR="00C36B90">
        <w:rPr>
          <w:rFonts w:ascii="Times New Roman" w:hAnsi="Times New Roman" w:cs="Times New Roman"/>
          <w:color w:val="767171"/>
          <w:spacing w:val="20"/>
          <w:sz w:val="24"/>
          <w:bdr w:val="none" w:sz="0" w:space="0" w:color="auto"/>
          <w:lang w:val="es-ES"/>
        </w:rPr>
        <w:t>%</w:t>
      </w:r>
      <w:r w:rsidR="00735AC9">
        <w:rPr>
          <w:rFonts w:ascii="Times New Roman" w:hAnsi="Times New Roman" w:cs="Times New Roman"/>
          <w:color w:val="767171"/>
          <w:spacing w:val="20"/>
          <w:sz w:val="24"/>
          <w:bdr w:val="none" w:sz="0" w:space="0" w:color="auto"/>
          <w:lang w:val="es-ES"/>
        </w:rPr>
        <w:t xml:space="preserve"> en base al presupuesto aprobado de </w:t>
      </w:r>
      <w:r w:rsidR="0006315C">
        <w:rPr>
          <w:rFonts w:ascii="Times New Roman" w:hAnsi="Times New Roman" w:cs="Times New Roman"/>
          <w:color w:val="767171"/>
          <w:spacing w:val="20"/>
          <w:sz w:val="24"/>
          <w:bdr w:val="none" w:sz="0" w:space="0" w:color="auto"/>
          <w:lang w:val="es-ES"/>
        </w:rPr>
        <w:t>RD$</w:t>
      </w:r>
      <w:r w:rsidR="0006315C" w:rsidRPr="0006315C">
        <w:rPr>
          <w:rFonts w:ascii="Times New Roman" w:hAnsi="Times New Roman" w:cs="Times New Roman"/>
          <w:color w:val="767171"/>
          <w:spacing w:val="20"/>
          <w:sz w:val="24"/>
          <w:bdr w:val="none" w:sz="0" w:space="0" w:color="auto"/>
          <w:lang w:val="es-ES"/>
        </w:rPr>
        <w:t>4,082,542,497</w:t>
      </w:r>
      <w:r w:rsidRPr="00D8680B">
        <w:rPr>
          <w:rFonts w:ascii="Times New Roman" w:hAnsi="Times New Roman" w:cs="Times New Roman"/>
          <w:color w:val="767171"/>
          <w:spacing w:val="20"/>
          <w:sz w:val="24"/>
          <w:bdr w:val="none" w:sz="0" w:space="0" w:color="auto"/>
          <w:lang w:val="es-ES"/>
        </w:rPr>
        <w:t>. Se proyecta que la ejecución termine en tres mil seiscientos once millones, quinientos</w:t>
      </w:r>
      <w:r w:rsidRPr="008F6E80">
        <w:rPr>
          <w:rFonts w:ascii="Times New Roman" w:hAnsi="Times New Roman" w:cs="Times New Roman"/>
          <w:color w:val="auto"/>
          <w:spacing w:val="20"/>
          <w:sz w:val="24"/>
          <w:bdr w:val="none" w:sz="0" w:space="0" w:color="auto"/>
          <w:lang w:val="es-ES"/>
        </w:rPr>
        <w:t xml:space="preserve"> </w:t>
      </w:r>
      <w:r w:rsidRPr="00AA5889">
        <w:rPr>
          <w:rFonts w:ascii="Times New Roman" w:hAnsi="Times New Roman" w:cs="Times New Roman"/>
          <w:color w:val="767171"/>
          <w:spacing w:val="20"/>
          <w:sz w:val="24"/>
          <w:bdr w:val="none" w:sz="0" w:space="0" w:color="auto"/>
          <w:lang w:val="es-ES"/>
        </w:rPr>
        <w:t>setenta y seis mil ciento cuarenta y tres pesos (</w:t>
      </w:r>
      <w:r w:rsidRPr="005A5297">
        <w:rPr>
          <w:rFonts w:ascii="Times New Roman" w:hAnsi="Times New Roman" w:cs="Times New Roman"/>
          <w:color w:val="767171"/>
          <w:spacing w:val="20"/>
          <w:sz w:val="24"/>
          <w:bdr w:val="none" w:sz="0" w:space="0" w:color="auto"/>
          <w:lang w:val="es-ES"/>
        </w:rPr>
        <w:t>RD$ 3,611,576,143</w:t>
      </w:r>
      <w:r w:rsidRPr="00AA5889">
        <w:rPr>
          <w:rFonts w:ascii="Times New Roman" w:hAnsi="Times New Roman" w:cs="Times New Roman"/>
          <w:color w:val="767171"/>
          <w:spacing w:val="20"/>
          <w:sz w:val="24"/>
          <w:bdr w:val="none" w:sz="0" w:space="0" w:color="auto"/>
          <w:lang w:val="es-ES"/>
        </w:rPr>
        <w:t>) equivalente a una ejecución presupuestaria</w:t>
      </w:r>
      <w:r w:rsidR="00B6439B">
        <w:rPr>
          <w:rFonts w:ascii="Times New Roman" w:hAnsi="Times New Roman" w:cs="Times New Roman"/>
          <w:color w:val="767171"/>
          <w:spacing w:val="20"/>
          <w:sz w:val="24"/>
          <w:bdr w:val="none" w:sz="0" w:space="0" w:color="auto"/>
          <w:lang w:val="es-ES"/>
        </w:rPr>
        <w:t xml:space="preserve"> proyectada</w:t>
      </w:r>
      <w:r w:rsidRPr="00AA5889">
        <w:rPr>
          <w:rFonts w:ascii="Times New Roman" w:hAnsi="Times New Roman" w:cs="Times New Roman"/>
          <w:color w:val="767171"/>
          <w:spacing w:val="20"/>
          <w:sz w:val="24"/>
          <w:bdr w:val="none" w:sz="0" w:space="0" w:color="auto"/>
          <w:lang w:val="es-ES"/>
        </w:rPr>
        <w:t xml:space="preserve"> </w:t>
      </w:r>
      <w:r w:rsidRPr="005A5297">
        <w:rPr>
          <w:rFonts w:ascii="Times New Roman" w:hAnsi="Times New Roman" w:cs="Times New Roman"/>
          <w:color w:val="767171"/>
          <w:spacing w:val="20"/>
          <w:sz w:val="24"/>
          <w:bdr w:val="none" w:sz="0" w:space="0" w:color="auto"/>
          <w:lang w:val="es-ES"/>
        </w:rPr>
        <w:t>de 88%</w:t>
      </w:r>
      <w:r w:rsidR="005A5297" w:rsidRPr="005A5297">
        <w:rPr>
          <w:rStyle w:val="Refdenotaalpie"/>
          <w:rFonts w:ascii="Times New Roman" w:hAnsi="Times New Roman" w:cs="Times New Roman"/>
          <w:color w:val="767171"/>
          <w:spacing w:val="20"/>
          <w:sz w:val="24"/>
          <w:bdr w:val="none" w:sz="0" w:space="0" w:color="auto"/>
          <w:lang w:val="es-ES"/>
        </w:rPr>
        <w:footnoteReference w:id="3"/>
      </w:r>
      <w:r w:rsidRPr="005A5297">
        <w:rPr>
          <w:rFonts w:ascii="Times New Roman" w:hAnsi="Times New Roman" w:cs="Times New Roman"/>
          <w:color w:val="767171"/>
          <w:spacing w:val="20"/>
          <w:sz w:val="24"/>
          <w:bdr w:val="none" w:sz="0" w:space="0" w:color="auto"/>
          <w:lang w:val="es-ES"/>
        </w:rPr>
        <w:t>.</w:t>
      </w:r>
      <w:r w:rsidRPr="00AA5889">
        <w:rPr>
          <w:rFonts w:ascii="Times New Roman" w:hAnsi="Times New Roman" w:cs="Times New Roman"/>
          <w:color w:val="767171"/>
          <w:spacing w:val="20"/>
          <w:sz w:val="24"/>
          <w:bdr w:val="none" w:sz="0" w:space="0" w:color="auto"/>
          <w:lang w:val="es-ES"/>
        </w:rPr>
        <w:t xml:space="preserve"> Cuando agregamos las transferencias al Ministerio de Hacienda por dos mil millones de pesos (</w:t>
      </w:r>
      <w:r w:rsidRPr="005A5297">
        <w:rPr>
          <w:rFonts w:ascii="Times New Roman" w:hAnsi="Times New Roman" w:cs="Times New Roman"/>
          <w:color w:val="767171"/>
          <w:spacing w:val="20"/>
          <w:sz w:val="24"/>
          <w:bdr w:val="none" w:sz="0" w:space="0" w:color="auto"/>
          <w:lang w:val="es-ES"/>
        </w:rPr>
        <w:t>RD$ 2,000,000,000)</w:t>
      </w:r>
      <w:r w:rsidRPr="00AA5889">
        <w:rPr>
          <w:rFonts w:ascii="Times New Roman" w:hAnsi="Times New Roman" w:cs="Times New Roman"/>
          <w:color w:val="767171"/>
          <w:spacing w:val="20"/>
          <w:sz w:val="24"/>
          <w:bdr w:val="none" w:sz="0" w:space="0" w:color="auto"/>
          <w:lang w:val="es-ES"/>
        </w:rPr>
        <w:t xml:space="preserve"> tenemos una ejecución proyectada cinco mil seiscientos once millones, quinientos setenta y seis mil ciento cuarenta y tres pesos (RD</w:t>
      </w:r>
      <w:r w:rsidRPr="005A5297">
        <w:rPr>
          <w:rFonts w:ascii="Times New Roman" w:hAnsi="Times New Roman" w:cs="Times New Roman"/>
          <w:color w:val="767171"/>
          <w:spacing w:val="20"/>
          <w:sz w:val="24"/>
          <w:bdr w:val="none" w:sz="0" w:space="0" w:color="auto"/>
          <w:lang w:val="es-ES"/>
        </w:rPr>
        <w:t>$ 5,611,576,143</w:t>
      </w:r>
      <w:r w:rsidRPr="00AA5889">
        <w:rPr>
          <w:rFonts w:ascii="Times New Roman" w:hAnsi="Times New Roman" w:cs="Times New Roman"/>
          <w:color w:val="767171"/>
          <w:spacing w:val="20"/>
          <w:sz w:val="24"/>
          <w:bdr w:val="none" w:sz="0" w:space="0" w:color="auto"/>
          <w:lang w:val="es-ES"/>
        </w:rPr>
        <w:t xml:space="preserve">) equivalente a una ejecución presupuestaria </w:t>
      </w:r>
      <w:r w:rsidR="00B6439B">
        <w:rPr>
          <w:rFonts w:ascii="Times New Roman" w:hAnsi="Times New Roman" w:cs="Times New Roman"/>
          <w:color w:val="767171"/>
          <w:spacing w:val="20"/>
          <w:sz w:val="24"/>
          <w:bdr w:val="none" w:sz="0" w:space="0" w:color="auto"/>
          <w:lang w:val="es-ES"/>
        </w:rPr>
        <w:t xml:space="preserve">proyectada </w:t>
      </w:r>
      <w:r w:rsidRPr="00AA5889">
        <w:rPr>
          <w:rFonts w:ascii="Times New Roman" w:hAnsi="Times New Roman" w:cs="Times New Roman"/>
          <w:color w:val="767171"/>
          <w:spacing w:val="20"/>
          <w:sz w:val="24"/>
          <w:bdr w:val="none" w:sz="0" w:space="0" w:color="auto"/>
          <w:lang w:val="es-ES"/>
        </w:rPr>
        <w:t xml:space="preserve">de </w:t>
      </w:r>
      <w:r w:rsidRPr="005A5297">
        <w:rPr>
          <w:rFonts w:ascii="Times New Roman" w:hAnsi="Times New Roman" w:cs="Times New Roman"/>
          <w:color w:val="767171"/>
          <w:spacing w:val="20"/>
          <w:sz w:val="24"/>
          <w:bdr w:val="none" w:sz="0" w:space="0" w:color="auto"/>
          <w:lang w:val="es-ES"/>
        </w:rPr>
        <w:t>9</w:t>
      </w:r>
      <w:r w:rsidR="005D18BC" w:rsidRPr="005A5297">
        <w:rPr>
          <w:rFonts w:ascii="Times New Roman" w:hAnsi="Times New Roman" w:cs="Times New Roman"/>
          <w:color w:val="767171"/>
          <w:spacing w:val="20"/>
          <w:sz w:val="24"/>
          <w:bdr w:val="none" w:sz="0" w:space="0" w:color="auto"/>
          <w:lang w:val="es-ES"/>
        </w:rPr>
        <w:t>2</w:t>
      </w:r>
      <w:r w:rsidRPr="005A5297">
        <w:rPr>
          <w:rFonts w:ascii="Times New Roman" w:hAnsi="Times New Roman" w:cs="Times New Roman"/>
          <w:color w:val="767171"/>
          <w:spacing w:val="20"/>
          <w:sz w:val="24"/>
          <w:bdr w:val="none" w:sz="0" w:space="0" w:color="auto"/>
          <w:lang w:val="es-ES"/>
        </w:rPr>
        <w:t>%. (Ver anexo</w:t>
      </w:r>
      <w:r w:rsidRPr="00AA5889">
        <w:rPr>
          <w:rFonts w:ascii="Times New Roman" w:hAnsi="Times New Roman" w:cs="Times New Roman"/>
          <w:color w:val="767171"/>
          <w:spacing w:val="20"/>
          <w:sz w:val="24"/>
          <w:bdr w:val="none" w:sz="0" w:space="0" w:color="auto"/>
          <w:lang w:val="es-ES"/>
        </w:rPr>
        <w:t xml:space="preserve"> </w:t>
      </w:r>
      <w:r w:rsidR="00A05C81">
        <w:rPr>
          <w:rFonts w:ascii="Times New Roman" w:hAnsi="Times New Roman" w:cs="Times New Roman"/>
          <w:color w:val="767171"/>
          <w:spacing w:val="20"/>
          <w:sz w:val="24"/>
          <w:bdr w:val="none" w:sz="0" w:space="0" w:color="auto"/>
          <w:lang w:val="es-ES"/>
        </w:rPr>
        <w:t>1</w:t>
      </w:r>
      <w:r w:rsidRPr="00AA5889">
        <w:rPr>
          <w:rFonts w:ascii="Times New Roman" w:hAnsi="Times New Roman" w:cs="Times New Roman"/>
          <w:color w:val="767171"/>
          <w:spacing w:val="20"/>
          <w:sz w:val="24"/>
          <w:bdr w:val="none" w:sz="0" w:space="0" w:color="auto"/>
          <w:lang w:val="es-ES"/>
        </w:rPr>
        <w:t>).</w:t>
      </w:r>
    </w:p>
    <w:bookmarkEnd w:id="81"/>
    <w:p w14:paraId="374D54C0" w14:textId="74B2AD22" w:rsidR="00E52ED4" w:rsidRPr="00AA5889" w:rsidRDefault="00E52ED4" w:rsidP="00F8311E">
      <w:pPr>
        <w:pStyle w:val="CuerpoSB"/>
        <w:pBdr>
          <w:top w:val="none" w:sz="0" w:space="0" w:color="auto"/>
          <w:left w:val="none" w:sz="0" w:space="0" w:color="auto"/>
          <w:bottom w:val="none" w:sz="0" w:space="0" w:color="auto"/>
          <w:right w:val="none" w:sz="0" w:space="0" w:color="auto"/>
        </w:pBdr>
        <w:spacing w:line="360" w:lineRule="auto"/>
        <w:ind w:left="0"/>
        <w:contextualSpacing w:val="0"/>
        <w:jc w:val="left"/>
        <w:rPr>
          <w:rFonts w:ascii="Times New Roman" w:hAnsi="Times New Roman" w:cs="Times New Roman"/>
          <w:b/>
          <w:color w:val="767171"/>
          <w:spacing w:val="20"/>
          <w:sz w:val="24"/>
          <w:bdr w:val="none" w:sz="0" w:space="0" w:color="auto"/>
          <w:lang w:val="es-ES"/>
        </w:rPr>
      </w:pPr>
      <w:r w:rsidRPr="00AA5889">
        <w:rPr>
          <w:rFonts w:ascii="Times New Roman" w:hAnsi="Times New Roman" w:cs="Times New Roman"/>
          <w:b/>
          <w:color w:val="767171"/>
          <w:spacing w:val="20"/>
          <w:sz w:val="24"/>
          <w:bdr w:val="none" w:sz="0" w:space="0" w:color="auto"/>
          <w:lang w:val="es-ES"/>
        </w:rPr>
        <w:t xml:space="preserve">Iniciativas para fortalecer los procesos administrativos y financieros </w:t>
      </w:r>
    </w:p>
    <w:p w14:paraId="2CB90A7D" w14:textId="75E18766" w:rsidR="001967A0" w:rsidRPr="00AA5889" w:rsidRDefault="001967A0" w:rsidP="006B204A">
      <w:pPr>
        <w:pStyle w:val="CuerpoSB"/>
        <w:spacing w:line="360" w:lineRule="auto"/>
        <w:ind w:left="0"/>
        <w:contextualSpacing w:val="0"/>
        <w:rPr>
          <w:rFonts w:ascii="Times New Roman" w:hAnsi="Times New Roman" w:cs="Times New Roman"/>
          <w:color w:val="767171"/>
          <w:spacing w:val="20"/>
          <w:sz w:val="24"/>
          <w:bdr w:val="none" w:sz="0" w:space="0" w:color="auto"/>
          <w:lang w:val="es-ES"/>
        </w:rPr>
      </w:pPr>
      <w:r w:rsidRPr="00AA5889">
        <w:rPr>
          <w:rFonts w:ascii="Times New Roman" w:hAnsi="Times New Roman" w:cs="Times New Roman"/>
          <w:color w:val="767171"/>
          <w:spacing w:val="20"/>
          <w:sz w:val="24"/>
          <w:bdr w:val="none" w:sz="0" w:space="0" w:color="auto"/>
          <w:lang w:val="es-ES"/>
        </w:rPr>
        <w:t>Las iniciativas en el año 2023 se han</w:t>
      </w:r>
      <w:r w:rsidR="005225A9">
        <w:rPr>
          <w:rFonts w:ascii="Times New Roman" w:hAnsi="Times New Roman" w:cs="Times New Roman"/>
          <w:color w:val="767171"/>
          <w:spacing w:val="20"/>
          <w:sz w:val="24"/>
          <w:bdr w:val="none" w:sz="0" w:space="0" w:color="auto"/>
          <w:lang w:val="es-ES"/>
        </w:rPr>
        <w:t xml:space="preserve"> centrado en </w:t>
      </w:r>
      <w:r w:rsidRPr="00AA5889">
        <w:rPr>
          <w:rFonts w:ascii="Times New Roman" w:hAnsi="Times New Roman" w:cs="Times New Roman"/>
          <w:color w:val="767171"/>
          <w:spacing w:val="20"/>
          <w:sz w:val="24"/>
          <w:bdr w:val="none" w:sz="0" w:space="0" w:color="auto"/>
          <w:lang w:val="es-ES"/>
        </w:rPr>
        <w:t xml:space="preserve">continuar la implementación y fortalecimiento de un sistema de gestión, control y mitigación de los riesgos asociados a las operaciones administrativas y financieras de la institución y a la implementación de controles y procesos adecuados, que aseguren una información financiera completa, neutral y libre de error. </w:t>
      </w:r>
    </w:p>
    <w:p w14:paraId="51D434DA" w14:textId="132582B5" w:rsidR="001967A0" w:rsidRPr="00AA5889" w:rsidRDefault="001C3061" w:rsidP="006B204A">
      <w:pPr>
        <w:pStyle w:val="CuerpoSB"/>
        <w:spacing w:line="360" w:lineRule="auto"/>
        <w:ind w:left="0"/>
        <w:contextualSpacing w:val="0"/>
        <w:rPr>
          <w:rFonts w:ascii="Times New Roman" w:hAnsi="Times New Roman" w:cs="Times New Roman"/>
          <w:color w:val="767171"/>
          <w:spacing w:val="20"/>
          <w:sz w:val="24"/>
          <w:bdr w:val="none" w:sz="0" w:space="0" w:color="auto"/>
          <w:lang w:val="es-ES"/>
        </w:rPr>
      </w:pPr>
      <w:r>
        <w:rPr>
          <w:rFonts w:ascii="Times New Roman" w:hAnsi="Times New Roman" w:cs="Times New Roman"/>
          <w:color w:val="767171"/>
          <w:spacing w:val="20"/>
          <w:sz w:val="24"/>
          <w:bdr w:val="none" w:sz="0" w:space="0" w:color="auto"/>
          <w:lang w:val="es-ES"/>
        </w:rPr>
        <w:t xml:space="preserve">A causa de esto, </w:t>
      </w:r>
      <w:r w:rsidR="00DC77D3">
        <w:rPr>
          <w:rFonts w:ascii="Times New Roman" w:hAnsi="Times New Roman" w:cs="Times New Roman"/>
          <w:color w:val="767171"/>
          <w:spacing w:val="20"/>
          <w:sz w:val="24"/>
          <w:bdr w:val="none" w:sz="0" w:space="0" w:color="auto"/>
          <w:lang w:val="es-ES"/>
        </w:rPr>
        <w:t xml:space="preserve">en el 3er trimestre del </w:t>
      </w:r>
      <w:r w:rsidR="00FF008E">
        <w:rPr>
          <w:rFonts w:ascii="Times New Roman" w:hAnsi="Times New Roman" w:cs="Times New Roman"/>
          <w:color w:val="767171"/>
          <w:spacing w:val="20"/>
          <w:sz w:val="24"/>
          <w:bdr w:val="none" w:sz="0" w:space="0" w:color="auto"/>
          <w:lang w:val="es-ES"/>
        </w:rPr>
        <w:t xml:space="preserve">año </w:t>
      </w:r>
      <w:r w:rsidR="006B7534">
        <w:rPr>
          <w:rFonts w:ascii="Times New Roman" w:hAnsi="Times New Roman" w:cs="Times New Roman"/>
          <w:color w:val="767171"/>
          <w:spacing w:val="20"/>
          <w:sz w:val="24"/>
          <w:bdr w:val="none" w:sz="0" w:space="0" w:color="auto"/>
          <w:lang w:val="es-ES"/>
        </w:rPr>
        <w:t>la SB</w:t>
      </w:r>
      <w:r w:rsidR="005225A9">
        <w:rPr>
          <w:rFonts w:ascii="Times New Roman" w:hAnsi="Times New Roman" w:cs="Times New Roman"/>
          <w:color w:val="767171"/>
          <w:spacing w:val="20"/>
          <w:sz w:val="24"/>
          <w:bdr w:val="none" w:sz="0" w:space="0" w:color="auto"/>
          <w:lang w:val="es-ES"/>
        </w:rPr>
        <w:t xml:space="preserve"> </w:t>
      </w:r>
      <w:r w:rsidR="006B7534">
        <w:rPr>
          <w:rFonts w:ascii="Times New Roman" w:hAnsi="Times New Roman" w:cs="Times New Roman"/>
          <w:color w:val="767171"/>
          <w:spacing w:val="20"/>
          <w:sz w:val="24"/>
          <w:bdr w:val="none" w:sz="0" w:space="0" w:color="auto"/>
          <w:lang w:val="es-ES"/>
        </w:rPr>
        <w:t>obtuvo</w:t>
      </w:r>
      <w:r w:rsidR="001967A0" w:rsidRPr="00AA5889">
        <w:rPr>
          <w:rFonts w:ascii="Times New Roman" w:hAnsi="Times New Roman" w:cs="Times New Roman"/>
          <w:color w:val="767171"/>
          <w:spacing w:val="20"/>
          <w:sz w:val="24"/>
          <w:bdr w:val="none" w:sz="0" w:space="0" w:color="auto"/>
          <w:lang w:val="es-ES"/>
        </w:rPr>
        <w:t xml:space="preserve"> una puntuación de 97.25% </w:t>
      </w:r>
      <w:r w:rsidR="007A5AA6">
        <w:rPr>
          <w:rFonts w:ascii="Times New Roman" w:hAnsi="Times New Roman" w:cs="Times New Roman"/>
          <w:color w:val="767171"/>
          <w:spacing w:val="20"/>
          <w:sz w:val="24"/>
          <w:bdr w:val="none" w:sz="0" w:space="0" w:color="auto"/>
          <w:lang w:val="es-ES"/>
        </w:rPr>
        <w:t>en el indicador de uso del sistema nacional de compras públicas (SISCOMPRAS)</w:t>
      </w:r>
      <w:r w:rsidR="006B7534">
        <w:rPr>
          <w:rFonts w:ascii="Times New Roman" w:hAnsi="Times New Roman" w:cs="Times New Roman"/>
          <w:color w:val="767171"/>
          <w:spacing w:val="20"/>
          <w:sz w:val="24"/>
          <w:bdr w:val="none" w:sz="0" w:space="0" w:color="auto"/>
          <w:lang w:val="es-ES"/>
        </w:rPr>
        <w:t xml:space="preserve">, representando esto una mejor significativa contra </w:t>
      </w:r>
      <w:r w:rsidR="00DF4E66">
        <w:rPr>
          <w:rFonts w:ascii="Times New Roman" w:hAnsi="Times New Roman" w:cs="Times New Roman"/>
          <w:color w:val="767171"/>
          <w:spacing w:val="20"/>
          <w:sz w:val="24"/>
          <w:bdr w:val="none" w:sz="0" w:space="0" w:color="auto"/>
          <w:lang w:val="es-ES"/>
        </w:rPr>
        <w:t xml:space="preserve">el segundo trimestre </w:t>
      </w:r>
      <w:r w:rsidR="007F2761">
        <w:rPr>
          <w:rFonts w:ascii="Times New Roman" w:hAnsi="Times New Roman" w:cs="Times New Roman"/>
          <w:color w:val="767171"/>
          <w:spacing w:val="20"/>
          <w:sz w:val="24"/>
          <w:bdr w:val="none" w:sz="0" w:space="0" w:color="auto"/>
          <w:lang w:val="es-ES"/>
        </w:rPr>
        <w:t xml:space="preserve">en el cual la puntuación </w:t>
      </w:r>
      <w:r w:rsidR="007F2761">
        <w:rPr>
          <w:rFonts w:ascii="Times New Roman" w:hAnsi="Times New Roman" w:cs="Times New Roman"/>
          <w:color w:val="767171"/>
          <w:spacing w:val="20"/>
          <w:sz w:val="24"/>
          <w:bdr w:val="none" w:sz="0" w:space="0" w:color="auto"/>
          <w:lang w:val="es-ES"/>
        </w:rPr>
        <w:lastRenderedPageBreak/>
        <w:t>obtenida fue de</w:t>
      </w:r>
      <w:r w:rsidR="001967A0" w:rsidRPr="00AA5889">
        <w:rPr>
          <w:rFonts w:ascii="Times New Roman" w:hAnsi="Times New Roman" w:cs="Times New Roman"/>
          <w:color w:val="767171"/>
          <w:spacing w:val="20"/>
          <w:sz w:val="24"/>
          <w:bdr w:val="none" w:sz="0" w:space="0" w:color="auto"/>
          <w:lang w:val="es-ES"/>
        </w:rPr>
        <w:t xml:space="preserve"> 10.29%</w:t>
      </w:r>
      <w:r w:rsidR="007A5AA6">
        <w:rPr>
          <w:rFonts w:ascii="Times New Roman" w:hAnsi="Times New Roman" w:cs="Times New Roman"/>
          <w:color w:val="767171"/>
          <w:spacing w:val="20"/>
          <w:sz w:val="24"/>
          <w:bdr w:val="none" w:sz="0" w:space="0" w:color="auto"/>
          <w:lang w:val="es-ES"/>
        </w:rPr>
        <w:t xml:space="preserve">. </w:t>
      </w:r>
      <w:r w:rsidR="00DE53C9">
        <w:rPr>
          <w:rFonts w:ascii="Times New Roman" w:hAnsi="Times New Roman" w:cs="Times New Roman"/>
          <w:color w:val="767171"/>
          <w:spacing w:val="20"/>
          <w:sz w:val="24"/>
          <w:bdr w:val="none" w:sz="0" w:space="0" w:color="auto"/>
          <w:lang w:val="es-ES"/>
        </w:rPr>
        <w:t xml:space="preserve">En total, </w:t>
      </w:r>
      <w:r w:rsidR="00574459">
        <w:rPr>
          <w:rFonts w:ascii="Times New Roman" w:hAnsi="Times New Roman" w:cs="Times New Roman"/>
          <w:color w:val="767171"/>
          <w:spacing w:val="20"/>
          <w:sz w:val="24"/>
          <w:bdr w:val="none" w:sz="0" w:space="0" w:color="auto"/>
          <w:lang w:val="es-ES"/>
        </w:rPr>
        <w:t xml:space="preserve">en los tres primeros trimestres del año fueron gestionados </w:t>
      </w:r>
      <w:r w:rsidR="001967A0" w:rsidRPr="00AA5889">
        <w:rPr>
          <w:rFonts w:ascii="Times New Roman" w:hAnsi="Times New Roman" w:cs="Times New Roman"/>
          <w:color w:val="767171"/>
          <w:spacing w:val="20"/>
          <w:sz w:val="24"/>
          <w:bdr w:val="none" w:sz="0" w:space="0" w:color="auto"/>
          <w:lang w:val="es-ES"/>
        </w:rPr>
        <w:t xml:space="preserve">304 procesos y </w:t>
      </w:r>
      <w:r w:rsidR="007B7294">
        <w:rPr>
          <w:rFonts w:ascii="Times New Roman" w:hAnsi="Times New Roman" w:cs="Times New Roman"/>
          <w:color w:val="767171"/>
          <w:spacing w:val="20"/>
          <w:sz w:val="24"/>
          <w:bdr w:val="none" w:sz="0" w:space="0" w:color="auto"/>
          <w:lang w:val="es-ES"/>
        </w:rPr>
        <w:t xml:space="preserve">administrados </w:t>
      </w:r>
      <w:r w:rsidR="001967A0" w:rsidRPr="00AA5889">
        <w:rPr>
          <w:rFonts w:ascii="Times New Roman" w:hAnsi="Times New Roman" w:cs="Times New Roman"/>
          <w:color w:val="767171"/>
          <w:spacing w:val="20"/>
          <w:sz w:val="24"/>
          <w:bdr w:val="none" w:sz="0" w:space="0" w:color="auto"/>
          <w:lang w:val="es-ES"/>
        </w:rPr>
        <w:t>272 contratos. Es importante destacar que esta puntuación alcanzada fue bajo una nueva metodología que hace más estricto el seguimiento a la planificación de las compras.</w:t>
      </w:r>
    </w:p>
    <w:p w14:paraId="1F4519AB" w14:textId="77777777" w:rsidR="002D7938" w:rsidRDefault="005C1DEB" w:rsidP="006B204A">
      <w:pPr>
        <w:pStyle w:val="CuerpoSB"/>
        <w:spacing w:line="360" w:lineRule="auto"/>
        <w:ind w:left="0"/>
        <w:contextualSpacing w:val="0"/>
        <w:rPr>
          <w:rFonts w:ascii="Times New Roman" w:hAnsi="Times New Roman" w:cs="Times New Roman"/>
          <w:color w:val="767171"/>
          <w:spacing w:val="20"/>
          <w:sz w:val="24"/>
          <w:bdr w:val="none" w:sz="0" w:space="0" w:color="auto"/>
          <w:lang w:val="es-ES"/>
        </w:rPr>
      </w:pPr>
      <w:r>
        <w:rPr>
          <w:rFonts w:ascii="Times New Roman" w:hAnsi="Times New Roman" w:cs="Times New Roman"/>
          <w:color w:val="767171"/>
          <w:spacing w:val="20"/>
          <w:sz w:val="24"/>
          <w:bdr w:val="none" w:sz="0" w:space="0" w:color="auto"/>
          <w:lang w:val="es-ES"/>
        </w:rPr>
        <w:t>Asimismo</w:t>
      </w:r>
      <w:r w:rsidR="002203DE">
        <w:rPr>
          <w:rFonts w:ascii="Times New Roman" w:hAnsi="Times New Roman" w:cs="Times New Roman"/>
          <w:color w:val="767171"/>
          <w:spacing w:val="20"/>
          <w:sz w:val="24"/>
          <w:bdr w:val="none" w:sz="0" w:space="0" w:color="auto"/>
          <w:lang w:val="es-ES"/>
        </w:rPr>
        <w:t xml:space="preserve">, la Dirección General de Contrataciones Públicas </w:t>
      </w:r>
      <w:r>
        <w:rPr>
          <w:rFonts w:ascii="Times New Roman" w:hAnsi="Times New Roman" w:cs="Times New Roman"/>
          <w:color w:val="767171"/>
          <w:spacing w:val="20"/>
          <w:sz w:val="24"/>
          <w:bdr w:val="none" w:sz="0" w:space="0" w:color="auto"/>
          <w:lang w:val="es-ES"/>
        </w:rPr>
        <w:t xml:space="preserve">(DGCP) otorgó </w:t>
      </w:r>
      <w:r w:rsidR="003914AA">
        <w:rPr>
          <w:rFonts w:ascii="Times New Roman" w:hAnsi="Times New Roman" w:cs="Times New Roman"/>
          <w:color w:val="767171"/>
          <w:spacing w:val="20"/>
          <w:sz w:val="24"/>
          <w:bdr w:val="none" w:sz="0" w:space="0" w:color="auto"/>
          <w:lang w:val="es-ES"/>
        </w:rPr>
        <w:t>una distinción</w:t>
      </w:r>
      <w:r w:rsidR="00AC5BF3">
        <w:rPr>
          <w:rFonts w:ascii="Times New Roman" w:hAnsi="Times New Roman" w:cs="Times New Roman"/>
          <w:color w:val="767171"/>
          <w:spacing w:val="20"/>
          <w:sz w:val="24"/>
          <w:bdr w:val="none" w:sz="0" w:space="0" w:color="auto"/>
          <w:lang w:val="es-ES"/>
        </w:rPr>
        <w:t xml:space="preserve"> </w:t>
      </w:r>
      <w:r w:rsidR="00461536">
        <w:rPr>
          <w:rFonts w:ascii="Times New Roman" w:hAnsi="Times New Roman" w:cs="Times New Roman"/>
          <w:color w:val="767171"/>
          <w:spacing w:val="20"/>
          <w:sz w:val="24"/>
          <w:bdr w:val="none" w:sz="0" w:space="0" w:color="auto"/>
          <w:lang w:val="es-ES"/>
        </w:rPr>
        <w:t>a la SB</w:t>
      </w:r>
      <w:r w:rsidR="003914AA">
        <w:rPr>
          <w:rFonts w:ascii="Times New Roman" w:hAnsi="Times New Roman" w:cs="Times New Roman"/>
          <w:color w:val="767171"/>
          <w:spacing w:val="20"/>
          <w:sz w:val="24"/>
          <w:bdr w:val="none" w:sz="0" w:space="0" w:color="auto"/>
          <w:lang w:val="es-ES"/>
        </w:rPr>
        <w:t xml:space="preserve"> para reconocer</w:t>
      </w:r>
      <w:r w:rsidR="00461536">
        <w:rPr>
          <w:rFonts w:ascii="Times New Roman" w:hAnsi="Times New Roman" w:cs="Times New Roman"/>
          <w:color w:val="767171"/>
          <w:spacing w:val="20"/>
          <w:sz w:val="24"/>
          <w:bdr w:val="none" w:sz="0" w:space="0" w:color="auto"/>
          <w:lang w:val="es-ES"/>
        </w:rPr>
        <w:t xml:space="preserve"> </w:t>
      </w:r>
      <w:r w:rsidR="00AF3048">
        <w:rPr>
          <w:rFonts w:ascii="Times New Roman" w:hAnsi="Times New Roman" w:cs="Times New Roman"/>
          <w:color w:val="767171"/>
          <w:spacing w:val="20"/>
          <w:sz w:val="24"/>
          <w:bdr w:val="none" w:sz="0" w:space="0" w:color="auto"/>
          <w:lang w:val="es-ES"/>
        </w:rPr>
        <w:t xml:space="preserve">los esfuerzos realizados </w:t>
      </w:r>
      <w:r w:rsidR="00530282">
        <w:rPr>
          <w:rFonts w:ascii="Times New Roman" w:hAnsi="Times New Roman" w:cs="Times New Roman"/>
          <w:color w:val="767171"/>
          <w:spacing w:val="20"/>
          <w:sz w:val="24"/>
          <w:bdr w:val="none" w:sz="0" w:space="0" w:color="auto"/>
          <w:lang w:val="es-ES"/>
        </w:rPr>
        <w:t xml:space="preserve">en materia de </w:t>
      </w:r>
      <w:r w:rsidR="001967A0" w:rsidRPr="00AA5889">
        <w:rPr>
          <w:rFonts w:ascii="Times New Roman" w:hAnsi="Times New Roman" w:cs="Times New Roman"/>
          <w:color w:val="767171"/>
          <w:spacing w:val="20"/>
          <w:sz w:val="24"/>
          <w:bdr w:val="none" w:sz="0" w:space="0" w:color="auto"/>
          <w:lang w:val="es-ES"/>
        </w:rPr>
        <w:t>compras verdes</w:t>
      </w:r>
      <w:r w:rsidR="00417D1A">
        <w:rPr>
          <w:rFonts w:ascii="Times New Roman" w:hAnsi="Times New Roman" w:cs="Times New Roman"/>
          <w:color w:val="767171"/>
          <w:spacing w:val="20"/>
          <w:sz w:val="24"/>
          <w:bdr w:val="none" w:sz="0" w:space="0" w:color="auto"/>
          <w:lang w:val="es-ES"/>
        </w:rPr>
        <w:t xml:space="preserve">, </w:t>
      </w:r>
      <w:r w:rsidR="001967A0" w:rsidRPr="00AA5889">
        <w:rPr>
          <w:rFonts w:ascii="Times New Roman" w:hAnsi="Times New Roman" w:cs="Times New Roman"/>
          <w:color w:val="767171"/>
          <w:spacing w:val="20"/>
          <w:sz w:val="24"/>
          <w:bdr w:val="none" w:sz="0" w:space="0" w:color="auto"/>
          <w:lang w:val="es-ES"/>
        </w:rPr>
        <w:t xml:space="preserve">en el marco de la celebración XV semana de la calidad del 2023. </w:t>
      </w:r>
    </w:p>
    <w:p w14:paraId="54FC680F" w14:textId="5AEB60BC" w:rsidR="001967A0" w:rsidRPr="00AA5889" w:rsidRDefault="00442C44" w:rsidP="006B204A">
      <w:pPr>
        <w:pStyle w:val="CuerpoSB"/>
        <w:spacing w:line="360" w:lineRule="auto"/>
        <w:ind w:left="0"/>
        <w:contextualSpacing w:val="0"/>
        <w:rPr>
          <w:rFonts w:ascii="Times New Roman" w:hAnsi="Times New Roman" w:cs="Times New Roman"/>
          <w:color w:val="767171"/>
          <w:spacing w:val="20"/>
          <w:sz w:val="24"/>
          <w:bdr w:val="none" w:sz="0" w:space="0" w:color="auto"/>
          <w:lang w:val="es-ES"/>
        </w:rPr>
      </w:pPr>
      <w:r>
        <w:rPr>
          <w:rFonts w:ascii="Times New Roman" w:hAnsi="Times New Roman" w:cs="Times New Roman"/>
          <w:color w:val="767171"/>
          <w:spacing w:val="20"/>
          <w:sz w:val="24"/>
          <w:bdr w:val="none" w:sz="0" w:space="0" w:color="auto"/>
          <w:lang w:val="es-ES"/>
        </w:rPr>
        <w:t xml:space="preserve">Por otro lado, </w:t>
      </w:r>
      <w:r w:rsidR="009304FF">
        <w:rPr>
          <w:rFonts w:ascii="Times New Roman" w:hAnsi="Times New Roman" w:cs="Times New Roman"/>
          <w:color w:val="767171"/>
          <w:spacing w:val="20"/>
          <w:sz w:val="24"/>
          <w:bdr w:val="none" w:sz="0" w:space="0" w:color="auto"/>
          <w:lang w:val="es-ES"/>
        </w:rPr>
        <w:t xml:space="preserve">cabe </w:t>
      </w:r>
      <w:r w:rsidR="001967A0" w:rsidRPr="00AA5889">
        <w:rPr>
          <w:rFonts w:ascii="Times New Roman" w:hAnsi="Times New Roman" w:cs="Times New Roman"/>
          <w:color w:val="767171"/>
          <w:spacing w:val="20"/>
          <w:sz w:val="24"/>
          <w:bdr w:val="none" w:sz="0" w:space="0" w:color="auto"/>
          <w:lang w:val="es-ES"/>
        </w:rPr>
        <w:t>destacar la mejora de la calidad de las informaciones publicadas en el portal de transparencia donde en el mes de septiembre la Superintendencia de Bancos obtuvo una calificación de 100 puntos.</w:t>
      </w:r>
    </w:p>
    <w:p w14:paraId="5AB2495C" w14:textId="77777777" w:rsidR="001967A0" w:rsidRDefault="001967A0" w:rsidP="006B204A">
      <w:pPr>
        <w:pStyle w:val="CuerpoSB"/>
        <w:spacing w:line="360" w:lineRule="auto"/>
        <w:ind w:left="0"/>
        <w:contextualSpacing w:val="0"/>
        <w:rPr>
          <w:rFonts w:ascii="Times New Roman" w:hAnsi="Times New Roman" w:cs="Times New Roman"/>
          <w:color w:val="auto"/>
          <w:spacing w:val="20"/>
          <w:sz w:val="24"/>
          <w:szCs w:val="24"/>
        </w:rPr>
      </w:pPr>
      <w:r>
        <w:rPr>
          <w:rFonts w:ascii="Times New Roman" w:hAnsi="Times New Roman" w:cs="Times New Roman"/>
          <w:noProof/>
          <w:color w:val="auto"/>
          <w:spacing w:val="20"/>
          <w:sz w:val="24"/>
          <w:szCs w:val="24"/>
        </w:rPr>
        <w:drawing>
          <wp:inline distT="0" distB="0" distL="0" distR="0" wp14:anchorId="04B493E5" wp14:editId="54DB527A">
            <wp:extent cx="5029200" cy="2866478"/>
            <wp:effectExtent l="0" t="0" r="0" b="0"/>
            <wp:docPr id="1213382821" name="Imagen 1213382821" descr="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1" descr="Interfaz de usuario gráfica&#10;&#10;Descripción generada automáticament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033249" cy="2868786"/>
                    </a:xfrm>
                    <a:prstGeom prst="rect">
                      <a:avLst/>
                    </a:prstGeom>
                  </pic:spPr>
                </pic:pic>
              </a:graphicData>
            </a:graphic>
          </wp:inline>
        </w:drawing>
      </w:r>
    </w:p>
    <w:p w14:paraId="1DD9B059" w14:textId="59D2C36B" w:rsidR="00CB1F0F" w:rsidRPr="00CB1F0F" w:rsidRDefault="00CB1F0F" w:rsidP="00CB1F0F">
      <w:pPr>
        <w:pStyle w:val="CuerpoSB"/>
        <w:spacing w:line="360" w:lineRule="auto"/>
        <w:ind w:left="0"/>
        <w:contextualSpacing w:val="0"/>
        <w:jc w:val="center"/>
        <w:rPr>
          <w:rFonts w:ascii="Times New Roman" w:hAnsi="Times New Roman" w:cs="Times New Roman"/>
          <w:color w:val="auto"/>
          <w:spacing w:val="20"/>
          <w:sz w:val="24"/>
          <w:szCs w:val="24"/>
        </w:rPr>
      </w:pPr>
      <w:r w:rsidRPr="00CB1F0F">
        <w:rPr>
          <w:rFonts w:ascii="Times New Roman" w:eastAsiaTheme="minorHAnsi" w:hAnsi="Times New Roman" w:cs="Times New Roman"/>
          <w:b/>
          <w:color w:val="767171"/>
          <w:spacing w:val="20"/>
          <w:sz w:val="24"/>
          <w:szCs w:val="24"/>
          <w:bdr w:val="none" w:sz="0" w:space="0" w:color="auto"/>
          <w:lang w:eastAsia="en-US"/>
        </w:rPr>
        <w:t xml:space="preserve">Fuente: </w:t>
      </w:r>
      <w:r w:rsidRPr="00CB1F0F">
        <w:rPr>
          <w:rFonts w:ascii="Times New Roman" w:eastAsiaTheme="minorHAnsi" w:hAnsi="Times New Roman" w:cs="Times New Roman"/>
          <w:bCs/>
          <w:color w:val="767171"/>
          <w:spacing w:val="20"/>
          <w:sz w:val="24"/>
          <w:szCs w:val="24"/>
          <w:bdr w:val="none" w:sz="0" w:space="0" w:color="auto"/>
          <w:lang w:eastAsia="en-US"/>
        </w:rPr>
        <w:t>Portal de SISCOMPRAS</w:t>
      </w:r>
      <w:r w:rsidR="00BE0AFF">
        <w:rPr>
          <w:rFonts w:ascii="Times New Roman" w:eastAsiaTheme="minorHAnsi" w:hAnsi="Times New Roman" w:cs="Times New Roman"/>
          <w:bCs/>
          <w:color w:val="767171"/>
          <w:spacing w:val="20"/>
          <w:sz w:val="24"/>
          <w:szCs w:val="24"/>
          <w:bdr w:val="none" w:sz="0" w:space="0" w:color="auto"/>
          <w:lang w:eastAsia="en-US"/>
        </w:rPr>
        <w:t>,</w:t>
      </w:r>
      <w:r w:rsidRPr="00CB1F0F">
        <w:rPr>
          <w:rFonts w:ascii="Times New Roman" w:eastAsiaTheme="minorHAnsi" w:hAnsi="Times New Roman" w:cs="Times New Roman"/>
          <w:bCs/>
          <w:color w:val="767171"/>
          <w:spacing w:val="20"/>
          <w:sz w:val="24"/>
          <w:szCs w:val="24"/>
          <w:bdr w:val="none" w:sz="0" w:space="0" w:color="auto"/>
          <w:lang w:eastAsia="en-US"/>
        </w:rPr>
        <w:t xml:space="preserve"> Dirección General Contrataciones Públicas</w:t>
      </w:r>
      <w:r w:rsidRPr="00CB1F0F">
        <w:rPr>
          <w:rFonts w:ascii="Times New Roman" w:hAnsi="Times New Roman" w:cs="Times New Roman"/>
          <w:bCs/>
          <w:sz w:val="24"/>
          <w:szCs w:val="24"/>
        </w:rPr>
        <w:t>.</w:t>
      </w:r>
    </w:p>
    <w:p w14:paraId="3FA55E11" w14:textId="5D451A09" w:rsidR="00CB1F0F" w:rsidRPr="00CB1F0F" w:rsidRDefault="009D60E8" w:rsidP="00CB1F0F">
      <w:pPr>
        <w:tabs>
          <w:tab w:val="left" w:pos="6420"/>
        </w:tabs>
        <w:spacing w:line="360" w:lineRule="auto"/>
        <w:jc w:val="center"/>
        <w:rPr>
          <w:lang w:val="es-DO"/>
        </w:rPr>
      </w:pPr>
      <w:r w:rsidRPr="00190197">
        <w:rPr>
          <w:color w:val="auto"/>
        </w:rPr>
        <w:object w:dxaOrig="13575" w:dyaOrig="6794" w14:anchorId="054C4DF2">
          <v:shape id="_x0000_i1030" type="#_x0000_t75" style="width:400.5pt;height:200.25pt" o:ole="">
            <v:imagedata r:id="rId21" o:title=""/>
          </v:shape>
          <o:OLEObject Type="Embed" ProgID="Excel.Sheet.12" ShapeID="_x0000_i1030" DrawAspect="Content" ObjectID="_1765967859" r:id="rId22"/>
        </w:object>
      </w:r>
      <w:r w:rsidR="00CB1F0F" w:rsidRPr="00CB1F0F">
        <w:rPr>
          <w:b/>
          <w:sz w:val="22"/>
          <w:szCs w:val="22"/>
          <w:lang w:val="es-DO"/>
        </w:rPr>
        <w:t xml:space="preserve"> </w:t>
      </w:r>
      <w:r w:rsidR="00CB1F0F" w:rsidRPr="00CB1F0F">
        <w:rPr>
          <w:b/>
          <w:lang w:val="es-DO"/>
        </w:rPr>
        <w:t>Fuente</w:t>
      </w:r>
      <w:r w:rsidR="00CB1F0F" w:rsidRPr="00CB1F0F">
        <w:rPr>
          <w:lang w:val="es-DO"/>
        </w:rPr>
        <w:t>: Portal de SISCOMPRAS</w:t>
      </w:r>
      <w:r w:rsidR="00BE0AFF">
        <w:rPr>
          <w:lang w:val="es-DO"/>
        </w:rPr>
        <w:t>,</w:t>
      </w:r>
      <w:r w:rsidR="00CB1F0F" w:rsidRPr="00CB1F0F">
        <w:rPr>
          <w:lang w:val="es-DO"/>
        </w:rPr>
        <w:t xml:space="preserve"> Dirección General Contrataciones Públicas.</w:t>
      </w:r>
    </w:p>
    <w:p w14:paraId="09D33A77" w14:textId="77777777" w:rsidR="00CB1F0F" w:rsidRPr="00CB1F0F" w:rsidRDefault="00CB1F0F" w:rsidP="00F06A77">
      <w:pPr>
        <w:pStyle w:val="CuerpoSB"/>
        <w:spacing w:line="360" w:lineRule="auto"/>
        <w:ind w:left="0"/>
        <w:contextualSpacing w:val="0"/>
        <w:jc w:val="left"/>
        <w:rPr>
          <w:rFonts w:ascii="Times New Roman" w:eastAsia="Calibri" w:hAnsi="Times New Roman" w:cs="Times New Roman"/>
          <w:b/>
          <w:bCs/>
          <w:color w:val="767171"/>
          <w:spacing w:val="20"/>
          <w:sz w:val="24"/>
          <w:szCs w:val="24"/>
          <w:bdr w:val="none" w:sz="0" w:space="0" w:color="auto"/>
          <w:lang w:eastAsia="en-US"/>
        </w:rPr>
      </w:pPr>
    </w:p>
    <w:p w14:paraId="0A2C79A2" w14:textId="7E8D3265" w:rsidR="00E52ED4" w:rsidRPr="003E38F8" w:rsidRDefault="00E52ED4" w:rsidP="00F06A77">
      <w:pPr>
        <w:pStyle w:val="CuerpoSB"/>
        <w:spacing w:line="360" w:lineRule="auto"/>
        <w:ind w:left="0"/>
        <w:contextualSpacing w:val="0"/>
        <w:jc w:val="left"/>
        <w:rPr>
          <w:rFonts w:ascii="Times New Roman" w:eastAsia="Calibri" w:hAnsi="Times New Roman" w:cs="Times New Roman"/>
          <w:b/>
          <w:bCs/>
          <w:color w:val="767171"/>
          <w:spacing w:val="20"/>
          <w:sz w:val="24"/>
          <w:szCs w:val="24"/>
          <w:bdr w:val="none" w:sz="0" w:space="0" w:color="auto"/>
          <w:lang w:val="es-ES" w:eastAsia="en-US"/>
        </w:rPr>
      </w:pPr>
      <w:r w:rsidRPr="003E38F8">
        <w:rPr>
          <w:rFonts w:ascii="Times New Roman" w:eastAsia="Calibri" w:hAnsi="Times New Roman" w:cs="Times New Roman"/>
          <w:b/>
          <w:bCs/>
          <w:color w:val="767171"/>
          <w:spacing w:val="20"/>
          <w:sz w:val="24"/>
          <w:szCs w:val="24"/>
          <w:bdr w:val="none" w:sz="0" w:space="0" w:color="auto"/>
          <w:lang w:val="es-ES" w:eastAsia="en-US"/>
        </w:rPr>
        <w:t>Fortalecimiento de la Auditoría Interna</w:t>
      </w:r>
    </w:p>
    <w:p w14:paraId="4FDA9DEB" w14:textId="6F15F3FB" w:rsidR="003E38F8" w:rsidRPr="003E38F8" w:rsidRDefault="003E38F8" w:rsidP="006B204A">
      <w:pPr>
        <w:pStyle w:val="paragraph"/>
        <w:spacing w:before="0" w:beforeAutospacing="0" w:after="0" w:afterAutospacing="0" w:line="360" w:lineRule="auto"/>
        <w:jc w:val="both"/>
        <w:textAlignment w:val="baseline"/>
        <w:rPr>
          <w:rFonts w:eastAsiaTheme="minorHAnsi"/>
          <w:color w:val="767171"/>
          <w:spacing w:val="20"/>
          <w:lang w:eastAsia="es-ES"/>
        </w:rPr>
      </w:pPr>
      <w:r w:rsidRPr="003E38F8">
        <w:rPr>
          <w:rFonts w:eastAsiaTheme="minorHAnsi"/>
          <w:color w:val="767171"/>
          <w:spacing w:val="20"/>
          <w:lang w:eastAsia="es-ES"/>
        </w:rPr>
        <w:t>Durante el año 2023 la Superintendencia de Bancos ha continuado avanzando en las gestiones de auditoria con el propósito de seguir fortaleciendo el sistema de control de calidad de cara al cumplimiento con la Certificación del Programa de Aseguramiento y Mejora de la Calidad (PAMC), y con el propósito de robustecer su actividad y función en la adecuación de los lineamientos y normativas pertinentes. Entre los principales logros que se han alcanzado desde esta unidad, se citan los siguientes:</w:t>
      </w:r>
    </w:p>
    <w:p w14:paraId="7AB595AD" w14:textId="77777777" w:rsidR="006359B0" w:rsidRPr="003E38F8" w:rsidRDefault="006359B0" w:rsidP="006B204A">
      <w:pPr>
        <w:pStyle w:val="CuerpoSB"/>
        <w:spacing w:line="360" w:lineRule="auto"/>
        <w:ind w:left="0"/>
        <w:contextualSpacing w:val="0"/>
        <w:rPr>
          <w:rFonts w:ascii="Times New Roman" w:eastAsia="Calibri" w:hAnsi="Times New Roman" w:cs="Times New Roman"/>
          <w:b/>
          <w:bCs/>
          <w:color w:val="767171"/>
          <w:spacing w:val="20"/>
          <w:sz w:val="24"/>
          <w:szCs w:val="24"/>
          <w:highlight w:val="yellow"/>
          <w:bdr w:val="none" w:sz="0" w:space="0" w:color="auto"/>
          <w:lang w:eastAsia="en-US"/>
        </w:rPr>
      </w:pPr>
    </w:p>
    <w:p w14:paraId="3B8F95F7" w14:textId="03FC511A" w:rsidR="00E52ED4" w:rsidRPr="005C03B2" w:rsidRDefault="0014465A" w:rsidP="006B204A">
      <w:pPr>
        <w:pStyle w:val="Estilo3"/>
        <w:spacing w:before="0" w:after="160" w:line="360" w:lineRule="auto"/>
        <w:rPr>
          <w:b/>
          <w:szCs w:val="24"/>
        </w:rPr>
      </w:pPr>
      <w:bookmarkStart w:id="83" w:name="_Toc122435018"/>
      <w:bookmarkStart w:id="84" w:name="_Toc123046923"/>
      <w:bookmarkStart w:id="85" w:name="_Toc155354620"/>
      <w:r>
        <w:rPr>
          <w:b/>
          <w:szCs w:val="24"/>
        </w:rPr>
        <w:t>4</w:t>
      </w:r>
      <w:r w:rsidR="00E52ED4" w:rsidRPr="005C03B2">
        <w:rPr>
          <w:b/>
          <w:szCs w:val="24"/>
        </w:rPr>
        <w:t xml:space="preserve">.2 Desempeño de los </w:t>
      </w:r>
      <w:bookmarkEnd w:id="83"/>
      <w:bookmarkEnd w:id="84"/>
      <w:r w:rsidR="00630E6F">
        <w:rPr>
          <w:b/>
          <w:szCs w:val="24"/>
        </w:rPr>
        <w:t>R</w:t>
      </w:r>
      <w:r w:rsidR="00E52ED4" w:rsidRPr="005C03B2">
        <w:rPr>
          <w:b/>
          <w:szCs w:val="24"/>
        </w:rPr>
        <w:t xml:space="preserve">ecursos </w:t>
      </w:r>
      <w:r w:rsidR="00630E6F">
        <w:rPr>
          <w:b/>
          <w:szCs w:val="24"/>
        </w:rPr>
        <w:t>H</w:t>
      </w:r>
      <w:r w:rsidR="00E52ED4" w:rsidRPr="005C03B2">
        <w:rPr>
          <w:b/>
          <w:szCs w:val="24"/>
        </w:rPr>
        <w:t>umanos</w:t>
      </w:r>
      <w:bookmarkEnd w:id="85"/>
    </w:p>
    <w:p w14:paraId="3A9F423D" w14:textId="65FF7C6A" w:rsidR="003936CB" w:rsidRPr="003936CB" w:rsidRDefault="003936CB" w:rsidP="00F06A77">
      <w:pPr>
        <w:spacing w:line="360" w:lineRule="auto"/>
        <w:jc w:val="both"/>
        <w:rPr>
          <w:lang w:val="es-DO"/>
        </w:rPr>
      </w:pPr>
      <w:r w:rsidRPr="003936CB">
        <w:rPr>
          <w:lang w:val="es-DO"/>
        </w:rPr>
        <w:t xml:space="preserve">Durante el 2023, la Superintendencia de Bancos ha llevado a cabo la implementación de diversas estrategias con el objetivo de fortalecer su capital humano y su cultura institucional. Estos esfuerzos se han destacado por la atracción e integración del talento, la capacitación </w:t>
      </w:r>
      <w:r w:rsidRPr="003936CB">
        <w:rPr>
          <w:lang w:val="es-DO"/>
        </w:rPr>
        <w:lastRenderedPageBreak/>
        <w:t>y el desarrollo organizacional y la provisión de servicios médicos de calidad en la institución.</w:t>
      </w:r>
    </w:p>
    <w:p w14:paraId="0D66567A" w14:textId="453ED7E2" w:rsidR="003936CB" w:rsidRPr="003936CB" w:rsidRDefault="00BD13EE" w:rsidP="00F06A77">
      <w:pPr>
        <w:spacing w:line="360" w:lineRule="auto"/>
        <w:jc w:val="both"/>
        <w:rPr>
          <w:lang w:val="es-DO"/>
        </w:rPr>
      </w:pPr>
      <w:r>
        <w:rPr>
          <w:lang w:val="es-DO"/>
        </w:rPr>
        <w:t>Se llevo</w:t>
      </w:r>
      <w:r w:rsidR="003936CB" w:rsidRPr="003936CB">
        <w:rPr>
          <w:lang w:val="es-DO"/>
        </w:rPr>
        <w:t xml:space="preserve"> a cabo la documentación y publicación de 7 políticas, procedimientos y formularios generales de Diseño y Valoración de Puestos, Reconocimiento a Colaboradores(as), Salud, Atracción del Talento y Capacitación con el objetivo de estandarizar y mejorar los procesos internos.</w:t>
      </w:r>
    </w:p>
    <w:p w14:paraId="4F1B0F87" w14:textId="72FDF453" w:rsidR="003936CB" w:rsidRDefault="003936CB" w:rsidP="00B16990">
      <w:pPr>
        <w:spacing w:line="360" w:lineRule="auto"/>
        <w:jc w:val="both"/>
        <w:rPr>
          <w:lang w:val="es-DO"/>
        </w:rPr>
      </w:pPr>
      <w:r w:rsidRPr="003936CB">
        <w:rPr>
          <w:lang w:val="es-DO"/>
        </w:rPr>
        <w:t>Como parte de las acciones para fortalecer el nivel de satisfacción de los colaboradores(as) se definió la estrategia de bienestar laboral en la cual se llevaron a cabo activades de integración temáticas, 24 actividades de orientación para colaboradores(as), programas de nutrición, jornadas de promoción y prevención de salud.</w:t>
      </w:r>
    </w:p>
    <w:p w14:paraId="7939297E" w14:textId="77777777" w:rsidR="00E179DB" w:rsidRPr="003936CB" w:rsidRDefault="00E179DB" w:rsidP="00E179DB">
      <w:pPr>
        <w:spacing w:line="360" w:lineRule="auto"/>
        <w:jc w:val="both"/>
        <w:rPr>
          <w:lang w:val="es-DO"/>
        </w:rPr>
      </w:pPr>
      <w:r w:rsidRPr="003936CB">
        <w:rPr>
          <w:lang w:val="es-DO"/>
        </w:rPr>
        <w:t xml:space="preserve">Se fortaleció la estructura organizacional mediante la alineación con el plan estratégico, realizando las revisiones y actualizaciones de 10 departamentos. </w:t>
      </w:r>
    </w:p>
    <w:p w14:paraId="3592B662" w14:textId="20F9C3E8" w:rsidR="00E179DB" w:rsidRPr="003936CB" w:rsidRDefault="00E179DB" w:rsidP="00E179DB">
      <w:pPr>
        <w:spacing w:line="360" w:lineRule="auto"/>
        <w:jc w:val="both"/>
        <w:rPr>
          <w:lang w:val="es-DO"/>
        </w:rPr>
      </w:pPr>
      <w:r w:rsidRPr="003936CB">
        <w:rPr>
          <w:lang w:val="es-DO"/>
        </w:rPr>
        <w:t>Se actualizo el Manual de Funciones Institucional incluyendo todos los puestos conformados en la estructura de la SB a mayo del 2023 logrando el cumplimiento con la máxima calificación por transparencia y gobierno abierto por la DIGEIG</w:t>
      </w:r>
    </w:p>
    <w:p w14:paraId="6C35DE70" w14:textId="7FB9B052" w:rsidR="003936CB" w:rsidRPr="00963C76" w:rsidRDefault="003936CB" w:rsidP="004F430E">
      <w:pPr>
        <w:spacing w:line="360" w:lineRule="auto"/>
        <w:rPr>
          <w:b/>
          <w:bCs/>
          <w:lang w:val="es-DO"/>
        </w:rPr>
      </w:pPr>
      <w:r w:rsidRPr="003936CB">
        <w:rPr>
          <w:b/>
          <w:bCs/>
          <w:lang w:val="es-DO"/>
        </w:rPr>
        <w:t>Atracción e Integración de Talentos</w:t>
      </w:r>
    </w:p>
    <w:p w14:paraId="2E1CA949" w14:textId="2A112DBF" w:rsidR="003936CB" w:rsidRPr="003936CB" w:rsidRDefault="003936CB" w:rsidP="00230F25">
      <w:pPr>
        <w:spacing w:line="360" w:lineRule="auto"/>
        <w:jc w:val="both"/>
        <w:rPr>
          <w:lang w:val="es-DO"/>
        </w:rPr>
      </w:pPr>
      <w:r w:rsidRPr="003936CB">
        <w:rPr>
          <w:lang w:val="es-DO"/>
        </w:rPr>
        <w:t xml:space="preserve">De </w:t>
      </w:r>
      <w:r w:rsidR="008D6F99">
        <w:rPr>
          <w:lang w:val="es-DO"/>
        </w:rPr>
        <w:t>c</w:t>
      </w:r>
      <w:r w:rsidRPr="003936CB">
        <w:rPr>
          <w:lang w:val="es-DO"/>
        </w:rPr>
        <w:t>ara a apoyar la transformación digital, en marzo de 2023, se llevó a cabo un proceso masivo</w:t>
      </w:r>
      <w:r w:rsidR="00141EC1">
        <w:rPr>
          <w:lang w:val="es-DO"/>
        </w:rPr>
        <w:t xml:space="preserve"> de digitalización de expedientes,</w:t>
      </w:r>
      <w:r w:rsidRPr="003936CB">
        <w:rPr>
          <w:lang w:val="es-DO"/>
        </w:rPr>
        <w:t xml:space="preserve"> </w:t>
      </w:r>
      <w:r w:rsidR="007429D7">
        <w:rPr>
          <w:lang w:val="es-DO"/>
        </w:rPr>
        <w:t xml:space="preserve">utilizar </w:t>
      </w:r>
      <w:r w:rsidR="00A92DCA">
        <w:rPr>
          <w:lang w:val="es-DO"/>
        </w:rPr>
        <w:t>los datos</w:t>
      </w:r>
      <w:r w:rsidR="007429D7">
        <w:rPr>
          <w:lang w:val="es-DO"/>
        </w:rPr>
        <w:t xml:space="preserve"> </w:t>
      </w:r>
      <w:r w:rsidR="00B622A5">
        <w:rPr>
          <w:lang w:val="es-DO"/>
        </w:rPr>
        <w:t xml:space="preserve">de </w:t>
      </w:r>
      <w:r w:rsidR="00176555">
        <w:rPr>
          <w:lang w:val="es-DO"/>
        </w:rPr>
        <w:t>estos</w:t>
      </w:r>
      <w:r w:rsidR="00B622A5">
        <w:rPr>
          <w:lang w:val="es-DO"/>
        </w:rPr>
        <w:t xml:space="preserve"> de forma más eficiente</w:t>
      </w:r>
      <w:r w:rsidR="00A92DCA">
        <w:rPr>
          <w:lang w:val="es-DO"/>
        </w:rPr>
        <w:t xml:space="preserve"> para la toma de decisiones</w:t>
      </w:r>
      <w:r w:rsidR="00B622A5">
        <w:rPr>
          <w:lang w:val="es-DO"/>
        </w:rPr>
        <w:t xml:space="preserve">, a la vez que permite a </w:t>
      </w:r>
      <w:r w:rsidR="00FB42AA">
        <w:rPr>
          <w:lang w:val="es-DO"/>
        </w:rPr>
        <w:t>los colaboradores(as)</w:t>
      </w:r>
      <w:r w:rsidR="00AE63C3">
        <w:rPr>
          <w:lang w:val="es-DO"/>
        </w:rPr>
        <w:t xml:space="preserve"> </w:t>
      </w:r>
      <w:r w:rsidR="00383337">
        <w:rPr>
          <w:lang w:val="es-DO"/>
        </w:rPr>
        <w:t xml:space="preserve">solicitar </w:t>
      </w:r>
      <w:r w:rsidR="00770C1D">
        <w:rPr>
          <w:lang w:val="es-DO"/>
        </w:rPr>
        <w:t xml:space="preserve">y aprobar </w:t>
      </w:r>
      <w:r w:rsidR="00971E44">
        <w:rPr>
          <w:lang w:val="es-DO"/>
        </w:rPr>
        <w:t xml:space="preserve">solicitudes </w:t>
      </w:r>
      <w:r w:rsidR="00A92DCA">
        <w:rPr>
          <w:lang w:val="es-DO"/>
        </w:rPr>
        <w:t>con mayor agilidad.</w:t>
      </w:r>
    </w:p>
    <w:p w14:paraId="6AED3D09" w14:textId="1ADA6507" w:rsidR="003936CB" w:rsidRPr="003936CB" w:rsidRDefault="0093581E" w:rsidP="00230F25">
      <w:pPr>
        <w:spacing w:line="360" w:lineRule="auto"/>
        <w:jc w:val="both"/>
        <w:rPr>
          <w:lang w:val="es-DO"/>
        </w:rPr>
      </w:pPr>
      <w:r>
        <w:rPr>
          <w:lang w:val="es-DO"/>
        </w:rPr>
        <w:t>Así mismo, se lanzó</w:t>
      </w:r>
      <w:r w:rsidR="003936CB" w:rsidRPr="003936CB">
        <w:rPr>
          <w:lang w:val="es-DO"/>
        </w:rPr>
        <w:t xml:space="preserve"> la política de conflicto de intereses marcando un hito significativo hacia la transparencia y la integridad en nuestras </w:t>
      </w:r>
      <w:r w:rsidR="003936CB" w:rsidRPr="003936CB">
        <w:rPr>
          <w:lang w:val="es-DO"/>
        </w:rPr>
        <w:lastRenderedPageBreak/>
        <w:t>operaciones. Esta iniciativa busca garantizar que todas las decisiones y acciones dentro de la organización se tomen de manera imparcial y ética, minimizando cualquier posibilidad de influencia indebida.</w:t>
      </w:r>
    </w:p>
    <w:p w14:paraId="1BD52786" w14:textId="53673422" w:rsidR="003936CB" w:rsidRPr="003936CB" w:rsidRDefault="0093581E" w:rsidP="00230F25">
      <w:pPr>
        <w:spacing w:line="360" w:lineRule="auto"/>
        <w:jc w:val="both"/>
        <w:rPr>
          <w:lang w:val="es-DO"/>
        </w:rPr>
      </w:pPr>
      <w:r>
        <w:rPr>
          <w:lang w:val="es-DO"/>
        </w:rPr>
        <w:t>De igual forma, se lanzó</w:t>
      </w:r>
      <w:r w:rsidR="003936CB" w:rsidRPr="003936CB">
        <w:rPr>
          <w:lang w:val="es-DO"/>
        </w:rPr>
        <w:t xml:space="preserve"> </w:t>
      </w:r>
      <w:r>
        <w:rPr>
          <w:lang w:val="es-DO"/>
        </w:rPr>
        <w:t>la</w:t>
      </w:r>
      <w:r w:rsidR="003936CB" w:rsidRPr="003936CB">
        <w:rPr>
          <w:lang w:val="es-DO"/>
        </w:rPr>
        <w:t xml:space="preserve"> nueva intranet dando un paso significativo hacia la mejora de la interacción y conectividad entre nuestros colaboradores(as). Esta plataforma está diseñada para facilitar la comunicación fluida, compartir información de manera eficiente y fomentar la colaboración en tiempo real</w:t>
      </w:r>
      <w:r w:rsidR="00981E85">
        <w:rPr>
          <w:lang w:val="es-DO"/>
        </w:rPr>
        <w:t xml:space="preserve">, </w:t>
      </w:r>
      <w:r w:rsidR="003936CB" w:rsidRPr="003936CB">
        <w:rPr>
          <w:lang w:val="es-DO"/>
        </w:rPr>
        <w:t xml:space="preserve">promoviendo así un ambiente de trabajo más cohesionado y dinámico. </w:t>
      </w:r>
    </w:p>
    <w:p w14:paraId="61FBEF9A" w14:textId="11410E97" w:rsidR="003936CB" w:rsidRPr="00230F25" w:rsidRDefault="003936CB" w:rsidP="00230F25">
      <w:pPr>
        <w:spacing w:line="360" w:lineRule="auto"/>
        <w:ind w:right="-285"/>
        <w:rPr>
          <w:b/>
          <w:bCs/>
          <w:lang w:val="es-DO"/>
        </w:rPr>
      </w:pPr>
      <w:r w:rsidRPr="00D76399">
        <w:rPr>
          <w:b/>
          <w:bCs/>
          <w:lang w:val="es-DO"/>
        </w:rPr>
        <w:t>Capacitación y Desarrollo</w:t>
      </w:r>
    </w:p>
    <w:p w14:paraId="0F81A456" w14:textId="700F2B1C" w:rsidR="003936CB" w:rsidRDefault="001B53F7" w:rsidP="00230F25">
      <w:pPr>
        <w:spacing w:line="360" w:lineRule="auto"/>
        <w:jc w:val="both"/>
        <w:rPr>
          <w:lang w:val="es-DO"/>
        </w:rPr>
      </w:pPr>
      <w:r>
        <w:rPr>
          <w:lang w:val="es-DO"/>
        </w:rPr>
        <w:t xml:space="preserve">En cuanto </w:t>
      </w:r>
      <w:r w:rsidR="00754398">
        <w:rPr>
          <w:lang w:val="es-DO"/>
        </w:rPr>
        <w:t xml:space="preserve">a la formación continua </w:t>
      </w:r>
      <w:r>
        <w:rPr>
          <w:lang w:val="es-DO"/>
        </w:rPr>
        <w:t xml:space="preserve">del personal, a través del </w:t>
      </w:r>
      <w:r w:rsidR="003936CB" w:rsidRPr="003936CB">
        <w:rPr>
          <w:lang w:val="es-DO"/>
        </w:rPr>
        <w:t xml:space="preserve">programa de </w:t>
      </w:r>
      <w:r>
        <w:rPr>
          <w:lang w:val="es-DO"/>
        </w:rPr>
        <w:t xml:space="preserve">capacitación fueron </w:t>
      </w:r>
      <w:r w:rsidR="003936CB" w:rsidRPr="003936CB">
        <w:rPr>
          <w:lang w:val="es-DO"/>
        </w:rPr>
        <w:t>imparti</w:t>
      </w:r>
      <w:r>
        <w:rPr>
          <w:lang w:val="es-DO"/>
        </w:rPr>
        <w:t>dos</w:t>
      </w:r>
      <w:r w:rsidR="003936CB" w:rsidRPr="003936CB">
        <w:rPr>
          <w:lang w:val="es-DO"/>
        </w:rPr>
        <w:t xml:space="preserve"> 192 </w:t>
      </w:r>
      <w:r w:rsidR="00754398">
        <w:rPr>
          <w:lang w:val="es-DO"/>
        </w:rPr>
        <w:t>acciones formativas</w:t>
      </w:r>
      <w:r w:rsidR="003936CB" w:rsidRPr="003936CB">
        <w:rPr>
          <w:lang w:val="es-DO"/>
        </w:rPr>
        <w:t xml:space="preserve"> a 595 empleados, equivalente al 83% de la población total. Logro obtenido mediante más de 25,900 horas de capacitación total o 43 horas por colaborador.</w:t>
      </w:r>
    </w:p>
    <w:p w14:paraId="163F6832" w14:textId="1F171120" w:rsidR="00625782" w:rsidRPr="003936CB" w:rsidRDefault="00625782" w:rsidP="00625782">
      <w:pPr>
        <w:spacing w:line="360" w:lineRule="auto"/>
        <w:jc w:val="both"/>
        <w:rPr>
          <w:lang w:val="es-DO"/>
        </w:rPr>
      </w:pPr>
      <w:r w:rsidRPr="003936CB">
        <w:rPr>
          <w:lang w:val="es-DO"/>
        </w:rPr>
        <w:t>Dentro de los principales programas impartidos para el fortalecimiento institucional se encuentran</w:t>
      </w:r>
      <w:r>
        <w:rPr>
          <w:lang w:val="es-DO"/>
        </w:rPr>
        <w:t>:</w:t>
      </w:r>
      <w:r w:rsidRPr="003936CB">
        <w:rPr>
          <w:lang w:val="es-DO"/>
        </w:rPr>
        <w:t xml:space="preserve"> la Certificación Auditor Forense Antifraude (AFA), donde se certificaron 34 colaboradores(as)</w:t>
      </w:r>
      <w:r>
        <w:rPr>
          <w:lang w:val="es-DO"/>
        </w:rPr>
        <w:t>;</w:t>
      </w:r>
      <w:r w:rsidRPr="003936CB">
        <w:rPr>
          <w:lang w:val="es-DO"/>
        </w:rPr>
        <w:t xml:space="preserve"> el </w:t>
      </w:r>
      <w:proofErr w:type="spellStart"/>
      <w:r w:rsidRPr="003936CB">
        <w:rPr>
          <w:lang w:val="es-DO"/>
        </w:rPr>
        <w:t>Anti-money</w:t>
      </w:r>
      <w:proofErr w:type="spellEnd"/>
      <w:r w:rsidRPr="003936CB">
        <w:rPr>
          <w:lang w:val="es-DO"/>
        </w:rPr>
        <w:t xml:space="preserve"> </w:t>
      </w:r>
      <w:proofErr w:type="spellStart"/>
      <w:r w:rsidRPr="003936CB">
        <w:rPr>
          <w:lang w:val="es-DO"/>
        </w:rPr>
        <w:t>Laundering</w:t>
      </w:r>
      <w:proofErr w:type="spellEnd"/>
      <w:r w:rsidRPr="003936CB">
        <w:rPr>
          <w:lang w:val="es-DO"/>
        </w:rPr>
        <w:t xml:space="preserve"> </w:t>
      </w:r>
      <w:proofErr w:type="spellStart"/>
      <w:r w:rsidRPr="003936CB">
        <w:rPr>
          <w:lang w:val="es-DO"/>
        </w:rPr>
        <w:t>Certified</w:t>
      </w:r>
      <w:proofErr w:type="spellEnd"/>
      <w:r w:rsidRPr="003936CB">
        <w:rPr>
          <w:lang w:val="es-DO"/>
        </w:rPr>
        <w:t xml:space="preserve"> </w:t>
      </w:r>
      <w:proofErr w:type="spellStart"/>
      <w:r w:rsidRPr="003936CB">
        <w:rPr>
          <w:lang w:val="es-DO"/>
        </w:rPr>
        <w:t>Associate</w:t>
      </w:r>
      <w:proofErr w:type="spellEnd"/>
      <w:r w:rsidRPr="003936CB">
        <w:rPr>
          <w:lang w:val="es-DO"/>
        </w:rPr>
        <w:t xml:space="preserve"> donde un total de 20 colaboradores(as) recibieron la certificación; se impartieron 4 programas de sensibilización ISO 9001, ISO 31000, ISO 22301 e ISO 19011, ISO 37301</w:t>
      </w:r>
      <w:r w:rsidR="00C24CF2">
        <w:rPr>
          <w:lang w:val="es-DO"/>
        </w:rPr>
        <w:t xml:space="preserve">; </w:t>
      </w:r>
      <w:r w:rsidR="003F2730">
        <w:rPr>
          <w:lang w:val="es-DO"/>
        </w:rPr>
        <w:t xml:space="preserve">se certificaron </w:t>
      </w:r>
      <w:r w:rsidRPr="003936CB">
        <w:rPr>
          <w:lang w:val="es-DO"/>
        </w:rPr>
        <w:t>40 colaboradores(as) sobre Gestión de Riesgos</w:t>
      </w:r>
      <w:r w:rsidR="003F2730">
        <w:rPr>
          <w:lang w:val="es-DO"/>
        </w:rPr>
        <w:t>;</w:t>
      </w:r>
      <w:r w:rsidRPr="003936CB">
        <w:rPr>
          <w:lang w:val="es-DO"/>
        </w:rPr>
        <w:t xml:space="preserve"> Dos </w:t>
      </w:r>
      <w:r w:rsidR="00F1273D">
        <w:rPr>
          <w:lang w:val="es-DO"/>
        </w:rPr>
        <w:t>c</w:t>
      </w:r>
      <w:r w:rsidRPr="003936CB">
        <w:rPr>
          <w:lang w:val="es-DO"/>
        </w:rPr>
        <w:t>olaborador</w:t>
      </w:r>
      <w:r w:rsidR="00F1273D">
        <w:rPr>
          <w:lang w:val="es-DO"/>
        </w:rPr>
        <w:t>a</w:t>
      </w:r>
      <w:r w:rsidRPr="003936CB">
        <w:rPr>
          <w:lang w:val="es-DO"/>
        </w:rPr>
        <w:t>s</w:t>
      </w:r>
      <w:r w:rsidR="00F1273D">
        <w:rPr>
          <w:lang w:val="es-DO"/>
        </w:rPr>
        <w:t xml:space="preserve"> </w:t>
      </w:r>
      <w:r w:rsidRPr="003936CB">
        <w:rPr>
          <w:lang w:val="es-DO"/>
        </w:rPr>
        <w:t xml:space="preserve">obtuvieron la titulación como </w:t>
      </w:r>
      <w:proofErr w:type="spellStart"/>
      <w:r w:rsidRPr="003936CB">
        <w:rPr>
          <w:lang w:val="es-DO"/>
        </w:rPr>
        <w:t>Certified</w:t>
      </w:r>
      <w:proofErr w:type="spellEnd"/>
      <w:r w:rsidRPr="003936CB">
        <w:rPr>
          <w:lang w:val="es-DO"/>
        </w:rPr>
        <w:t xml:space="preserve"> </w:t>
      </w:r>
      <w:proofErr w:type="spellStart"/>
      <w:r w:rsidRPr="003936CB">
        <w:rPr>
          <w:lang w:val="es-DO"/>
        </w:rPr>
        <w:t>Baseline</w:t>
      </w:r>
      <w:proofErr w:type="spellEnd"/>
      <w:r w:rsidRPr="003936CB">
        <w:rPr>
          <w:lang w:val="es-DO"/>
        </w:rPr>
        <w:t xml:space="preserve"> PMO </w:t>
      </w:r>
      <w:proofErr w:type="spellStart"/>
      <w:r w:rsidRPr="003936CB">
        <w:rPr>
          <w:lang w:val="es-DO"/>
        </w:rPr>
        <w:t>Consultant</w:t>
      </w:r>
      <w:proofErr w:type="spellEnd"/>
      <w:r w:rsidRPr="003936CB">
        <w:rPr>
          <w:lang w:val="es-DO"/>
        </w:rPr>
        <w:t>, siendo las dos primeras dominicanas en obtener dicha certificación en el país</w:t>
      </w:r>
      <w:r w:rsidR="00F942AD">
        <w:rPr>
          <w:lang w:val="es-DO"/>
        </w:rPr>
        <w:t xml:space="preserve"> </w:t>
      </w:r>
      <w:r w:rsidR="007C29CF">
        <w:rPr>
          <w:lang w:val="es-DO"/>
        </w:rPr>
        <w:t>y</w:t>
      </w:r>
      <w:r w:rsidR="002F46EC">
        <w:rPr>
          <w:lang w:val="es-DO"/>
        </w:rPr>
        <w:t xml:space="preserve"> </w:t>
      </w:r>
      <w:r w:rsidR="007C29CF">
        <w:rPr>
          <w:lang w:val="es-DO"/>
        </w:rPr>
        <w:t>240 colaboradores</w:t>
      </w:r>
      <w:r w:rsidR="00FB42AA">
        <w:rPr>
          <w:lang w:val="es-DO"/>
        </w:rPr>
        <w:t>(as)</w:t>
      </w:r>
      <w:r w:rsidR="007C29CF">
        <w:rPr>
          <w:lang w:val="es-DO"/>
        </w:rPr>
        <w:t xml:space="preserve"> y colaboradoras </w:t>
      </w:r>
      <w:r w:rsidR="00826B4D">
        <w:rPr>
          <w:lang w:val="es-DO"/>
        </w:rPr>
        <w:t xml:space="preserve">del grupo ocupacional de Profesionales y Técnicos </w:t>
      </w:r>
      <w:r w:rsidR="00094462">
        <w:rPr>
          <w:lang w:val="es-DO"/>
        </w:rPr>
        <w:t xml:space="preserve">participaron de un programa de </w:t>
      </w:r>
      <w:r w:rsidR="008F5C5F">
        <w:rPr>
          <w:lang w:val="es-DO"/>
        </w:rPr>
        <w:t>desarrollo de habilidades blandas</w:t>
      </w:r>
      <w:r w:rsidRPr="003936CB">
        <w:rPr>
          <w:lang w:val="es-DO"/>
        </w:rPr>
        <w:t xml:space="preserve">. En cuanto a formación superior </w:t>
      </w:r>
      <w:r w:rsidRPr="003936CB">
        <w:rPr>
          <w:lang w:val="es-DO"/>
        </w:rPr>
        <w:lastRenderedPageBreak/>
        <w:t xml:space="preserve">17 </w:t>
      </w:r>
      <w:r w:rsidR="009769C5" w:rsidRPr="003936CB">
        <w:rPr>
          <w:lang w:val="es-DO"/>
        </w:rPr>
        <w:t>colaboradores</w:t>
      </w:r>
      <w:r w:rsidR="00FB42AA">
        <w:rPr>
          <w:lang w:val="es-DO"/>
        </w:rPr>
        <w:t>(as)</w:t>
      </w:r>
      <w:r w:rsidRPr="003936CB">
        <w:rPr>
          <w:lang w:val="es-DO"/>
        </w:rPr>
        <w:t xml:space="preserve"> obtuvieron titulación de Maestría en Auditoría Integral con UNAPEC</w:t>
      </w:r>
      <w:r w:rsidR="008F5C5F">
        <w:rPr>
          <w:lang w:val="es-DO"/>
        </w:rPr>
        <w:t>.</w:t>
      </w:r>
    </w:p>
    <w:p w14:paraId="7F677D12" w14:textId="1BA8B078" w:rsidR="003936CB" w:rsidRPr="003936CB" w:rsidRDefault="00625782" w:rsidP="003B3D76">
      <w:pPr>
        <w:spacing w:line="360" w:lineRule="auto"/>
        <w:jc w:val="both"/>
        <w:rPr>
          <w:lang w:val="es-DO"/>
        </w:rPr>
      </w:pPr>
      <w:r>
        <w:rPr>
          <w:lang w:val="es-DO"/>
        </w:rPr>
        <w:t>Concomitantemente, s</w:t>
      </w:r>
      <w:r w:rsidR="008C5610">
        <w:rPr>
          <w:lang w:val="es-DO"/>
        </w:rPr>
        <w:t xml:space="preserve">e </w:t>
      </w:r>
      <w:r w:rsidR="008F5C5F">
        <w:rPr>
          <w:lang w:val="es-DO"/>
        </w:rPr>
        <w:t>implementó</w:t>
      </w:r>
      <w:r w:rsidR="003936CB" w:rsidRPr="003936CB">
        <w:rPr>
          <w:lang w:val="es-DO"/>
        </w:rPr>
        <w:t xml:space="preserve"> la primera fase del plan de carrera y ruta de desarrollo en la Subgerencia de Supervisión el cual facilitará el crecimiento de los colaboradores(as) dentro de la institución, potencializando sus capacidades y</w:t>
      </w:r>
      <w:r w:rsidR="00B66354">
        <w:rPr>
          <w:lang w:val="es-DO"/>
        </w:rPr>
        <w:t xml:space="preserve"> propiciando</w:t>
      </w:r>
      <w:r w:rsidR="003936CB" w:rsidRPr="003936CB">
        <w:rPr>
          <w:lang w:val="es-DO"/>
        </w:rPr>
        <w:t xml:space="preserve"> </w:t>
      </w:r>
      <w:r w:rsidR="00B66354">
        <w:rPr>
          <w:lang w:val="es-DO"/>
        </w:rPr>
        <w:t>su retención</w:t>
      </w:r>
      <w:r w:rsidR="003936CB" w:rsidRPr="003936CB">
        <w:rPr>
          <w:lang w:val="es-DO"/>
        </w:rPr>
        <w:t xml:space="preserve">. Como conclusión de esta iniciativa se pudieron </w:t>
      </w:r>
      <w:r w:rsidR="003B5C4A">
        <w:rPr>
          <w:lang w:val="es-DO"/>
        </w:rPr>
        <w:t>las rutas de desarrollo de</w:t>
      </w:r>
      <w:r w:rsidR="003936CB" w:rsidRPr="003936CB">
        <w:rPr>
          <w:lang w:val="es-DO"/>
        </w:rPr>
        <w:t xml:space="preserve"> 33 puestos críticos, se identificaron los colaboradores(as) de altos potencial para ser desarrollados y se actualizaron 67 descriptivos de puestos. </w:t>
      </w:r>
    </w:p>
    <w:p w14:paraId="6EF0BAE9" w14:textId="6C756583" w:rsidR="003936CB" w:rsidRPr="003B3D76" w:rsidRDefault="003936CB" w:rsidP="003B3D76">
      <w:pPr>
        <w:spacing w:line="360" w:lineRule="auto"/>
        <w:rPr>
          <w:b/>
          <w:bCs/>
          <w:lang w:val="es-DO"/>
        </w:rPr>
      </w:pPr>
      <w:r w:rsidRPr="00D76399">
        <w:rPr>
          <w:b/>
          <w:bCs/>
          <w:lang w:val="es-DO"/>
        </w:rPr>
        <w:t>Desempeño y Clima</w:t>
      </w:r>
    </w:p>
    <w:p w14:paraId="2DC01AF7" w14:textId="311B4162" w:rsidR="003936CB" w:rsidRPr="003936CB" w:rsidRDefault="003936CB" w:rsidP="003B3D76">
      <w:pPr>
        <w:spacing w:line="360" w:lineRule="auto"/>
        <w:jc w:val="both"/>
        <w:rPr>
          <w:lang w:val="es-DO"/>
        </w:rPr>
      </w:pPr>
      <w:r w:rsidRPr="003936CB">
        <w:rPr>
          <w:lang w:val="es-DO"/>
        </w:rPr>
        <w:t xml:space="preserve">Para marzo 2023 fue conformada la Unidad de Clima y Desempeño, cuyo foco estratégico es promover una cultura de trabajo que contribuya al éxito de la institución, apoyando la transformación cultural, el enfoque en resultados y un buen ambiente de trabajo que promueva el bienestar de todos y la valoración del talento. </w:t>
      </w:r>
    </w:p>
    <w:p w14:paraId="081D0554" w14:textId="6923633C" w:rsidR="003936CB" w:rsidRPr="003936CB" w:rsidRDefault="003936CB" w:rsidP="003B3D76">
      <w:pPr>
        <w:spacing w:line="360" w:lineRule="auto"/>
        <w:jc w:val="both"/>
        <w:rPr>
          <w:lang w:val="es-DO"/>
        </w:rPr>
      </w:pPr>
      <w:r w:rsidRPr="003936CB">
        <w:rPr>
          <w:lang w:val="es-DO"/>
        </w:rPr>
        <w:t>En términos de Evaluación del Desempeño Individual (EDI)</w:t>
      </w:r>
      <w:r w:rsidR="00807D11">
        <w:rPr>
          <w:lang w:val="es-DO"/>
        </w:rPr>
        <w:t xml:space="preserve"> s</w:t>
      </w:r>
      <w:r w:rsidRPr="003936CB">
        <w:rPr>
          <w:lang w:val="es-DO"/>
        </w:rPr>
        <w:t>e implementó la herramienta de evaluación de desempeño digital EDI 3.0</w:t>
      </w:r>
      <w:r w:rsidR="00807D11">
        <w:rPr>
          <w:lang w:val="es-DO"/>
        </w:rPr>
        <w:t xml:space="preserve">, integrada </w:t>
      </w:r>
      <w:r w:rsidR="00B210A3">
        <w:rPr>
          <w:lang w:val="es-DO"/>
        </w:rPr>
        <w:t xml:space="preserve">al sistema de </w:t>
      </w:r>
      <w:r w:rsidR="00ED0765">
        <w:rPr>
          <w:lang w:val="es-DO"/>
        </w:rPr>
        <w:t>planificación y gestión de recursos</w:t>
      </w:r>
      <w:r w:rsidR="00241B84">
        <w:rPr>
          <w:lang w:val="es-DO"/>
        </w:rPr>
        <w:t xml:space="preserve"> </w:t>
      </w:r>
      <w:r w:rsidR="00ED0765">
        <w:rPr>
          <w:lang w:val="es-DO"/>
        </w:rPr>
        <w:t>ERP</w:t>
      </w:r>
      <w:r w:rsidR="00241B84">
        <w:rPr>
          <w:lang w:val="es-DO"/>
        </w:rPr>
        <w:t xml:space="preserve"> </w:t>
      </w:r>
      <w:r w:rsidR="00241B84" w:rsidRPr="003936CB">
        <w:rPr>
          <w:lang w:val="es-DO"/>
        </w:rPr>
        <w:t>Dynamics 365</w:t>
      </w:r>
      <w:r w:rsidRPr="003936CB">
        <w:rPr>
          <w:lang w:val="es-DO"/>
        </w:rPr>
        <w:t>, dando pasos significativos para la digitalización de este proceso</w:t>
      </w:r>
      <w:r w:rsidR="00DC551D">
        <w:rPr>
          <w:lang w:val="es-DO"/>
        </w:rPr>
        <w:t>.</w:t>
      </w:r>
    </w:p>
    <w:p w14:paraId="3C8E9FE3" w14:textId="3B805848" w:rsidR="003936CB" w:rsidRPr="003936CB" w:rsidRDefault="003936CB" w:rsidP="003B3D76">
      <w:pPr>
        <w:spacing w:line="360" w:lineRule="auto"/>
        <w:jc w:val="both"/>
        <w:rPr>
          <w:lang w:val="es-DO"/>
        </w:rPr>
      </w:pPr>
      <w:r w:rsidRPr="003936CB">
        <w:rPr>
          <w:lang w:val="es-DO"/>
        </w:rPr>
        <w:t xml:space="preserve">Para </w:t>
      </w:r>
      <w:r w:rsidR="000D6426">
        <w:rPr>
          <w:lang w:val="es-DO"/>
        </w:rPr>
        <w:t xml:space="preserve">propiciar </w:t>
      </w:r>
      <w:r w:rsidR="0059173E">
        <w:rPr>
          <w:lang w:val="es-DO"/>
        </w:rPr>
        <w:t xml:space="preserve">el </w:t>
      </w:r>
      <w:r w:rsidR="000D6426">
        <w:rPr>
          <w:lang w:val="es-DO"/>
        </w:rPr>
        <w:t>buen c</w:t>
      </w:r>
      <w:r w:rsidRPr="003936CB">
        <w:rPr>
          <w:lang w:val="es-DO"/>
        </w:rPr>
        <w:t xml:space="preserve">lima y </w:t>
      </w:r>
      <w:r w:rsidR="0059173E">
        <w:rPr>
          <w:lang w:val="es-DO"/>
        </w:rPr>
        <w:t xml:space="preserve">una </w:t>
      </w:r>
      <w:r w:rsidR="000D6426">
        <w:rPr>
          <w:lang w:val="es-DO"/>
        </w:rPr>
        <w:t>c</w:t>
      </w:r>
      <w:r w:rsidRPr="003936CB">
        <w:rPr>
          <w:lang w:val="es-DO"/>
        </w:rPr>
        <w:t>ultura</w:t>
      </w:r>
      <w:r w:rsidR="0059173E">
        <w:rPr>
          <w:lang w:val="es-DO"/>
        </w:rPr>
        <w:t xml:space="preserve"> de valores</w:t>
      </w:r>
      <w:r w:rsidRPr="003936CB">
        <w:rPr>
          <w:lang w:val="es-DO"/>
        </w:rPr>
        <w:t xml:space="preserve">, </w:t>
      </w:r>
      <w:r w:rsidR="00362DF7">
        <w:rPr>
          <w:lang w:val="es-DO"/>
        </w:rPr>
        <w:t>la SB aplicó,</w:t>
      </w:r>
      <w:r w:rsidR="009861DE">
        <w:rPr>
          <w:lang w:val="es-DO"/>
        </w:rPr>
        <w:t xml:space="preserve"> por tercer año constitutivo</w:t>
      </w:r>
      <w:r w:rsidR="00362DF7">
        <w:rPr>
          <w:lang w:val="es-DO"/>
        </w:rPr>
        <w:t>,</w:t>
      </w:r>
      <w:r w:rsidRPr="003936CB">
        <w:rPr>
          <w:lang w:val="es-DO"/>
        </w:rPr>
        <w:t xml:space="preserve"> la Certificación de Great Place </w:t>
      </w:r>
      <w:proofErr w:type="spellStart"/>
      <w:r w:rsidRPr="003936CB">
        <w:rPr>
          <w:lang w:val="es-DO"/>
        </w:rPr>
        <w:t>To</w:t>
      </w:r>
      <w:proofErr w:type="spellEnd"/>
      <w:r w:rsidRPr="003936CB">
        <w:rPr>
          <w:lang w:val="es-DO"/>
        </w:rPr>
        <w:t xml:space="preserve"> </w:t>
      </w:r>
      <w:proofErr w:type="spellStart"/>
      <w:r w:rsidRPr="003936CB">
        <w:rPr>
          <w:lang w:val="es-DO"/>
        </w:rPr>
        <w:t>Work</w:t>
      </w:r>
      <w:proofErr w:type="spellEnd"/>
      <w:r w:rsidRPr="003936CB">
        <w:rPr>
          <w:lang w:val="es-DO"/>
        </w:rPr>
        <w:t>,</w:t>
      </w:r>
      <w:r w:rsidR="009861DE">
        <w:rPr>
          <w:lang w:val="es-DO"/>
        </w:rPr>
        <w:t xml:space="preserve"> </w:t>
      </w:r>
      <w:r w:rsidR="0040416E">
        <w:rPr>
          <w:lang w:val="es-DO"/>
        </w:rPr>
        <w:t>a partir de la cual la S</w:t>
      </w:r>
      <w:r w:rsidR="004D43BA">
        <w:rPr>
          <w:lang w:val="es-DO"/>
        </w:rPr>
        <w:t xml:space="preserve">uperintendencia de </w:t>
      </w:r>
      <w:r w:rsidR="0040416E">
        <w:rPr>
          <w:lang w:val="es-DO"/>
        </w:rPr>
        <w:t>B</w:t>
      </w:r>
      <w:r w:rsidR="004D43BA">
        <w:rPr>
          <w:lang w:val="es-DO"/>
        </w:rPr>
        <w:t>ancos</w:t>
      </w:r>
      <w:r w:rsidR="0040416E">
        <w:rPr>
          <w:lang w:val="es-DO"/>
        </w:rPr>
        <w:t xml:space="preserve"> obtuvo una </w:t>
      </w:r>
      <w:r w:rsidR="004759DD">
        <w:rPr>
          <w:lang w:val="es-DO"/>
        </w:rPr>
        <w:t>calificación</w:t>
      </w:r>
      <w:r w:rsidR="006A68FF">
        <w:rPr>
          <w:lang w:val="es-DO"/>
        </w:rPr>
        <w:t xml:space="preserve"> de 91%</w:t>
      </w:r>
      <w:r w:rsidR="00AB63D2">
        <w:rPr>
          <w:lang w:val="es-DO"/>
        </w:rPr>
        <w:t xml:space="preserve"> de satisfacción generales de </w:t>
      </w:r>
      <w:r w:rsidR="009769C5">
        <w:rPr>
          <w:lang w:val="es-DO"/>
        </w:rPr>
        <w:t>los colaboradores</w:t>
      </w:r>
      <w:r w:rsidR="001A0D7F">
        <w:rPr>
          <w:lang w:val="es-DO"/>
        </w:rPr>
        <w:t xml:space="preserve">, </w:t>
      </w:r>
      <w:r w:rsidR="00F15CAB">
        <w:rPr>
          <w:lang w:val="es-DO"/>
        </w:rPr>
        <w:t xml:space="preserve">lo cual representa un incremento de 3 puntos porcentuales contra la calificación de 88% obtenida </w:t>
      </w:r>
      <w:r w:rsidR="00E71FB1">
        <w:rPr>
          <w:lang w:val="es-DO"/>
        </w:rPr>
        <w:t>en el año anterior</w:t>
      </w:r>
      <w:r w:rsidR="00053B8E">
        <w:rPr>
          <w:lang w:val="es-DO"/>
        </w:rPr>
        <w:t>.</w:t>
      </w:r>
      <w:r w:rsidR="002B10FC">
        <w:rPr>
          <w:lang w:val="es-DO"/>
        </w:rPr>
        <w:t xml:space="preserve"> </w:t>
      </w:r>
      <w:r w:rsidR="009769C5">
        <w:rPr>
          <w:lang w:val="es-DO"/>
        </w:rPr>
        <w:t>Asimismo,</w:t>
      </w:r>
      <w:r w:rsidR="002B10FC">
        <w:rPr>
          <w:lang w:val="es-DO"/>
        </w:rPr>
        <w:t xml:space="preserve"> </w:t>
      </w:r>
      <w:r w:rsidR="00736265">
        <w:rPr>
          <w:lang w:val="es-DO"/>
        </w:rPr>
        <w:t>a</w:t>
      </w:r>
      <w:r w:rsidR="009769C5">
        <w:rPr>
          <w:lang w:val="es-DO"/>
        </w:rPr>
        <w:t xml:space="preserve"> </w:t>
      </w:r>
      <w:r w:rsidR="00E31432">
        <w:rPr>
          <w:lang w:val="es-DO"/>
        </w:rPr>
        <w:t>s</w:t>
      </w:r>
      <w:r w:rsidR="009861DE">
        <w:rPr>
          <w:lang w:val="es-DO"/>
        </w:rPr>
        <w:t>e</w:t>
      </w:r>
      <w:r w:rsidR="00E31432">
        <w:rPr>
          <w:lang w:val="es-DO"/>
        </w:rPr>
        <w:t xml:space="preserve"> ha</w:t>
      </w:r>
      <w:r w:rsidR="009769C5">
        <w:rPr>
          <w:lang w:val="es-DO"/>
        </w:rPr>
        <w:t>n</w:t>
      </w:r>
      <w:r w:rsidR="009861DE">
        <w:rPr>
          <w:lang w:val="es-DO"/>
        </w:rPr>
        <w:t xml:space="preserve"> </w:t>
      </w:r>
      <w:r w:rsidR="00362DF7">
        <w:rPr>
          <w:lang w:val="es-DO"/>
        </w:rPr>
        <w:t>reconocido</w:t>
      </w:r>
      <w:r w:rsidR="00FB42AA">
        <w:rPr>
          <w:lang w:val="es-DO"/>
        </w:rPr>
        <w:t xml:space="preserve"> por desempeño</w:t>
      </w:r>
      <w:r w:rsidR="00AA3A0D">
        <w:rPr>
          <w:lang w:val="es-DO"/>
        </w:rPr>
        <w:t xml:space="preserve">, compromiso y </w:t>
      </w:r>
      <w:r w:rsidR="00950475">
        <w:rPr>
          <w:lang w:val="es-DO"/>
        </w:rPr>
        <w:t xml:space="preserve">reflejo de los valores </w:t>
      </w:r>
      <w:r w:rsidR="00950475">
        <w:rPr>
          <w:lang w:val="es-DO"/>
        </w:rPr>
        <w:lastRenderedPageBreak/>
        <w:t>institucionales</w:t>
      </w:r>
      <w:r w:rsidR="00CC1884">
        <w:rPr>
          <w:lang w:val="es-DO"/>
        </w:rPr>
        <w:t xml:space="preserve"> un</w:t>
      </w:r>
      <w:r w:rsidRPr="003936CB">
        <w:rPr>
          <w:lang w:val="es-DO"/>
        </w:rPr>
        <w:t xml:space="preserve"> total de 143 colaboradores(as), equivalente a un 20% de la población de la S</w:t>
      </w:r>
      <w:r w:rsidR="009861DE">
        <w:rPr>
          <w:lang w:val="es-DO"/>
        </w:rPr>
        <w:t xml:space="preserve">uperintendencia de </w:t>
      </w:r>
      <w:r w:rsidRPr="003936CB">
        <w:rPr>
          <w:lang w:val="es-DO"/>
        </w:rPr>
        <w:t>B</w:t>
      </w:r>
      <w:r w:rsidR="009861DE">
        <w:rPr>
          <w:lang w:val="es-DO"/>
        </w:rPr>
        <w:t>ancos</w:t>
      </w:r>
      <w:r w:rsidRPr="003936CB">
        <w:rPr>
          <w:lang w:val="es-DO"/>
        </w:rPr>
        <w:t xml:space="preserve">. </w:t>
      </w:r>
    </w:p>
    <w:p w14:paraId="3DD84464" w14:textId="08958690" w:rsidR="003936CB" w:rsidRPr="003B3D76" w:rsidRDefault="003936CB" w:rsidP="003B3D76">
      <w:pPr>
        <w:spacing w:line="360" w:lineRule="auto"/>
        <w:rPr>
          <w:b/>
          <w:bCs/>
          <w:lang w:val="es-DO"/>
        </w:rPr>
      </w:pPr>
      <w:r w:rsidRPr="00F23C36">
        <w:rPr>
          <w:b/>
          <w:bCs/>
          <w:lang w:val="es-DO"/>
        </w:rPr>
        <w:t>Remuneración, Beneficios y Relaciones Laborales</w:t>
      </w:r>
    </w:p>
    <w:p w14:paraId="395F641B" w14:textId="5D333F49" w:rsidR="003936CB" w:rsidRPr="003936CB" w:rsidRDefault="003936CB" w:rsidP="003B3D76">
      <w:pPr>
        <w:spacing w:line="360" w:lineRule="auto"/>
        <w:jc w:val="both"/>
        <w:rPr>
          <w:lang w:val="es-DO"/>
        </w:rPr>
      </w:pPr>
      <w:r w:rsidRPr="003936CB">
        <w:rPr>
          <w:lang w:val="es-DO"/>
        </w:rPr>
        <w:t xml:space="preserve">Se aumentó el monto del subsidio del seguro médico de los colaboradores(as) activos y pensionados de un 75% a un 85%. Un logro de este año fue la extensión a la población de subdirectores de la cobertura del seguro médico internacional. Adicionalmente, se adjudicó a un nuevo proveedor de cafetería con una cobertura mejorada de un 75% a un 80%, dejando definido este porcentaje de cobertura por política. Se aumentó el subsidio del campamento de verano para hijos de empleados en un 8% con relación al 2022.  </w:t>
      </w:r>
    </w:p>
    <w:p w14:paraId="185A35A5" w14:textId="3A5D0B87" w:rsidR="003936CB" w:rsidRPr="003936CB" w:rsidRDefault="003936CB" w:rsidP="003B3D76">
      <w:pPr>
        <w:spacing w:line="360" w:lineRule="auto"/>
        <w:jc w:val="both"/>
        <w:rPr>
          <w:lang w:val="es-DO"/>
        </w:rPr>
      </w:pPr>
      <w:r w:rsidRPr="003936CB">
        <w:rPr>
          <w:lang w:val="es-DO"/>
        </w:rPr>
        <w:t xml:space="preserve">En el marco del Programa de Bienestar Social al Pensionado de la </w:t>
      </w:r>
      <w:r w:rsidR="00C61504">
        <w:rPr>
          <w:lang w:val="es-DO"/>
        </w:rPr>
        <w:t>Superintendencia de Bancos</w:t>
      </w:r>
      <w:r w:rsidR="000751B8">
        <w:rPr>
          <w:lang w:val="es-DO"/>
        </w:rPr>
        <w:t xml:space="preserve">, </w:t>
      </w:r>
      <w:r w:rsidRPr="003936CB">
        <w:rPr>
          <w:lang w:val="es-DO"/>
        </w:rPr>
        <w:t xml:space="preserve">se impartieron charlas preventivas para la seguridad en las redes sociales, balance familiar y laboral. En los meses de enero a noviembre se realizaron 69 visitas médicas domiciliarias conducidas por un profesional de la Salud Familiar. </w:t>
      </w:r>
    </w:p>
    <w:p w14:paraId="4C51E499" w14:textId="4C655AB3" w:rsidR="003936CB" w:rsidRPr="003B3D76" w:rsidRDefault="003936CB" w:rsidP="003B3D76">
      <w:pPr>
        <w:spacing w:line="360" w:lineRule="auto"/>
        <w:rPr>
          <w:b/>
          <w:bCs/>
          <w:lang w:val="es-DO"/>
        </w:rPr>
      </w:pPr>
      <w:r w:rsidRPr="0099108D">
        <w:rPr>
          <w:b/>
          <w:bCs/>
          <w:lang w:val="es-DO"/>
        </w:rPr>
        <w:t>Salud Ocupacional</w:t>
      </w:r>
    </w:p>
    <w:p w14:paraId="2F4E8EA1" w14:textId="1849376C" w:rsidR="003936CB" w:rsidRPr="003936CB" w:rsidRDefault="00C10E74" w:rsidP="003B3D76">
      <w:pPr>
        <w:spacing w:line="360" w:lineRule="auto"/>
        <w:jc w:val="both"/>
        <w:rPr>
          <w:lang w:val="es-DO"/>
        </w:rPr>
      </w:pPr>
      <w:r>
        <w:rPr>
          <w:lang w:val="es-DO"/>
        </w:rPr>
        <w:t>En materia se s</w:t>
      </w:r>
      <w:r w:rsidR="003936CB" w:rsidRPr="003936CB">
        <w:rPr>
          <w:lang w:val="es-DO"/>
        </w:rPr>
        <w:t xml:space="preserve">alud </w:t>
      </w:r>
      <w:r>
        <w:rPr>
          <w:lang w:val="es-DO"/>
        </w:rPr>
        <w:t>o</w:t>
      </w:r>
      <w:r w:rsidR="003936CB" w:rsidRPr="003936CB">
        <w:rPr>
          <w:lang w:val="es-DO"/>
        </w:rPr>
        <w:t xml:space="preserve">cupacional </w:t>
      </w:r>
      <w:r>
        <w:rPr>
          <w:lang w:val="es-DO"/>
        </w:rPr>
        <w:t xml:space="preserve">la </w:t>
      </w:r>
      <w:r w:rsidR="00C61504">
        <w:rPr>
          <w:lang w:val="es-DO"/>
        </w:rPr>
        <w:t>SUPERINTENDENCIA DE BANCOS</w:t>
      </w:r>
      <w:r w:rsidR="003936CB" w:rsidRPr="003936CB">
        <w:rPr>
          <w:lang w:val="es-DO"/>
        </w:rPr>
        <w:t xml:space="preserve"> ha implementado dos iniciativas a fin de preservar la salud y bienestar de los colaboradores(as), estas son el programa de inmunizaciones con jornadas de vacunación al personal contra Tétanos y difteria (DT) y de Hepatitis B e influenza en las cuales se inmunizaron a 247 (38%) colaboradores(as). </w:t>
      </w:r>
      <w:r w:rsidR="000751B8">
        <w:rPr>
          <w:lang w:val="es-DO"/>
        </w:rPr>
        <w:t>Se llevaron a cabo</w:t>
      </w:r>
      <w:r w:rsidR="003936CB" w:rsidRPr="003936CB">
        <w:rPr>
          <w:lang w:val="es-DO"/>
        </w:rPr>
        <w:t xml:space="preserve"> jornadas de evaluación visual en la que se impactaron a 205 (28%) colaboradores(as), programa de nutrición en el que participaron 35 colaboradores(as) y a 115 (16%) colaboradores(as) con la jornada de azúcar en equilibrio. Así mismo, se han realizado 159 evaluaciones de preempleo durante el periodo en cuestión. </w:t>
      </w:r>
    </w:p>
    <w:p w14:paraId="2F81EA7D" w14:textId="73C2768D" w:rsidR="00E52ED4" w:rsidRDefault="003936CB" w:rsidP="006B204A">
      <w:pPr>
        <w:spacing w:line="360" w:lineRule="auto"/>
        <w:jc w:val="both"/>
        <w:rPr>
          <w:lang w:val="es-DO"/>
        </w:rPr>
      </w:pPr>
      <w:r w:rsidRPr="003936CB">
        <w:rPr>
          <w:lang w:val="es-DO"/>
        </w:rPr>
        <w:lastRenderedPageBreak/>
        <w:t>En apoyo al programa de prevención de enfermedades, se impartieron 12 charlas educativas sobre diferentes temas de salud, logrando la participación de 1,246 colaboradores(as).</w:t>
      </w:r>
    </w:p>
    <w:p w14:paraId="13913A4F" w14:textId="77777777" w:rsidR="003936CB" w:rsidRPr="00C865B6" w:rsidRDefault="003936CB" w:rsidP="006B204A">
      <w:pPr>
        <w:spacing w:line="360" w:lineRule="auto"/>
        <w:jc w:val="both"/>
        <w:rPr>
          <w:lang w:val="es-DO"/>
        </w:rPr>
      </w:pPr>
    </w:p>
    <w:p w14:paraId="260D8C3D" w14:textId="5059D788" w:rsidR="00E52ED4" w:rsidRPr="0080136D" w:rsidRDefault="0014465A" w:rsidP="006B204A">
      <w:pPr>
        <w:pStyle w:val="Estilo3"/>
        <w:spacing w:before="0" w:after="160" w:line="360" w:lineRule="auto"/>
        <w:rPr>
          <w:b/>
        </w:rPr>
      </w:pPr>
      <w:bookmarkStart w:id="86" w:name="_Toc122435019"/>
      <w:bookmarkStart w:id="87" w:name="_Toc123046924"/>
      <w:bookmarkStart w:id="88" w:name="_Toc155354621"/>
      <w:r w:rsidRPr="0080136D">
        <w:rPr>
          <w:b/>
        </w:rPr>
        <w:t>4</w:t>
      </w:r>
      <w:r w:rsidR="00E52ED4" w:rsidRPr="0080136D">
        <w:rPr>
          <w:b/>
        </w:rPr>
        <w:t xml:space="preserve">.3 Fortalecimiento de los </w:t>
      </w:r>
      <w:bookmarkEnd w:id="86"/>
      <w:bookmarkEnd w:id="87"/>
      <w:r w:rsidR="00630E6F" w:rsidRPr="0080136D">
        <w:rPr>
          <w:b/>
        </w:rPr>
        <w:t>P</w:t>
      </w:r>
      <w:r w:rsidR="00E52ED4" w:rsidRPr="0080136D">
        <w:rPr>
          <w:b/>
        </w:rPr>
        <w:t xml:space="preserve">rocesos </w:t>
      </w:r>
      <w:r w:rsidR="00630E6F" w:rsidRPr="0080136D">
        <w:rPr>
          <w:b/>
        </w:rPr>
        <w:t>J</w:t>
      </w:r>
      <w:r w:rsidR="00E52ED4" w:rsidRPr="0080136D">
        <w:rPr>
          <w:b/>
        </w:rPr>
        <w:t>urídicos</w:t>
      </w:r>
      <w:bookmarkEnd w:id="88"/>
    </w:p>
    <w:p w14:paraId="6DD22AF8" w14:textId="3FD97AC4" w:rsidR="00156B19" w:rsidRPr="00D73CAD" w:rsidRDefault="00564966" w:rsidP="001E280B">
      <w:pPr>
        <w:spacing w:line="360" w:lineRule="auto"/>
        <w:rPr>
          <w:b/>
          <w:bCs/>
          <w:lang w:val="es-DO"/>
        </w:rPr>
      </w:pPr>
      <w:r w:rsidRPr="00D73CAD">
        <w:rPr>
          <w:b/>
          <w:bCs/>
          <w:lang w:val="es-DO"/>
        </w:rPr>
        <w:t xml:space="preserve">Sobre la </w:t>
      </w:r>
      <w:r w:rsidR="00156B19" w:rsidRPr="00D73CAD">
        <w:rPr>
          <w:b/>
          <w:bCs/>
          <w:lang w:val="es-DO"/>
        </w:rPr>
        <w:t>Agenda Académica de la Consultoría Jurídica</w:t>
      </w:r>
    </w:p>
    <w:p w14:paraId="598B2335" w14:textId="0C359CE5" w:rsidR="007F355A" w:rsidRDefault="00156B19" w:rsidP="006B204A">
      <w:pPr>
        <w:spacing w:line="360" w:lineRule="auto"/>
        <w:jc w:val="both"/>
        <w:rPr>
          <w:lang w:val="es-DO"/>
        </w:rPr>
      </w:pPr>
      <w:r w:rsidRPr="00156B19">
        <w:rPr>
          <w:lang w:val="es-DO"/>
        </w:rPr>
        <w:t xml:space="preserve">Con miras a </w:t>
      </w:r>
      <w:r w:rsidR="00EE3478">
        <w:rPr>
          <w:lang w:val="es-DO"/>
        </w:rPr>
        <w:t xml:space="preserve">fomentar </w:t>
      </w:r>
      <w:r w:rsidRPr="00156B19">
        <w:rPr>
          <w:lang w:val="es-DO"/>
        </w:rPr>
        <w:t xml:space="preserve">la academia sobre el derecho bancario y la regulación monetaria y financiera, y que el personal de la Superintendencia de Bancos sea conocido por su excelencia en la comunidad jurídica de la República Dominicana, </w:t>
      </w:r>
      <w:r w:rsidR="00331ECE">
        <w:rPr>
          <w:lang w:val="es-DO"/>
        </w:rPr>
        <w:t xml:space="preserve">se llevaron a cabo actividades enmarcadas en una </w:t>
      </w:r>
      <w:r w:rsidRPr="00156B19">
        <w:rPr>
          <w:lang w:val="es-DO"/>
        </w:rPr>
        <w:t>agenda académica durante el año 2023.</w:t>
      </w:r>
      <w:r w:rsidR="00331ECE">
        <w:rPr>
          <w:lang w:val="es-DO"/>
        </w:rPr>
        <w:t xml:space="preserve"> </w:t>
      </w:r>
      <w:r w:rsidR="005465A3">
        <w:rPr>
          <w:lang w:val="es-DO"/>
        </w:rPr>
        <w:t xml:space="preserve">Algunos de los hitos más relevantes </w:t>
      </w:r>
      <w:r w:rsidR="00331ECE">
        <w:rPr>
          <w:lang w:val="es-DO"/>
        </w:rPr>
        <w:t>de esta agenda</w:t>
      </w:r>
      <w:r w:rsidR="005465A3">
        <w:rPr>
          <w:lang w:val="es-DO"/>
        </w:rPr>
        <w:t xml:space="preserve"> son:</w:t>
      </w:r>
    </w:p>
    <w:p w14:paraId="4B8DBFB2" w14:textId="0134076F" w:rsidR="00430CD1" w:rsidRPr="001E280B" w:rsidRDefault="007F355A" w:rsidP="001E280B">
      <w:pPr>
        <w:pStyle w:val="Prrafodelista"/>
        <w:numPr>
          <w:ilvl w:val="0"/>
          <w:numId w:val="20"/>
        </w:numPr>
        <w:spacing w:after="160" w:line="360" w:lineRule="auto"/>
        <w:contextualSpacing w:val="0"/>
        <w:jc w:val="both"/>
        <w:rPr>
          <w:rFonts w:ascii="Times New Roman" w:eastAsiaTheme="minorHAnsi" w:hAnsi="Times New Roman"/>
          <w:color w:val="767171"/>
          <w:spacing w:val="20"/>
          <w:sz w:val="24"/>
          <w:szCs w:val="24"/>
        </w:rPr>
      </w:pPr>
      <w:r w:rsidRPr="00126816">
        <w:rPr>
          <w:rFonts w:ascii="Times New Roman" w:eastAsiaTheme="minorHAnsi" w:hAnsi="Times New Roman"/>
          <w:color w:val="767171"/>
          <w:spacing w:val="20"/>
          <w:sz w:val="24"/>
          <w:szCs w:val="24"/>
        </w:rPr>
        <w:t xml:space="preserve">Celebración de la conferencia “Régimen Penal de los Delitos Financieros en la República Dominicana”, celebrada el 25 de abril, </w:t>
      </w:r>
      <w:r w:rsidR="00126816" w:rsidRPr="00126816">
        <w:rPr>
          <w:rFonts w:ascii="Times New Roman" w:eastAsiaTheme="minorHAnsi" w:hAnsi="Times New Roman"/>
          <w:color w:val="767171"/>
          <w:spacing w:val="20"/>
          <w:sz w:val="24"/>
          <w:szCs w:val="24"/>
        </w:rPr>
        <w:t>con la participación de más de doscientas (200) personas, bajo la modalidad mixta.</w:t>
      </w:r>
    </w:p>
    <w:p w14:paraId="24D7734F" w14:textId="19648C67" w:rsidR="009C2DAA" w:rsidRPr="001E280B" w:rsidRDefault="00E12650" w:rsidP="001E280B">
      <w:pPr>
        <w:pStyle w:val="Prrafodelista"/>
        <w:numPr>
          <w:ilvl w:val="0"/>
          <w:numId w:val="20"/>
        </w:numPr>
        <w:spacing w:after="160" w:line="360" w:lineRule="auto"/>
        <w:contextualSpacing w:val="0"/>
        <w:jc w:val="both"/>
        <w:rPr>
          <w:rFonts w:ascii="Times New Roman" w:eastAsiaTheme="minorHAnsi" w:hAnsi="Times New Roman"/>
          <w:color w:val="767171"/>
          <w:spacing w:val="20"/>
          <w:sz w:val="24"/>
          <w:szCs w:val="24"/>
        </w:rPr>
      </w:pPr>
      <w:r w:rsidRPr="00C14C4E">
        <w:rPr>
          <w:rFonts w:ascii="Times New Roman" w:eastAsiaTheme="minorHAnsi" w:hAnsi="Times New Roman"/>
          <w:color w:val="767171"/>
          <w:spacing w:val="20"/>
          <w:sz w:val="24"/>
          <w:szCs w:val="24"/>
        </w:rPr>
        <w:t>E</w:t>
      </w:r>
      <w:r w:rsidR="00156B19" w:rsidRPr="00C14C4E">
        <w:rPr>
          <w:rFonts w:ascii="Times New Roman" w:eastAsiaTheme="minorHAnsi" w:hAnsi="Times New Roman"/>
          <w:color w:val="767171"/>
          <w:spacing w:val="20"/>
          <w:sz w:val="24"/>
          <w:szCs w:val="24"/>
        </w:rPr>
        <w:t xml:space="preserve">l 9 de mayo del año 2023, </w:t>
      </w:r>
      <w:r w:rsidR="00331ECE">
        <w:rPr>
          <w:rFonts w:ascii="Times New Roman" w:eastAsiaTheme="minorHAnsi" w:hAnsi="Times New Roman"/>
          <w:color w:val="767171"/>
          <w:spacing w:val="20"/>
          <w:sz w:val="24"/>
          <w:szCs w:val="24"/>
        </w:rPr>
        <w:t>se llevó a cabo el</w:t>
      </w:r>
      <w:r w:rsidR="00705897">
        <w:rPr>
          <w:rFonts w:ascii="Times New Roman" w:eastAsiaTheme="minorHAnsi" w:hAnsi="Times New Roman"/>
          <w:color w:val="767171"/>
          <w:spacing w:val="20"/>
          <w:sz w:val="24"/>
          <w:szCs w:val="24"/>
        </w:rPr>
        <w:t xml:space="preserve"> </w:t>
      </w:r>
      <w:r w:rsidR="00156B19" w:rsidRPr="00C14C4E">
        <w:rPr>
          <w:rFonts w:ascii="Times New Roman" w:eastAsiaTheme="minorHAnsi" w:hAnsi="Times New Roman"/>
          <w:color w:val="767171"/>
          <w:spacing w:val="20"/>
          <w:sz w:val="24"/>
          <w:szCs w:val="24"/>
        </w:rPr>
        <w:t xml:space="preserve">“Seminario sobre Delitos Financieros”, </w:t>
      </w:r>
      <w:r w:rsidR="00215624">
        <w:rPr>
          <w:rFonts w:ascii="Times New Roman" w:eastAsiaTheme="minorHAnsi" w:hAnsi="Times New Roman"/>
          <w:color w:val="767171"/>
          <w:spacing w:val="20"/>
          <w:sz w:val="24"/>
          <w:szCs w:val="24"/>
        </w:rPr>
        <w:t xml:space="preserve">con sede en el </w:t>
      </w:r>
      <w:r w:rsidR="00156B19" w:rsidRPr="00C14C4E">
        <w:rPr>
          <w:rFonts w:ascii="Times New Roman" w:eastAsiaTheme="minorHAnsi" w:hAnsi="Times New Roman"/>
          <w:color w:val="767171"/>
          <w:spacing w:val="20"/>
          <w:sz w:val="24"/>
          <w:szCs w:val="24"/>
        </w:rPr>
        <w:t>Pabellón de la Fama del Deporte Dominicano. Este seminario contó con la participación de abogados de la Superintendencia de Bancos, representantes de los gremios de las entidades de intermediación financiera, estudiantes, así como abogados en ejercicio, tanto del sector público como del sector privado. A este seminario asistieron más de doscientas (200) personas.</w:t>
      </w:r>
    </w:p>
    <w:p w14:paraId="41FCA870" w14:textId="5521E08F" w:rsidR="009C2DAA" w:rsidRPr="001E280B" w:rsidRDefault="00B208E4" w:rsidP="001E280B">
      <w:pPr>
        <w:pStyle w:val="Prrafodelista"/>
        <w:numPr>
          <w:ilvl w:val="0"/>
          <w:numId w:val="20"/>
        </w:numPr>
        <w:spacing w:after="160" w:line="360" w:lineRule="auto"/>
        <w:contextualSpacing w:val="0"/>
        <w:jc w:val="both"/>
        <w:rPr>
          <w:rFonts w:ascii="Times New Roman" w:eastAsiaTheme="minorHAnsi" w:hAnsi="Times New Roman"/>
          <w:color w:val="767171"/>
          <w:spacing w:val="20"/>
          <w:sz w:val="24"/>
          <w:szCs w:val="24"/>
        </w:rPr>
      </w:pPr>
      <w:r w:rsidRPr="00C14C4E">
        <w:rPr>
          <w:rFonts w:ascii="Times New Roman" w:eastAsiaTheme="minorHAnsi" w:hAnsi="Times New Roman"/>
          <w:color w:val="767171"/>
          <w:spacing w:val="20"/>
          <w:sz w:val="24"/>
          <w:szCs w:val="24"/>
        </w:rPr>
        <w:t>E</w:t>
      </w:r>
      <w:r w:rsidR="00156B19" w:rsidRPr="00C14C4E">
        <w:rPr>
          <w:rFonts w:ascii="Times New Roman" w:eastAsiaTheme="minorHAnsi" w:hAnsi="Times New Roman"/>
          <w:color w:val="767171"/>
          <w:spacing w:val="20"/>
          <w:sz w:val="24"/>
          <w:szCs w:val="24"/>
        </w:rPr>
        <w:t>l 27 de julio de 2023</w:t>
      </w:r>
      <w:r w:rsidR="00BD635F">
        <w:rPr>
          <w:rFonts w:ascii="Times New Roman" w:eastAsiaTheme="minorHAnsi" w:hAnsi="Times New Roman"/>
          <w:color w:val="767171"/>
          <w:spacing w:val="20"/>
          <w:sz w:val="24"/>
          <w:szCs w:val="24"/>
        </w:rPr>
        <w:t xml:space="preserve"> se</w:t>
      </w:r>
      <w:r w:rsidR="00156B19" w:rsidRPr="00C14C4E">
        <w:rPr>
          <w:rFonts w:ascii="Times New Roman" w:eastAsiaTheme="minorHAnsi" w:hAnsi="Times New Roman"/>
          <w:color w:val="767171"/>
          <w:spacing w:val="20"/>
          <w:sz w:val="24"/>
          <w:szCs w:val="24"/>
        </w:rPr>
        <w:t xml:space="preserve"> </w:t>
      </w:r>
      <w:r w:rsidR="00BD635F">
        <w:rPr>
          <w:rFonts w:ascii="Times New Roman" w:eastAsiaTheme="minorHAnsi" w:hAnsi="Times New Roman"/>
          <w:color w:val="767171"/>
          <w:spacing w:val="20"/>
          <w:sz w:val="24"/>
          <w:szCs w:val="24"/>
        </w:rPr>
        <w:t>impartió</w:t>
      </w:r>
      <w:r w:rsidR="00156B19" w:rsidRPr="00C14C4E">
        <w:rPr>
          <w:rFonts w:ascii="Times New Roman" w:eastAsiaTheme="minorHAnsi" w:hAnsi="Times New Roman"/>
          <w:color w:val="767171"/>
          <w:spacing w:val="20"/>
          <w:sz w:val="24"/>
          <w:szCs w:val="24"/>
        </w:rPr>
        <w:t xml:space="preserve"> la conferencia “Desafíos de la Persecución de los Delitos Financieros” en la Pontificia Universidad Católica Madre y Maestra (PUCMM) de la ciudad de </w:t>
      </w:r>
      <w:r w:rsidR="00156B19" w:rsidRPr="00C14C4E">
        <w:rPr>
          <w:rFonts w:ascii="Times New Roman" w:eastAsiaTheme="minorHAnsi" w:hAnsi="Times New Roman"/>
          <w:color w:val="767171"/>
          <w:spacing w:val="20"/>
          <w:sz w:val="24"/>
          <w:szCs w:val="24"/>
        </w:rPr>
        <w:lastRenderedPageBreak/>
        <w:t xml:space="preserve">Santiago de los Caballeros. A </w:t>
      </w:r>
      <w:r w:rsidR="00BD635F">
        <w:rPr>
          <w:rFonts w:ascii="Times New Roman" w:eastAsiaTheme="minorHAnsi" w:hAnsi="Times New Roman"/>
          <w:color w:val="767171"/>
          <w:spacing w:val="20"/>
          <w:sz w:val="24"/>
          <w:szCs w:val="24"/>
        </w:rPr>
        <w:t>dicha</w:t>
      </w:r>
      <w:r w:rsidR="00156B19" w:rsidRPr="00C14C4E">
        <w:rPr>
          <w:rFonts w:ascii="Times New Roman" w:eastAsiaTheme="minorHAnsi" w:hAnsi="Times New Roman"/>
          <w:color w:val="767171"/>
          <w:spacing w:val="20"/>
          <w:sz w:val="24"/>
          <w:szCs w:val="24"/>
        </w:rPr>
        <w:t xml:space="preserve"> actividad académica asistieron más de doscientos noventa (290) personas, entre ellos, estudiantes, académicos y miembros de la comunidad jurídica en general.</w:t>
      </w:r>
    </w:p>
    <w:p w14:paraId="1AFBBB26" w14:textId="0FB0B5F4" w:rsidR="00156B19" w:rsidRPr="009C2DAA" w:rsidRDefault="00A5064A" w:rsidP="00CB4994">
      <w:pPr>
        <w:pStyle w:val="Prrafodelista"/>
        <w:numPr>
          <w:ilvl w:val="0"/>
          <w:numId w:val="20"/>
        </w:numPr>
        <w:spacing w:after="160" w:line="360" w:lineRule="auto"/>
        <w:contextualSpacing w:val="0"/>
        <w:jc w:val="both"/>
        <w:rPr>
          <w:rFonts w:ascii="Times New Roman" w:eastAsiaTheme="minorHAnsi" w:hAnsi="Times New Roman"/>
          <w:color w:val="767171"/>
          <w:spacing w:val="20"/>
          <w:sz w:val="24"/>
          <w:szCs w:val="24"/>
        </w:rPr>
      </w:pPr>
      <w:r w:rsidRPr="00C14C4E">
        <w:rPr>
          <w:rFonts w:ascii="Times New Roman" w:eastAsiaTheme="minorHAnsi" w:hAnsi="Times New Roman"/>
          <w:color w:val="767171"/>
          <w:spacing w:val="20"/>
          <w:sz w:val="24"/>
          <w:szCs w:val="24"/>
        </w:rPr>
        <w:t>E</w:t>
      </w:r>
      <w:r w:rsidR="00156B19" w:rsidRPr="00C14C4E">
        <w:rPr>
          <w:rFonts w:ascii="Times New Roman" w:eastAsiaTheme="minorHAnsi" w:hAnsi="Times New Roman"/>
          <w:color w:val="767171"/>
          <w:spacing w:val="20"/>
          <w:sz w:val="24"/>
          <w:szCs w:val="24"/>
        </w:rPr>
        <w:t xml:space="preserve">l 29 de septiembre de 2023 se realizó el “Segundo Congreso Académico Internacional sobre Derecho de la Regulación Monetaria y Financiera”. Entre los temas tratados en este Congreso están: “Conquistas y estado actual del sistema monetario y financiero”, “Justificación de la necesaria intervención y regulación de la Administración en el sistema”, “Nuevas tendencias y herramientas para el control eficaz de riesgos”, “La protección de datos frente a la digitalización de los servicios bancarios”, y la “Dinamización constante de la inclusión e innovación financiera”. Se destaca la participación de representantes de la Superintendencia Financiera de Colombia, de la Superintendencia de Banca, Seguros y AFP del Perú, del Banco Central de Brasil (participación virtual), y de la Oficina Regional de América Latina y el Caribe de la Alianza para la Inclusión Financiera (AFI). </w:t>
      </w:r>
    </w:p>
    <w:p w14:paraId="5DAD19C3" w14:textId="6D7F8116" w:rsidR="00156B19" w:rsidRDefault="00331ECE" w:rsidP="006B204A">
      <w:pPr>
        <w:spacing w:line="360" w:lineRule="auto"/>
        <w:jc w:val="both"/>
        <w:rPr>
          <w:lang w:val="es-DO"/>
        </w:rPr>
      </w:pPr>
      <w:r>
        <w:rPr>
          <w:lang w:val="es-DO"/>
        </w:rPr>
        <w:t>Por otro lado, e</w:t>
      </w:r>
      <w:r w:rsidR="004D362B">
        <w:rPr>
          <w:lang w:val="es-DO"/>
        </w:rPr>
        <w:t>n el 2023 la Superintendencia de Bancos</w:t>
      </w:r>
      <w:r w:rsidR="002C476E">
        <w:rPr>
          <w:lang w:val="es-DO"/>
        </w:rPr>
        <w:t xml:space="preserve"> </w:t>
      </w:r>
      <w:r w:rsidR="00BD635F">
        <w:rPr>
          <w:lang w:val="es-DO"/>
        </w:rPr>
        <w:t>participó</w:t>
      </w:r>
      <w:r w:rsidR="002C476E">
        <w:rPr>
          <w:lang w:val="es-DO"/>
        </w:rPr>
        <w:t xml:space="preserve"> en </w:t>
      </w:r>
      <w:r w:rsidR="00156B19" w:rsidRPr="00156B19">
        <w:rPr>
          <w:lang w:val="es-DO"/>
        </w:rPr>
        <w:t xml:space="preserve">mesas de trabajo para la elaboración del reglamento de aplicación de la Ley núm. 28-23, sobre Fideicomiso Público. Sobre este reglamento de aplicación, </w:t>
      </w:r>
      <w:r w:rsidR="00E56FFF">
        <w:rPr>
          <w:lang w:val="es-DO"/>
        </w:rPr>
        <w:t>cabe</w:t>
      </w:r>
      <w:r w:rsidR="00156B19" w:rsidRPr="00156B19">
        <w:rPr>
          <w:lang w:val="es-DO"/>
        </w:rPr>
        <w:t xml:space="preserve"> resaltar </w:t>
      </w:r>
      <w:r w:rsidR="00BD635F">
        <w:rPr>
          <w:lang w:val="es-DO"/>
        </w:rPr>
        <w:t xml:space="preserve">que la institución </w:t>
      </w:r>
      <w:r w:rsidR="00C05908">
        <w:rPr>
          <w:lang w:val="es-DO"/>
        </w:rPr>
        <w:t xml:space="preserve">fue </w:t>
      </w:r>
      <w:r w:rsidR="00156B19" w:rsidRPr="00156B19">
        <w:rPr>
          <w:lang w:val="es-DO"/>
        </w:rPr>
        <w:t>designad</w:t>
      </w:r>
      <w:r w:rsidR="00C05908">
        <w:rPr>
          <w:lang w:val="es-DO"/>
        </w:rPr>
        <w:t>a</w:t>
      </w:r>
      <w:r w:rsidR="00156B19" w:rsidRPr="00156B19">
        <w:rPr>
          <w:lang w:val="es-DO"/>
        </w:rPr>
        <w:t xml:space="preserve"> como </w:t>
      </w:r>
      <w:r w:rsidR="00C05908">
        <w:rPr>
          <w:lang w:val="es-DO"/>
        </w:rPr>
        <w:t>coo</w:t>
      </w:r>
      <w:r w:rsidR="00D22715">
        <w:rPr>
          <w:lang w:val="es-DO"/>
        </w:rPr>
        <w:t>rdinadora</w:t>
      </w:r>
      <w:r w:rsidR="00156B19" w:rsidRPr="00156B19">
        <w:rPr>
          <w:lang w:val="es-DO"/>
        </w:rPr>
        <w:t xml:space="preserve"> de cinco (5) de sus ejes, a saber: (i) regulador; (</w:t>
      </w:r>
      <w:proofErr w:type="spellStart"/>
      <w:r w:rsidR="00156B19" w:rsidRPr="00156B19">
        <w:rPr>
          <w:lang w:val="es-DO"/>
        </w:rPr>
        <w:t>ii</w:t>
      </w:r>
      <w:proofErr w:type="spellEnd"/>
      <w:r w:rsidR="00156B19" w:rsidRPr="00156B19">
        <w:rPr>
          <w:lang w:val="es-DO"/>
        </w:rPr>
        <w:t>) liquidación; (</w:t>
      </w:r>
      <w:proofErr w:type="spellStart"/>
      <w:r w:rsidR="00156B19" w:rsidRPr="00156B19">
        <w:rPr>
          <w:lang w:val="es-DO"/>
        </w:rPr>
        <w:t>iii</w:t>
      </w:r>
      <w:proofErr w:type="spellEnd"/>
      <w:r w:rsidR="00156B19" w:rsidRPr="00156B19">
        <w:rPr>
          <w:lang w:val="es-DO"/>
        </w:rPr>
        <w:t>) rendición de cuentas; (</w:t>
      </w:r>
      <w:proofErr w:type="spellStart"/>
      <w:r w:rsidR="00156B19" w:rsidRPr="00156B19">
        <w:rPr>
          <w:lang w:val="es-DO"/>
        </w:rPr>
        <w:t>iv</w:t>
      </w:r>
      <w:proofErr w:type="spellEnd"/>
      <w:r w:rsidR="00156B19" w:rsidRPr="00156B19">
        <w:rPr>
          <w:lang w:val="es-DO"/>
        </w:rPr>
        <w:t>) laboral; y, (v) sancionador. Estos trabajos están en curso a la fecha y se realizan reuniones con los demás miembros de la comisión para su revisión.</w:t>
      </w:r>
    </w:p>
    <w:p w14:paraId="55D7ADC0" w14:textId="77777777" w:rsidR="00CA473C" w:rsidRPr="00156B19" w:rsidRDefault="00CA473C" w:rsidP="006B204A">
      <w:pPr>
        <w:spacing w:line="360" w:lineRule="auto"/>
        <w:jc w:val="both"/>
        <w:rPr>
          <w:lang w:val="es-DO"/>
        </w:rPr>
      </w:pPr>
    </w:p>
    <w:p w14:paraId="3118C3B5" w14:textId="16103E01" w:rsidR="00156B19" w:rsidRPr="00CA473C" w:rsidRDefault="00D4321A" w:rsidP="00CA473C">
      <w:pPr>
        <w:spacing w:line="240" w:lineRule="auto"/>
        <w:rPr>
          <w:b/>
          <w:bCs/>
          <w:lang w:val="es-DO"/>
        </w:rPr>
      </w:pPr>
      <w:bookmarkStart w:id="89" w:name="_Hlk136510005"/>
      <w:r w:rsidRPr="00CA473C">
        <w:rPr>
          <w:b/>
          <w:bCs/>
          <w:lang w:val="es-DO"/>
        </w:rPr>
        <w:lastRenderedPageBreak/>
        <w:t xml:space="preserve">Sobre el </w:t>
      </w:r>
      <w:r w:rsidR="00156B19" w:rsidRPr="00CA473C">
        <w:rPr>
          <w:b/>
          <w:bCs/>
          <w:lang w:val="es-DO"/>
        </w:rPr>
        <w:t xml:space="preserve">Sistema de Gestión Antisoborno </w:t>
      </w:r>
      <w:bookmarkEnd w:id="89"/>
      <w:r w:rsidR="00156B19" w:rsidRPr="00CA473C">
        <w:rPr>
          <w:b/>
          <w:bCs/>
          <w:lang w:val="es-DO"/>
        </w:rPr>
        <w:t xml:space="preserve">y </w:t>
      </w:r>
      <w:bookmarkStart w:id="90" w:name="_Hlk136510010"/>
      <w:r w:rsidR="00156B19" w:rsidRPr="00CA473C">
        <w:rPr>
          <w:b/>
          <w:bCs/>
          <w:lang w:val="es-DO"/>
        </w:rPr>
        <w:t>Adecuación en Materia de Cumplimiento</w:t>
      </w:r>
    </w:p>
    <w:bookmarkEnd w:id="90"/>
    <w:p w14:paraId="0DC089B5" w14:textId="0908A669" w:rsidR="00156B19" w:rsidRPr="00156B19" w:rsidRDefault="00156B19" w:rsidP="006B204A">
      <w:pPr>
        <w:spacing w:line="360" w:lineRule="auto"/>
        <w:jc w:val="both"/>
        <w:rPr>
          <w:lang w:val="es-DO"/>
        </w:rPr>
      </w:pPr>
      <w:r w:rsidRPr="00156B19">
        <w:rPr>
          <w:lang w:val="es-DO"/>
        </w:rPr>
        <w:t>Con el objetivo de</w:t>
      </w:r>
      <w:r w:rsidR="008F06B7">
        <w:rPr>
          <w:lang w:val="es-DO"/>
        </w:rPr>
        <w:t xml:space="preserve"> </w:t>
      </w:r>
      <w:r w:rsidR="00222D6C">
        <w:rPr>
          <w:lang w:val="es-DO"/>
        </w:rPr>
        <w:t>minimizar</w:t>
      </w:r>
      <w:r w:rsidR="00B17ACE">
        <w:rPr>
          <w:lang w:val="es-DO"/>
        </w:rPr>
        <w:t xml:space="preserve"> </w:t>
      </w:r>
      <w:r w:rsidR="007A2A4B">
        <w:rPr>
          <w:lang w:val="es-DO"/>
        </w:rPr>
        <w:t xml:space="preserve">la materialización de cualquier </w:t>
      </w:r>
      <w:r w:rsidR="00B17ACE">
        <w:rPr>
          <w:lang w:val="es-DO"/>
        </w:rPr>
        <w:t>riesgo de soborno</w:t>
      </w:r>
      <w:r w:rsidR="001D54B7">
        <w:rPr>
          <w:lang w:val="es-DO"/>
        </w:rPr>
        <w:t xml:space="preserve"> </w:t>
      </w:r>
      <w:r w:rsidR="00266224">
        <w:rPr>
          <w:lang w:val="es-DO"/>
        </w:rPr>
        <w:t xml:space="preserve">durante el </w:t>
      </w:r>
      <w:r w:rsidR="00C968C3">
        <w:rPr>
          <w:lang w:val="es-DO"/>
        </w:rPr>
        <w:t>ejercicio de sus funciones</w:t>
      </w:r>
      <w:r w:rsidRPr="00156B19">
        <w:rPr>
          <w:lang w:val="es-DO"/>
        </w:rPr>
        <w:t xml:space="preserve"> que la </w:t>
      </w:r>
      <w:r w:rsidR="00F25AC5">
        <w:rPr>
          <w:lang w:val="es-DO"/>
        </w:rPr>
        <w:t xml:space="preserve">Superintendencia de Bancos </w:t>
      </w:r>
      <w:r w:rsidR="006A50C5">
        <w:rPr>
          <w:lang w:val="es-DO"/>
        </w:rPr>
        <w:t xml:space="preserve">llevó a cabo pasos importantes para implementar </w:t>
      </w:r>
      <w:r w:rsidR="0058195D">
        <w:rPr>
          <w:lang w:val="es-DO"/>
        </w:rPr>
        <w:t xml:space="preserve">un </w:t>
      </w:r>
      <w:r w:rsidRPr="00156B19">
        <w:rPr>
          <w:lang w:val="es-DO"/>
        </w:rPr>
        <w:t xml:space="preserve">Sistema de Gestión Antisoborno (SGA) </w:t>
      </w:r>
      <w:r w:rsidR="006A50C5">
        <w:rPr>
          <w:lang w:val="es-DO"/>
        </w:rPr>
        <w:t>apegad</w:t>
      </w:r>
      <w:r w:rsidR="009749A8">
        <w:rPr>
          <w:lang w:val="es-DO"/>
        </w:rPr>
        <w:t xml:space="preserve">o al estándar internacional </w:t>
      </w:r>
      <w:r w:rsidR="009749A8" w:rsidRPr="00156B19">
        <w:rPr>
          <w:lang w:val="es-DO"/>
        </w:rPr>
        <w:t>ISO 37001:2016</w:t>
      </w:r>
      <w:r w:rsidR="00D15859">
        <w:rPr>
          <w:lang w:val="es-DO"/>
        </w:rPr>
        <w:t>.</w:t>
      </w:r>
      <w:r w:rsidR="00473CF3">
        <w:rPr>
          <w:lang w:val="es-DO"/>
        </w:rPr>
        <w:t xml:space="preserve"> </w:t>
      </w:r>
      <w:r w:rsidR="00AE54CD">
        <w:rPr>
          <w:lang w:val="es-DO"/>
        </w:rPr>
        <w:t>En este sentido, se han habilitado</w:t>
      </w:r>
      <w:r w:rsidRPr="00156B19">
        <w:rPr>
          <w:lang w:val="es-DO"/>
        </w:rPr>
        <w:t xml:space="preserve"> de canales de denuncias de soborno</w:t>
      </w:r>
      <w:r w:rsidR="000C5888">
        <w:rPr>
          <w:lang w:val="es-DO"/>
        </w:rPr>
        <w:t xml:space="preserve"> </w:t>
      </w:r>
      <w:r w:rsidR="008950CB">
        <w:rPr>
          <w:lang w:val="es-DO"/>
        </w:rPr>
        <w:t>y se han readecuado</w:t>
      </w:r>
      <w:r w:rsidRPr="00156B19">
        <w:rPr>
          <w:lang w:val="es-DO"/>
        </w:rPr>
        <w:t xml:space="preserve"> procedimientos</w:t>
      </w:r>
      <w:r w:rsidR="008950CB">
        <w:rPr>
          <w:lang w:val="es-DO"/>
        </w:rPr>
        <w:t>,</w:t>
      </w:r>
      <w:r w:rsidRPr="00156B19">
        <w:rPr>
          <w:lang w:val="es-DO"/>
        </w:rPr>
        <w:t xml:space="preserve"> políticas </w:t>
      </w:r>
      <w:r w:rsidR="008950CB">
        <w:rPr>
          <w:lang w:val="es-DO"/>
        </w:rPr>
        <w:t xml:space="preserve">y la estructura </w:t>
      </w:r>
      <w:r w:rsidR="007C5A83">
        <w:rPr>
          <w:lang w:val="es-DO"/>
        </w:rPr>
        <w:t>organizacional</w:t>
      </w:r>
      <w:r w:rsidRPr="00156B19">
        <w:rPr>
          <w:lang w:val="es-DO"/>
        </w:rPr>
        <w:t xml:space="preserve">. En consecuencia, en septiembre del año 2023 se llevó a cabo satisfactoriamente la auditoría interna del Sistema de Gestión Antisoborno y la Superintendencia de Bancos se encuentra preparada para la primera auditoría de certificación. </w:t>
      </w:r>
    </w:p>
    <w:p w14:paraId="182437FE" w14:textId="18C8B0F0" w:rsidR="00156B19" w:rsidRPr="001E280B" w:rsidRDefault="00156B19" w:rsidP="001E280B">
      <w:pPr>
        <w:spacing w:line="360" w:lineRule="auto"/>
        <w:rPr>
          <w:b/>
          <w:bCs/>
          <w:lang w:val="es-DO"/>
        </w:rPr>
      </w:pPr>
      <w:r w:rsidRPr="009C2DAA">
        <w:rPr>
          <w:b/>
          <w:bCs/>
          <w:lang w:val="es-DO"/>
        </w:rPr>
        <w:t>Gestión legal efectiva</w:t>
      </w:r>
    </w:p>
    <w:p w14:paraId="406B53DA" w14:textId="3CCF4B9E" w:rsidR="00156B19" w:rsidRPr="00156B19" w:rsidRDefault="00A22469" w:rsidP="006B204A">
      <w:pPr>
        <w:spacing w:line="360" w:lineRule="auto"/>
        <w:jc w:val="both"/>
        <w:rPr>
          <w:lang w:val="es-DO"/>
        </w:rPr>
      </w:pPr>
      <w:r>
        <w:rPr>
          <w:lang w:val="es-DO"/>
        </w:rPr>
        <w:t>En el 2023 se han</w:t>
      </w:r>
      <w:r w:rsidR="00156B19" w:rsidRPr="00156B19">
        <w:rPr>
          <w:lang w:val="es-DO"/>
        </w:rPr>
        <w:t xml:space="preserve"> gestion</w:t>
      </w:r>
      <w:r>
        <w:rPr>
          <w:lang w:val="es-DO"/>
        </w:rPr>
        <w:t>ado</w:t>
      </w:r>
      <w:r w:rsidR="00156B19" w:rsidRPr="00156B19">
        <w:rPr>
          <w:lang w:val="es-DO"/>
        </w:rPr>
        <w:t xml:space="preserve"> satisfactoriamente 772 solicitudes relacionadas al buen funcionamiento, gestión y correcta aplicación de la normativa vigente de las entidades de intermediación financiera. Estas solicitudes fueron atendidas en un 100%.</w:t>
      </w:r>
    </w:p>
    <w:p w14:paraId="68D9523E" w14:textId="50B3B011" w:rsidR="00E52ED4" w:rsidRPr="009C2DAA" w:rsidRDefault="00D176AC" w:rsidP="001E280B">
      <w:pPr>
        <w:pStyle w:val="NormalWeb"/>
        <w:spacing w:before="0" w:beforeAutospacing="0" w:after="160" w:afterAutospacing="0" w:line="360" w:lineRule="auto"/>
        <w:rPr>
          <w:rFonts w:eastAsia="Calibri"/>
          <w:b/>
          <w:bCs/>
          <w:color w:val="767171"/>
          <w:spacing w:val="20"/>
          <w:lang w:val="es-ES" w:eastAsia="en-US"/>
        </w:rPr>
      </w:pPr>
      <w:r w:rsidRPr="009C2DAA">
        <w:rPr>
          <w:rFonts w:eastAsia="Calibri"/>
          <w:b/>
          <w:bCs/>
          <w:color w:val="767171"/>
          <w:spacing w:val="20"/>
          <w:lang w:val="es-ES" w:eastAsia="en-US"/>
        </w:rPr>
        <w:t>Relaciones Interinstitucionales</w:t>
      </w:r>
    </w:p>
    <w:p w14:paraId="6E10AEBF" w14:textId="4B6EA62E" w:rsidR="00D176AC" w:rsidRPr="009C2DAA" w:rsidRDefault="00D176AC" w:rsidP="006B204A">
      <w:pPr>
        <w:pStyle w:val="NormalWeb"/>
        <w:spacing w:before="0" w:beforeAutospacing="0" w:after="160" w:afterAutospacing="0" w:line="360" w:lineRule="auto"/>
        <w:jc w:val="both"/>
        <w:rPr>
          <w:rFonts w:eastAsia="Calibri"/>
          <w:color w:val="767171"/>
          <w:spacing w:val="20"/>
          <w:lang w:val="es-ES" w:eastAsia="en-US"/>
        </w:rPr>
      </w:pPr>
      <w:r w:rsidRPr="009C2DAA">
        <w:rPr>
          <w:rFonts w:eastAsia="Calibri"/>
          <w:color w:val="767171"/>
          <w:spacing w:val="20"/>
          <w:lang w:val="es-ES" w:eastAsia="en-US"/>
        </w:rPr>
        <w:t>La S</w:t>
      </w:r>
      <w:r w:rsidR="009C2DAA" w:rsidRPr="009C2DAA">
        <w:rPr>
          <w:rFonts w:eastAsia="Calibri"/>
          <w:color w:val="767171"/>
          <w:spacing w:val="20"/>
          <w:lang w:val="es-ES" w:eastAsia="en-US"/>
        </w:rPr>
        <w:t xml:space="preserve">uperintendencia de </w:t>
      </w:r>
      <w:r w:rsidRPr="009C2DAA">
        <w:rPr>
          <w:rFonts w:eastAsia="Calibri"/>
          <w:color w:val="767171"/>
          <w:spacing w:val="20"/>
          <w:lang w:val="es-ES" w:eastAsia="en-US"/>
        </w:rPr>
        <w:t>B</w:t>
      </w:r>
      <w:r w:rsidR="009C2DAA" w:rsidRPr="009C2DAA">
        <w:rPr>
          <w:rFonts w:eastAsia="Calibri"/>
          <w:color w:val="767171"/>
          <w:spacing w:val="20"/>
          <w:lang w:val="es-ES" w:eastAsia="en-US"/>
        </w:rPr>
        <w:t>ancos</w:t>
      </w:r>
      <w:r w:rsidRPr="009C2DAA">
        <w:rPr>
          <w:rFonts w:eastAsia="Calibri"/>
          <w:color w:val="767171"/>
          <w:spacing w:val="20"/>
          <w:lang w:val="es-ES" w:eastAsia="en-US"/>
        </w:rPr>
        <w:t xml:space="preserve"> ha fortalecido sus relaciones internacionales con instituciones homólogas de la región, estrechando lazos de colaboración </w:t>
      </w:r>
      <w:r w:rsidR="00CF3DE5">
        <w:rPr>
          <w:rFonts w:eastAsia="Calibri"/>
          <w:color w:val="767171"/>
          <w:spacing w:val="20"/>
          <w:lang w:val="es-ES" w:eastAsia="en-US"/>
        </w:rPr>
        <w:t xml:space="preserve">y </w:t>
      </w:r>
      <w:r w:rsidR="00805018">
        <w:rPr>
          <w:rFonts w:eastAsia="Calibri"/>
          <w:color w:val="767171"/>
          <w:spacing w:val="20"/>
          <w:lang w:val="es-ES" w:eastAsia="en-US"/>
        </w:rPr>
        <w:t>generando</w:t>
      </w:r>
      <w:r w:rsidR="00AF60D9">
        <w:rPr>
          <w:rFonts w:eastAsia="Calibri"/>
          <w:color w:val="767171"/>
          <w:spacing w:val="20"/>
          <w:lang w:val="es-ES" w:eastAsia="en-US"/>
        </w:rPr>
        <w:t xml:space="preserve"> una</w:t>
      </w:r>
      <w:r w:rsidRPr="009C2DAA">
        <w:rPr>
          <w:rFonts w:eastAsia="Calibri"/>
          <w:color w:val="767171"/>
          <w:spacing w:val="20"/>
          <w:lang w:val="es-ES" w:eastAsia="en-US"/>
        </w:rPr>
        <w:t xml:space="preserve"> agenda de desarrollo común para el fortalecimiento de las capacidades técnicas y buenas prácticas en la supervisión bancaria.  </w:t>
      </w:r>
    </w:p>
    <w:p w14:paraId="4A806CA6" w14:textId="558D1A37" w:rsidR="00A30161" w:rsidRPr="009C2DAA" w:rsidRDefault="00D176AC" w:rsidP="006B204A">
      <w:pPr>
        <w:pStyle w:val="NormalWeb"/>
        <w:spacing w:before="0" w:beforeAutospacing="0" w:after="160" w:afterAutospacing="0" w:line="360" w:lineRule="auto"/>
        <w:jc w:val="both"/>
        <w:rPr>
          <w:rFonts w:eastAsia="Calibri"/>
          <w:color w:val="767171"/>
          <w:spacing w:val="20"/>
          <w:lang w:val="es-ES" w:eastAsia="en-US"/>
        </w:rPr>
      </w:pPr>
      <w:r w:rsidRPr="009C2DAA">
        <w:rPr>
          <w:rFonts w:eastAsia="Calibri"/>
          <w:color w:val="767171"/>
          <w:spacing w:val="20"/>
          <w:lang w:val="es-ES" w:eastAsia="en-US"/>
        </w:rPr>
        <w:t xml:space="preserve">Durante el año 2023, la </w:t>
      </w:r>
      <w:r w:rsidR="00C61504" w:rsidRPr="00C61504">
        <w:rPr>
          <w:rFonts w:eastAsia="Calibri"/>
          <w:color w:val="767171"/>
          <w:spacing w:val="20"/>
          <w:lang w:val="es-ES" w:eastAsia="en-US"/>
        </w:rPr>
        <w:t>Superintendencia de Bancos</w:t>
      </w:r>
      <w:r w:rsidR="00C61504">
        <w:rPr>
          <w:rFonts w:eastAsia="Calibri"/>
          <w:color w:val="767171"/>
          <w:spacing w:val="20"/>
          <w:lang w:val="es-ES" w:eastAsia="en-US"/>
        </w:rPr>
        <w:t xml:space="preserve"> </w:t>
      </w:r>
      <w:r w:rsidRPr="009C2DAA">
        <w:rPr>
          <w:rFonts w:eastAsia="Calibri"/>
          <w:color w:val="767171"/>
          <w:spacing w:val="20"/>
          <w:lang w:val="es-ES" w:eastAsia="en-US"/>
        </w:rPr>
        <w:t>participó de forma activa en los comités y mesas de trabajo de organismos multilaterales como son la Asociación de Supervisores Bancarios de las Américas (ASBA)</w:t>
      </w:r>
      <w:r w:rsidR="00805018">
        <w:rPr>
          <w:rFonts w:eastAsia="Calibri"/>
          <w:color w:val="767171"/>
          <w:spacing w:val="20"/>
          <w:lang w:val="es-ES" w:eastAsia="en-US"/>
        </w:rPr>
        <w:t>, el</w:t>
      </w:r>
      <w:r w:rsidRPr="009C2DAA">
        <w:rPr>
          <w:rFonts w:eastAsia="Calibri"/>
          <w:color w:val="767171"/>
          <w:spacing w:val="20"/>
          <w:lang w:val="es-ES" w:eastAsia="en-US"/>
        </w:rPr>
        <w:t xml:space="preserve"> Consejo Centroamericano de </w:t>
      </w:r>
      <w:r w:rsidRPr="009C2DAA">
        <w:rPr>
          <w:rFonts w:eastAsia="Calibri"/>
          <w:color w:val="767171"/>
          <w:spacing w:val="20"/>
          <w:lang w:val="es-ES" w:eastAsia="en-US"/>
        </w:rPr>
        <w:lastRenderedPageBreak/>
        <w:t xml:space="preserve">Superintendentes de Bancos, de Seguros y otras Instituciones Financieras (CCSBSO), la Alianza para la inclusión Financiera, entre otros. La </w:t>
      </w:r>
      <w:r w:rsidR="00C61504" w:rsidRPr="00C61504">
        <w:rPr>
          <w:rFonts w:eastAsia="Calibri"/>
          <w:color w:val="767171"/>
          <w:spacing w:val="20"/>
          <w:lang w:val="es-ES" w:eastAsia="en-US"/>
        </w:rPr>
        <w:t>Superintendencia de Bancos</w:t>
      </w:r>
      <w:r w:rsidR="00C61504">
        <w:rPr>
          <w:rFonts w:eastAsia="Calibri"/>
          <w:color w:val="767171"/>
          <w:spacing w:val="20"/>
          <w:lang w:val="es-ES" w:eastAsia="en-US"/>
        </w:rPr>
        <w:t xml:space="preserve"> </w:t>
      </w:r>
      <w:r w:rsidRPr="009C2DAA">
        <w:rPr>
          <w:rFonts w:eastAsia="Calibri"/>
          <w:color w:val="767171"/>
          <w:spacing w:val="20"/>
          <w:lang w:val="es-ES" w:eastAsia="en-US"/>
        </w:rPr>
        <w:t xml:space="preserve">asumió un liderazgo destacado en estos </w:t>
      </w:r>
      <w:r w:rsidR="00B743A0">
        <w:rPr>
          <w:rFonts w:eastAsia="Calibri"/>
          <w:color w:val="767171"/>
          <w:spacing w:val="20"/>
          <w:lang w:val="es-ES" w:eastAsia="en-US"/>
        </w:rPr>
        <w:t>espacios</w:t>
      </w:r>
      <w:r w:rsidRPr="009C2DAA">
        <w:rPr>
          <w:rFonts w:eastAsia="Calibri"/>
          <w:color w:val="767171"/>
          <w:spacing w:val="20"/>
          <w:lang w:val="es-ES" w:eastAsia="en-US"/>
        </w:rPr>
        <w:t>, siendo inclusive sede de algunos de sus encuentros, entre los que se destacan:</w:t>
      </w:r>
    </w:p>
    <w:p w14:paraId="12120029" w14:textId="5B883E42" w:rsidR="00023CE7" w:rsidRPr="00D66778" w:rsidRDefault="00023CE7" w:rsidP="006B204A">
      <w:pPr>
        <w:pStyle w:val="paragraph"/>
        <w:spacing w:line="360" w:lineRule="auto"/>
        <w:ind w:left="567"/>
        <w:jc w:val="both"/>
        <w:textAlignment w:val="baseline"/>
        <w:rPr>
          <w:rFonts w:eastAsia="Calibri"/>
          <w:color w:val="767171"/>
          <w:spacing w:val="20"/>
          <w:lang w:val="es-ES" w:eastAsia="en-US"/>
        </w:rPr>
      </w:pPr>
      <w:r w:rsidRPr="00D66778">
        <w:rPr>
          <w:rFonts w:eastAsia="Calibri"/>
          <w:b/>
          <w:bCs/>
          <w:color w:val="808080" w:themeColor="background1" w:themeShade="80"/>
          <w:lang w:eastAsia="en-US"/>
        </w:rPr>
        <w:t>1.</w:t>
      </w:r>
      <w:r w:rsidRPr="00D66778">
        <w:rPr>
          <w:rFonts w:eastAsia="Calibri"/>
          <w:color w:val="808080" w:themeColor="background1" w:themeShade="80"/>
          <w:lang w:eastAsia="en-US"/>
        </w:rPr>
        <w:t xml:space="preserve"> </w:t>
      </w:r>
      <w:r w:rsidRPr="00D66778">
        <w:rPr>
          <w:rFonts w:eastAsia="Calibri"/>
          <w:b/>
          <w:bCs/>
          <w:color w:val="767171"/>
          <w:spacing w:val="20"/>
          <w:lang w:val="es-ES" w:eastAsia="en-US"/>
        </w:rPr>
        <w:t>Reunión del Comité de estándares</w:t>
      </w:r>
      <w:r w:rsidRPr="00D66778">
        <w:rPr>
          <w:rFonts w:eastAsia="Calibri"/>
          <w:color w:val="767171"/>
          <w:spacing w:val="20"/>
          <w:lang w:val="es-ES" w:eastAsia="en-US"/>
        </w:rPr>
        <w:t>. La Superintendencia de Bancos coordinó este encuentro</w:t>
      </w:r>
      <w:r w:rsidR="00FF50E5">
        <w:rPr>
          <w:rFonts w:eastAsia="Calibri"/>
          <w:color w:val="767171"/>
          <w:spacing w:val="20"/>
          <w:lang w:val="es-ES" w:eastAsia="en-US"/>
        </w:rPr>
        <w:t>,</w:t>
      </w:r>
      <w:r w:rsidRPr="00D66778">
        <w:rPr>
          <w:rFonts w:eastAsia="Calibri"/>
          <w:color w:val="767171"/>
          <w:spacing w:val="20"/>
          <w:lang w:val="es-ES" w:eastAsia="en-US"/>
        </w:rPr>
        <w:t xml:space="preserve"> celebrado en Santo Domingo, República Dominicana entre 29 al 31 de marzo</w:t>
      </w:r>
      <w:r w:rsidR="00FF50E5">
        <w:rPr>
          <w:rFonts w:eastAsia="Calibri"/>
          <w:color w:val="767171"/>
          <w:spacing w:val="20"/>
          <w:lang w:val="es-ES" w:eastAsia="en-US"/>
        </w:rPr>
        <w:t>,</w:t>
      </w:r>
      <w:r w:rsidR="00315F0D">
        <w:rPr>
          <w:rFonts w:eastAsia="Calibri"/>
          <w:color w:val="767171"/>
          <w:spacing w:val="20"/>
          <w:lang w:val="es-ES" w:eastAsia="en-US"/>
        </w:rPr>
        <w:t xml:space="preserve"> con el objetivo de</w:t>
      </w:r>
      <w:r w:rsidRPr="00D66778">
        <w:rPr>
          <w:rFonts w:eastAsia="Calibri"/>
          <w:color w:val="767171"/>
          <w:spacing w:val="20"/>
          <w:lang w:val="es-ES" w:eastAsia="en-US"/>
        </w:rPr>
        <w:t xml:space="preserve"> llev</w:t>
      </w:r>
      <w:r w:rsidR="00315F0D">
        <w:rPr>
          <w:rFonts w:eastAsia="Calibri"/>
          <w:color w:val="767171"/>
          <w:spacing w:val="20"/>
          <w:lang w:val="es-ES" w:eastAsia="en-US"/>
        </w:rPr>
        <w:t>ar</w:t>
      </w:r>
      <w:r w:rsidRPr="00D66778">
        <w:rPr>
          <w:rFonts w:eastAsia="Calibri"/>
          <w:color w:val="767171"/>
          <w:spacing w:val="20"/>
          <w:lang w:val="es-ES" w:eastAsia="en-US"/>
        </w:rPr>
        <w:t xml:space="preserve"> a cabo las capacitaciones </w:t>
      </w:r>
      <w:r w:rsidR="00315F0D">
        <w:rPr>
          <w:rFonts w:eastAsia="Calibri"/>
          <w:color w:val="767171"/>
          <w:spacing w:val="20"/>
          <w:lang w:val="es-ES" w:eastAsia="en-US"/>
        </w:rPr>
        <w:t>de</w:t>
      </w:r>
      <w:r w:rsidRPr="00D66778">
        <w:rPr>
          <w:rFonts w:eastAsia="Calibri"/>
          <w:color w:val="767171"/>
          <w:spacing w:val="20"/>
          <w:lang w:val="es-ES" w:eastAsia="en-US"/>
        </w:rPr>
        <w:t xml:space="preserve"> implementación de</w:t>
      </w:r>
      <w:r w:rsidR="00315F0D">
        <w:rPr>
          <w:rFonts w:eastAsia="Calibri"/>
          <w:color w:val="767171"/>
          <w:spacing w:val="20"/>
          <w:lang w:val="es-ES" w:eastAsia="en-US"/>
        </w:rPr>
        <w:t xml:space="preserve"> </w:t>
      </w:r>
      <w:r w:rsidRPr="00D66778">
        <w:rPr>
          <w:rFonts w:eastAsia="Calibri"/>
          <w:color w:val="767171"/>
          <w:spacing w:val="20"/>
          <w:lang w:val="es-ES" w:eastAsia="en-US"/>
        </w:rPr>
        <w:t>Basilea II/III</w:t>
      </w:r>
      <w:r w:rsidR="00F1767C">
        <w:rPr>
          <w:rFonts w:eastAsia="Calibri"/>
          <w:color w:val="767171"/>
          <w:spacing w:val="20"/>
          <w:lang w:val="es-ES" w:eastAsia="en-US"/>
        </w:rPr>
        <w:t>, “</w:t>
      </w:r>
      <w:r w:rsidR="0026267C">
        <w:rPr>
          <w:rFonts w:eastAsia="Calibri"/>
          <w:color w:val="767171"/>
          <w:spacing w:val="20"/>
          <w:lang w:val="es-ES" w:eastAsia="en-US"/>
        </w:rPr>
        <w:t>E</w:t>
      </w:r>
      <w:r w:rsidRPr="00D66778">
        <w:rPr>
          <w:rFonts w:eastAsia="Calibri"/>
          <w:color w:val="767171"/>
          <w:spacing w:val="20"/>
          <w:lang w:val="es-ES" w:eastAsia="en-US"/>
        </w:rPr>
        <w:t>stimación del capital mínimo por riesgo de crédito, mercado y operacional</w:t>
      </w:r>
      <w:r w:rsidR="00F1767C">
        <w:rPr>
          <w:rFonts w:eastAsia="Calibri"/>
          <w:color w:val="767171"/>
          <w:spacing w:val="20"/>
          <w:lang w:val="es-ES" w:eastAsia="en-US"/>
        </w:rPr>
        <w:t>” y “</w:t>
      </w:r>
      <w:r w:rsidRPr="00D66778">
        <w:rPr>
          <w:rFonts w:eastAsia="Calibri"/>
          <w:color w:val="767171"/>
          <w:spacing w:val="20"/>
          <w:lang w:val="es-ES" w:eastAsia="en-US"/>
        </w:rPr>
        <w:t>Situación actual en Centroamérica en materia de marco de capitales</w:t>
      </w:r>
      <w:r w:rsidR="00F1767C">
        <w:rPr>
          <w:rFonts w:eastAsia="Calibri"/>
          <w:color w:val="767171"/>
          <w:spacing w:val="20"/>
          <w:lang w:val="es-ES" w:eastAsia="en-US"/>
        </w:rPr>
        <w:t>”</w:t>
      </w:r>
      <w:r w:rsidRPr="00D66778">
        <w:rPr>
          <w:rFonts w:eastAsia="Calibri"/>
          <w:color w:val="767171"/>
          <w:spacing w:val="20"/>
          <w:lang w:val="es-ES" w:eastAsia="en-US"/>
        </w:rPr>
        <w:t>.</w:t>
      </w:r>
    </w:p>
    <w:p w14:paraId="1D51846B" w14:textId="63C4177C" w:rsidR="00023CE7" w:rsidRDefault="00023CE7" w:rsidP="006B204A">
      <w:pPr>
        <w:pStyle w:val="paragraph"/>
        <w:spacing w:line="360" w:lineRule="auto"/>
        <w:ind w:left="567"/>
        <w:jc w:val="both"/>
        <w:textAlignment w:val="baseline"/>
        <w:rPr>
          <w:rFonts w:eastAsia="Calibri"/>
          <w:color w:val="767171"/>
          <w:spacing w:val="20"/>
          <w:lang w:val="es-ES" w:eastAsia="en-US"/>
        </w:rPr>
      </w:pPr>
      <w:r w:rsidRPr="00D66778">
        <w:rPr>
          <w:rFonts w:eastAsia="Calibri"/>
          <w:b/>
          <w:bCs/>
          <w:color w:val="767171"/>
          <w:spacing w:val="20"/>
          <w:lang w:val="es-ES" w:eastAsia="en-US"/>
        </w:rPr>
        <w:t>2. Reunión del Comité de Normas Contables y Financieras del C</w:t>
      </w:r>
      <w:r w:rsidR="00A32E13" w:rsidRPr="00D66778">
        <w:rPr>
          <w:rFonts w:eastAsia="Calibri"/>
          <w:b/>
          <w:bCs/>
          <w:color w:val="767171"/>
          <w:spacing w:val="20"/>
          <w:lang w:val="es-ES" w:eastAsia="en-US"/>
        </w:rPr>
        <w:t xml:space="preserve">onsejo </w:t>
      </w:r>
      <w:r w:rsidRPr="00D66778">
        <w:rPr>
          <w:rFonts w:eastAsia="Calibri"/>
          <w:b/>
          <w:bCs/>
          <w:color w:val="767171"/>
          <w:spacing w:val="20"/>
          <w:lang w:val="es-ES" w:eastAsia="en-US"/>
        </w:rPr>
        <w:t>C</w:t>
      </w:r>
      <w:r w:rsidR="00A32E13" w:rsidRPr="00D66778">
        <w:rPr>
          <w:rFonts w:eastAsia="Calibri"/>
          <w:b/>
          <w:bCs/>
          <w:color w:val="767171"/>
          <w:spacing w:val="20"/>
          <w:lang w:val="es-ES" w:eastAsia="en-US"/>
        </w:rPr>
        <w:t xml:space="preserve">entroamericano de </w:t>
      </w:r>
      <w:r w:rsidRPr="00D66778">
        <w:rPr>
          <w:rFonts w:eastAsia="Calibri"/>
          <w:b/>
          <w:bCs/>
          <w:color w:val="767171"/>
          <w:spacing w:val="20"/>
          <w:lang w:val="es-ES" w:eastAsia="en-US"/>
        </w:rPr>
        <w:t>S</w:t>
      </w:r>
      <w:r w:rsidR="00A32E13" w:rsidRPr="00D66778">
        <w:rPr>
          <w:rFonts w:eastAsia="Calibri"/>
          <w:b/>
          <w:bCs/>
          <w:color w:val="767171"/>
          <w:spacing w:val="20"/>
          <w:lang w:val="es-ES" w:eastAsia="en-US"/>
        </w:rPr>
        <w:t>uperin</w:t>
      </w:r>
      <w:r w:rsidR="00BB3648" w:rsidRPr="00D66778">
        <w:rPr>
          <w:rFonts w:eastAsia="Calibri"/>
          <w:b/>
          <w:bCs/>
          <w:color w:val="767171"/>
          <w:spacing w:val="20"/>
          <w:lang w:val="es-ES" w:eastAsia="en-US"/>
        </w:rPr>
        <w:t>ten</w:t>
      </w:r>
      <w:r w:rsidR="00A32E13" w:rsidRPr="00D66778">
        <w:rPr>
          <w:rFonts w:eastAsia="Calibri"/>
          <w:b/>
          <w:bCs/>
          <w:color w:val="767171"/>
          <w:spacing w:val="20"/>
          <w:lang w:val="es-ES" w:eastAsia="en-US"/>
        </w:rPr>
        <w:t>de</w:t>
      </w:r>
      <w:r w:rsidR="00BB3648" w:rsidRPr="00D66778">
        <w:rPr>
          <w:rFonts w:eastAsia="Calibri"/>
          <w:b/>
          <w:bCs/>
          <w:color w:val="767171"/>
          <w:spacing w:val="20"/>
          <w:lang w:val="es-ES" w:eastAsia="en-US"/>
        </w:rPr>
        <w:t>nte</w:t>
      </w:r>
      <w:r w:rsidR="00A32E13" w:rsidRPr="00D66778">
        <w:rPr>
          <w:rFonts w:eastAsia="Calibri"/>
          <w:b/>
          <w:bCs/>
          <w:color w:val="767171"/>
          <w:spacing w:val="20"/>
          <w:lang w:val="es-ES" w:eastAsia="en-US"/>
        </w:rPr>
        <w:t xml:space="preserve">s de </w:t>
      </w:r>
      <w:r w:rsidRPr="00D66778">
        <w:rPr>
          <w:rFonts w:eastAsia="Calibri"/>
          <w:b/>
          <w:bCs/>
          <w:color w:val="767171"/>
          <w:spacing w:val="20"/>
          <w:lang w:val="es-ES" w:eastAsia="en-US"/>
        </w:rPr>
        <w:t>B</w:t>
      </w:r>
      <w:r w:rsidR="00BB3648" w:rsidRPr="00D66778">
        <w:rPr>
          <w:rFonts w:eastAsia="Calibri"/>
          <w:b/>
          <w:bCs/>
          <w:color w:val="767171"/>
          <w:spacing w:val="20"/>
          <w:lang w:val="es-ES" w:eastAsia="en-US"/>
        </w:rPr>
        <w:t xml:space="preserve">ancos </w:t>
      </w:r>
      <w:r w:rsidR="00F63875" w:rsidRPr="00D66778">
        <w:rPr>
          <w:rFonts w:eastAsia="Calibri"/>
          <w:b/>
          <w:bCs/>
          <w:color w:val="767171"/>
          <w:spacing w:val="20"/>
          <w:lang w:val="es-ES" w:eastAsia="en-US"/>
        </w:rPr>
        <w:t xml:space="preserve">y de </w:t>
      </w:r>
      <w:r w:rsidRPr="00D66778">
        <w:rPr>
          <w:rFonts w:eastAsia="Calibri"/>
          <w:b/>
          <w:bCs/>
          <w:color w:val="767171"/>
          <w:spacing w:val="20"/>
          <w:lang w:val="es-ES" w:eastAsia="en-US"/>
        </w:rPr>
        <w:t>O</w:t>
      </w:r>
      <w:r w:rsidR="00F63875" w:rsidRPr="00D66778">
        <w:rPr>
          <w:rFonts w:eastAsia="Calibri"/>
          <w:b/>
          <w:bCs/>
          <w:color w:val="767171"/>
          <w:spacing w:val="20"/>
          <w:lang w:val="es-ES" w:eastAsia="en-US"/>
        </w:rPr>
        <w:t xml:space="preserve">tras </w:t>
      </w:r>
      <w:r w:rsidR="00D66778" w:rsidRPr="00D66778">
        <w:rPr>
          <w:rFonts w:eastAsia="Calibri"/>
          <w:b/>
          <w:bCs/>
          <w:color w:val="767171"/>
          <w:spacing w:val="20"/>
          <w:lang w:val="es-ES" w:eastAsia="en-US"/>
        </w:rPr>
        <w:t>Instituciones Financieras (CCSBSO)</w:t>
      </w:r>
      <w:r w:rsidRPr="00D66778">
        <w:rPr>
          <w:rFonts w:eastAsia="Calibri"/>
          <w:b/>
          <w:bCs/>
          <w:color w:val="767171"/>
          <w:spacing w:val="20"/>
          <w:lang w:val="es-ES" w:eastAsia="en-US"/>
        </w:rPr>
        <w:t>.</w:t>
      </w:r>
      <w:r w:rsidRPr="00D66778">
        <w:rPr>
          <w:rFonts w:eastAsia="Calibri"/>
          <w:color w:val="767171"/>
          <w:spacing w:val="20"/>
          <w:lang w:val="es-ES" w:eastAsia="en-US"/>
        </w:rPr>
        <w:t xml:space="preserve"> La Superintendencia de Bancos estuvo a cargo de la organización de la reunión del comité de Normas Contables y Financieras del CCSBSO celebrado en Santo Domingo, los días 20 y 21 de abril. En esta participaron los titulares de las instituciones supervisoras de los países miembros del </w:t>
      </w:r>
      <w:r w:rsidR="00D66778" w:rsidRPr="00D66778">
        <w:rPr>
          <w:rFonts w:eastAsia="Calibri"/>
          <w:color w:val="767171"/>
          <w:spacing w:val="20"/>
          <w:lang w:val="es-ES" w:eastAsia="en-US"/>
        </w:rPr>
        <w:t>Consejo. Durante</w:t>
      </w:r>
      <w:r w:rsidRPr="00D66778">
        <w:rPr>
          <w:rFonts w:eastAsia="Calibri"/>
          <w:color w:val="767171"/>
          <w:spacing w:val="20"/>
          <w:lang w:val="es-ES" w:eastAsia="en-US"/>
        </w:rPr>
        <w:t xml:space="preserve"> la reunión se presentó el estatus del avance de hojas de ruta de las instituciones miembros del CCSBSO, para la implementación de las Normas Internacionales de Información Financiera (NIIF).</w:t>
      </w:r>
    </w:p>
    <w:p w14:paraId="786382C8" w14:textId="77777777" w:rsidR="0057082E" w:rsidRDefault="0057082E" w:rsidP="006B204A">
      <w:pPr>
        <w:pStyle w:val="paragraph"/>
        <w:spacing w:line="360" w:lineRule="auto"/>
        <w:ind w:left="567"/>
        <w:jc w:val="both"/>
        <w:textAlignment w:val="baseline"/>
        <w:rPr>
          <w:rFonts w:eastAsia="Calibri"/>
          <w:color w:val="767171"/>
          <w:spacing w:val="20"/>
          <w:lang w:val="es-ES" w:eastAsia="en-US"/>
        </w:rPr>
      </w:pPr>
    </w:p>
    <w:p w14:paraId="5616AF45" w14:textId="77777777" w:rsidR="0057082E" w:rsidRDefault="0057082E" w:rsidP="006B204A">
      <w:pPr>
        <w:pStyle w:val="paragraph"/>
        <w:spacing w:line="360" w:lineRule="auto"/>
        <w:ind w:left="567"/>
        <w:jc w:val="both"/>
        <w:textAlignment w:val="baseline"/>
        <w:rPr>
          <w:rFonts w:eastAsia="Calibri"/>
          <w:color w:val="767171"/>
          <w:spacing w:val="20"/>
          <w:lang w:val="es-ES" w:eastAsia="en-US"/>
        </w:rPr>
      </w:pPr>
    </w:p>
    <w:p w14:paraId="4EB82AAE" w14:textId="77777777" w:rsidR="0057082E" w:rsidRDefault="0057082E" w:rsidP="006B204A">
      <w:pPr>
        <w:pStyle w:val="paragraph"/>
        <w:spacing w:line="360" w:lineRule="auto"/>
        <w:ind w:left="567"/>
        <w:jc w:val="both"/>
        <w:textAlignment w:val="baseline"/>
        <w:rPr>
          <w:rFonts w:eastAsia="Calibri"/>
          <w:color w:val="767171"/>
          <w:spacing w:val="20"/>
          <w:lang w:val="es-ES" w:eastAsia="en-US"/>
        </w:rPr>
      </w:pPr>
    </w:p>
    <w:p w14:paraId="5DFB54DD" w14:textId="77777777" w:rsidR="0057082E" w:rsidRDefault="0057082E" w:rsidP="006B204A">
      <w:pPr>
        <w:pStyle w:val="paragraph"/>
        <w:spacing w:line="360" w:lineRule="auto"/>
        <w:ind w:left="567"/>
        <w:jc w:val="both"/>
        <w:textAlignment w:val="baseline"/>
        <w:rPr>
          <w:rFonts w:eastAsia="Calibri"/>
          <w:color w:val="767171"/>
          <w:spacing w:val="20"/>
          <w:lang w:val="es-ES" w:eastAsia="en-US"/>
        </w:rPr>
      </w:pPr>
    </w:p>
    <w:p w14:paraId="266957A5" w14:textId="5E2F56CD" w:rsidR="00CD7B60" w:rsidRPr="00CD7B60" w:rsidRDefault="00054DE8" w:rsidP="006B204A">
      <w:pPr>
        <w:pStyle w:val="paragraph"/>
        <w:spacing w:before="0" w:beforeAutospacing="0" w:after="160" w:afterAutospacing="0" w:line="360" w:lineRule="auto"/>
        <w:jc w:val="both"/>
        <w:textAlignment w:val="baseline"/>
        <w:rPr>
          <w:rFonts w:eastAsia="Calibri"/>
          <w:color w:val="767171"/>
          <w:spacing w:val="20"/>
          <w:lang w:val="es-ES" w:eastAsia="en-US"/>
        </w:rPr>
      </w:pPr>
      <w:r w:rsidRPr="00CD7B60">
        <w:rPr>
          <w:rFonts w:eastAsia="Calibri"/>
          <w:color w:val="767171"/>
          <w:spacing w:val="20"/>
          <w:lang w:val="es-ES" w:eastAsia="en-US"/>
        </w:rPr>
        <w:t>En cuanto a los acuerdos firmados durante este año, podemos mencionar los siguientes:</w:t>
      </w:r>
    </w:p>
    <w:p w14:paraId="23798306" w14:textId="2863637A" w:rsidR="00054DE8" w:rsidRPr="009C2DAA" w:rsidRDefault="00CD7B60" w:rsidP="006B204A">
      <w:pPr>
        <w:pStyle w:val="paragraph"/>
        <w:spacing w:before="0" w:beforeAutospacing="0" w:after="160" w:afterAutospacing="0" w:line="360" w:lineRule="auto"/>
        <w:jc w:val="center"/>
        <w:textAlignment w:val="baseline"/>
        <w:rPr>
          <w:rFonts w:eastAsia="Calibri"/>
          <w:b/>
          <w:bCs/>
          <w:color w:val="767171"/>
          <w:spacing w:val="20"/>
          <w:lang w:val="es-ES" w:eastAsia="en-US"/>
        </w:rPr>
      </w:pPr>
      <w:r w:rsidRPr="0020248C">
        <w:rPr>
          <w:rFonts w:eastAsia="Calibri"/>
          <w:b/>
          <w:bCs/>
          <w:color w:val="767171"/>
          <w:spacing w:val="20"/>
          <w:lang w:val="es-ES" w:eastAsia="en-US"/>
        </w:rPr>
        <w:t xml:space="preserve">Tabla </w:t>
      </w:r>
      <w:r w:rsidR="00324A48" w:rsidRPr="0020248C">
        <w:rPr>
          <w:rFonts w:eastAsia="Calibri"/>
          <w:b/>
          <w:bCs/>
          <w:color w:val="767171"/>
          <w:spacing w:val="20"/>
          <w:lang w:val="es-ES" w:eastAsia="en-US"/>
        </w:rPr>
        <w:t>7</w:t>
      </w:r>
      <w:r w:rsidR="00DA6723" w:rsidRPr="0020248C">
        <w:rPr>
          <w:rFonts w:eastAsia="Calibri"/>
          <w:b/>
          <w:bCs/>
          <w:color w:val="767171"/>
          <w:spacing w:val="20"/>
          <w:lang w:val="es-ES" w:eastAsia="en-US"/>
        </w:rPr>
        <w:t xml:space="preserve">: </w:t>
      </w:r>
      <w:r w:rsidR="00054DE8" w:rsidRPr="0020248C">
        <w:rPr>
          <w:rFonts w:eastAsia="Calibri"/>
          <w:b/>
          <w:bCs/>
          <w:color w:val="767171"/>
          <w:spacing w:val="20"/>
          <w:lang w:val="es-ES" w:eastAsia="en-US"/>
        </w:rPr>
        <w:t>Acuerdos firmados</w:t>
      </w:r>
    </w:p>
    <w:tbl>
      <w:tblPr>
        <w:tblW w:w="9200" w:type="dxa"/>
        <w:jc w:val="center"/>
        <w:tblCellMar>
          <w:left w:w="70" w:type="dxa"/>
          <w:right w:w="70" w:type="dxa"/>
        </w:tblCellMar>
        <w:tblLook w:val="04A0" w:firstRow="1" w:lastRow="0" w:firstColumn="1" w:lastColumn="0" w:noHBand="0" w:noVBand="1"/>
      </w:tblPr>
      <w:tblGrid>
        <w:gridCol w:w="2560"/>
        <w:gridCol w:w="6640"/>
      </w:tblGrid>
      <w:tr w:rsidR="00054DE8" w:rsidRPr="00CD7B60" w14:paraId="45DA6377" w14:textId="77777777" w:rsidTr="001E3FF2">
        <w:trPr>
          <w:trHeight w:val="485"/>
          <w:tblHeader/>
          <w:jc w:val="center"/>
        </w:trPr>
        <w:tc>
          <w:tcPr>
            <w:tcW w:w="2560" w:type="dxa"/>
            <w:tcBorders>
              <w:top w:val="nil"/>
              <w:left w:val="nil"/>
              <w:bottom w:val="nil"/>
              <w:right w:val="nil"/>
            </w:tcBorders>
            <w:shd w:val="clear" w:color="auto" w:fill="002060"/>
            <w:noWrap/>
            <w:vAlign w:val="center"/>
            <w:hideMark/>
          </w:tcPr>
          <w:p w14:paraId="07A448DC" w14:textId="76B40C7F" w:rsidR="00054DE8" w:rsidRPr="008B7DCC" w:rsidRDefault="006E69AA" w:rsidP="006B204A">
            <w:pPr>
              <w:spacing w:after="0" w:line="240" w:lineRule="auto"/>
              <w:jc w:val="center"/>
              <w:rPr>
                <w:rFonts w:eastAsia="Times New Roman"/>
                <w:b/>
                <w:color w:val="FFFFFF" w:themeColor="background1"/>
                <w:lang w:val="es-DO" w:eastAsia="es-DO"/>
              </w:rPr>
            </w:pPr>
            <w:r w:rsidRPr="008B7DCC">
              <w:rPr>
                <w:rFonts w:eastAsia="Times New Roman"/>
                <w:b/>
                <w:color w:val="FFFFFF" w:themeColor="background1"/>
                <w:lang w:val="es-DO" w:eastAsia="es-DO"/>
              </w:rPr>
              <w:t>Institución</w:t>
            </w:r>
          </w:p>
        </w:tc>
        <w:tc>
          <w:tcPr>
            <w:tcW w:w="6640" w:type="dxa"/>
            <w:tcBorders>
              <w:top w:val="nil"/>
              <w:left w:val="nil"/>
              <w:bottom w:val="nil"/>
              <w:right w:val="nil"/>
            </w:tcBorders>
            <w:shd w:val="clear" w:color="auto" w:fill="002060"/>
            <w:noWrap/>
            <w:vAlign w:val="center"/>
            <w:hideMark/>
          </w:tcPr>
          <w:p w14:paraId="448BE4EE" w14:textId="77777777" w:rsidR="00054DE8" w:rsidRPr="008B7DCC" w:rsidRDefault="00054DE8" w:rsidP="006B204A">
            <w:pPr>
              <w:spacing w:after="0" w:line="240" w:lineRule="auto"/>
              <w:jc w:val="center"/>
              <w:rPr>
                <w:rFonts w:eastAsia="Times New Roman"/>
                <w:b/>
                <w:color w:val="FFFFFF" w:themeColor="background1"/>
                <w:lang w:val="es-DO" w:eastAsia="es-DO"/>
              </w:rPr>
            </w:pPr>
            <w:r w:rsidRPr="008B7DCC">
              <w:rPr>
                <w:rFonts w:eastAsia="Times New Roman"/>
                <w:b/>
                <w:color w:val="FFFFFF" w:themeColor="background1"/>
                <w:lang w:val="es-DO" w:eastAsia="es-DO"/>
              </w:rPr>
              <w:t>Objetivo</w:t>
            </w:r>
          </w:p>
        </w:tc>
      </w:tr>
      <w:tr w:rsidR="00054DE8" w:rsidRPr="00274E67" w14:paraId="44DABA9E" w14:textId="77777777" w:rsidTr="009C2DAA">
        <w:trPr>
          <w:trHeight w:val="2260"/>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6626A05F" w14:textId="44DD1BC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Escuela Nacional de la Judicatura</w:t>
            </w:r>
          </w:p>
          <w:p w14:paraId="72E35C09" w14:textId="7777777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ENJ</w:t>
            </w:r>
          </w:p>
        </w:tc>
        <w:tc>
          <w:tcPr>
            <w:tcW w:w="6640" w:type="dxa"/>
            <w:tcBorders>
              <w:top w:val="single" w:sz="4" w:space="0" w:color="auto"/>
              <w:left w:val="nil"/>
              <w:bottom w:val="single" w:sz="4" w:space="0" w:color="auto"/>
              <w:right w:val="single" w:sz="4" w:space="0" w:color="auto"/>
            </w:tcBorders>
            <w:shd w:val="clear" w:color="auto" w:fill="auto"/>
            <w:vAlign w:val="center"/>
            <w:hideMark/>
          </w:tcPr>
          <w:p w14:paraId="174ECB52" w14:textId="77777777" w:rsidR="00054DE8" w:rsidRPr="008B7DCC" w:rsidRDefault="00054DE8" w:rsidP="006B204A">
            <w:pPr>
              <w:spacing w:after="0" w:line="360" w:lineRule="auto"/>
              <w:jc w:val="center"/>
              <w:rPr>
                <w:rFonts w:eastAsia="Times New Roman"/>
                <w:color w:val="808080" w:themeColor="background1" w:themeShade="80"/>
                <w:lang w:val="es-DO" w:eastAsia="es-DO"/>
              </w:rPr>
            </w:pPr>
            <w:r w:rsidRPr="008B7DCC">
              <w:rPr>
                <w:rFonts w:eastAsia="Times New Roman"/>
                <w:color w:val="808080" w:themeColor="background1" w:themeShade="80"/>
                <w:lang w:val="es-DO" w:eastAsia="es-DO"/>
              </w:rPr>
              <w:t>Establecer el marco de cooperación interinstitucional que delimite las responsabilidades que resulten necesarias para la publicación de un compendio contentivo de las decisiones judiciales en materia de regulación financiera.</w:t>
            </w:r>
          </w:p>
        </w:tc>
      </w:tr>
      <w:tr w:rsidR="00054DE8" w:rsidRPr="00274E67" w14:paraId="5154DC18" w14:textId="77777777" w:rsidTr="009C2DAA">
        <w:trPr>
          <w:trHeight w:val="1839"/>
          <w:jc w:val="center"/>
        </w:trPr>
        <w:tc>
          <w:tcPr>
            <w:tcW w:w="2560" w:type="dxa"/>
            <w:tcBorders>
              <w:top w:val="nil"/>
              <w:left w:val="single" w:sz="4" w:space="0" w:color="auto"/>
              <w:bottom w:val="single" w:sz="4" w:space="0" w:color="auto"/>
              <w:right w:val="single" w:sz="4" w:space="0" w:color="auto"/>
            </w:tcBorders>
            <w:shd w:val="clear" w:color="auto" w:fill="auto"/>
            <w:vAlign w:val="center"/>
            <w:hideMark/>
          </w:tcPr>
          <w:p w14:paraId="16361139" w14:textId="7777777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Instituto Tecnológico de Santo Domingo</w:t>
            </w:r>
          </w:p>
          <w:p w14:paraId="333F78AC" w14:textId="7777777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ITLA</w:t>
            </w:r>
          </w:p>
        </w:tc>
        <w:tc>
          <w:tcPr>
            <w:tcW w:w="6640" w:type="dxa"/>
            <w:tcBorders>
              <w:top w:val="nil"/>
              <w:left w:val="nil"/>
              <w:bottom w:val="single" w:sz="4" w:space="0" w:color="auto"/>
              <w:right w:val="single" w:sz="4" w:space="0" w:color="auto"/>
            </w:tcBorders>
            <w:shd w:val="clear" w:color="auto" w:fill="auto"/>
            <w:vAlign w:val="center"/>
            <w:hideMark/>
          </w:tcPr>
          <w:p w14:paraId="25052478" w14:textId="77777777" w:rsidR="00054DE8" w:rsidRPr="008B7DCC" w:rsidRDefault="00054DE8" w:rsidP="006B204A">
            <w:pPr>
              <w:spacing w:after="0" w:line="360" w:lineRule="auto"/>
              <w:jc w:val="center"/>
              <w:rPr>
                <w:rFonts w:eastAsia="Times New Roman"/>
                <w:color w:val="808080" w:themeColor="background1" w:themeShade="80"/>
                <w:lang w:val="es-DO" w:eastAsia="es-DO"/>
              </w:rPr>
            </w:pPr>
            <w:r w:rsidRPr="008B7DCC">
              <w:rPr>
                <w:rFonts w:eastAsia="Times New Roman"/>
                <w:color w:val="808080" w:themeColor="background1" w:themeShade="80"/>
                <w:lang w:val="es-DO" w:eastAsia="es-DO"/>
              </w:rPr>
              <w:t>Otorgar 10 becas de estudio en disciplinas STEM a mujeres bachilleres dominicanas.</w:t>
            </w:r>
          </w:p>
        </w:tc>
      </w:tr>
      <w:tr w:rsidR="00054DE8" w:rsidRPr="00274E67" w14:paraId="621CCBA3" w14:textId="77777777" w:rsidTr="009C2DAA">
        <w:trPr>
          <w:trHeight w:val="2160"/>
          <w:jc w:val="center"/>
        </w:trPr>
        <w:tc>
          <w:tcPr>
            <w:tcW w:w="2560" w:type="dxa"/>
            <w:tcBorders>
              <w:top w:val="nil"/>
              <w:left w:val="single" w:sz="4" w:space="0" w:color="auto"/>
              <w:bottom w:val="single" w:sz="4" w:space="0" w:color="auto"/>
              <w:right w:val="single" w:sz="4" w:space="0" w:color="auto"/>
            </w:tcBorders>
            <w:shd w:val="clear" w:color="auto" w:fill="auto"/>
            <w:noWrap/>
            <w:vAlign w:val="center"/>
            <w:hideMark/>
          </w:tcPr>
          <w:p w14:paraId="3F8C7004" w14:textId="717F6F9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Archivo General de la Nación</w:t>
            </w:r>
          </w:p>
          <w:p w14:paraId="09B2277E" w14:textId="7777777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AGN</w:t>
            </w:r>
          </w:p>
        </w:tc>
        <w:tc>
          <w:tcPr>
            <w:tcW w:w="6640" w:type="dxa"/>
            <w:tcBorders>
              <w:top w:val="nil"/>
              <w:left w:val="nil"/>
              <w:bottom w:val="single" w:sz="4" w:space="0" w:color="auto"/>
              <w:right w:val="single" w:sz="4" w:space="0" w:color="auto"/>
            </w:tcBorders>
            <w:shd w:val="clear" w:color="auto" w:fill="auto"/>
            <w:vAlign w:val="center"/>
            <w:hideMark/>
          </w:tcPr>
          <w:p w14:paraId="12A1BEAE" w14:textId="5F1767B1" w:rsidR="00054DE8" w:rsidRPr="008B7DCC" w:rsidRDefault="00054DE8" w:rsidP="006B204A">
            <w:pPr>
              <w:spacing w:after="0" w:line="360" w:lineRule="auto"/>
              <w:jc w:val="center"/>
              <w:rPr>
                <w:rFonts w:eastAsia="Times New Roman"/>
                <w:color w:val="808080" w:themeColor="background1" w:themeShade="80"/>
                <w:lang w:val="es-DO" w:eastAsia="es-DO"/>
              </w:rPr>
            </w:pPr>
            <w:r w:rsidRPr="008B7DCC">
              <w:rPr>
                <w:rFonts w:eastAsia="Times New Roman"/>
                <w:color w:val="808080" w:themeColor="background1" w:themeShade="80"/>
                <w:lang w:val="es-DO" w:eastAsia="es-DO"/>
              </w:rPr>
              <w:t xml:space="preserve">Establecer un marco general de cooperación entre el AGN y la </w:t>
            </w:r>
            <w:r w:rsidR="00C61504" w:rsidRPr="00C61504">
              <w:rPr>
                <w:rFonts w:eastAsia="Times New Roman"/>
                <w:color w:val="808080" w:themeColor="background1" w:themeShade="80"/>
                <w:lang w:val="es-DO" w:eastAsia="es-DO"/>
              </w:rPr>
              <w:t>Superintendencia de Bancos</w:t>
            </w:r>
            <w:r w:rsidR="00C61504">
              <w:rPr>
                <w:rFonts w:eastAsia="Times New Roman"/>
                <w:color w:val="808080" w:themeColor="background1" w:themeShade="80"/>
                <w:lang w:val="es-DO" w:eastAsia="es-DO"/>
              </w:rPr>
              <w:t xml:space="preserve"> </w:t>
            </w:r>
            <w:r w:rsidRPr="008B7DCC">
              <w:rPr>
                <w:rFonts w:eastAsia="Times New Roman"/>
                <w:color w:val="808080" w:themeColor="background1" w:themeShade="80"/>
                <w:lang w:val="es-DO" w:eastAsia="es-DO"/>
              </w:rPr>
              <w:t>para impulsar estrategias y realización de actividades conjuntas relacionadas con los fines inherentes a las partes.</w:t>
            </w:r>
          </w:p>
        </w:tc>
      </w:tr>
      <w:tr w:rsidR="00054DE8" w:rsidRPr="00274E67" w14:paraId="61667338" w14:textId="77777777" w:rsidTr="009C2DAA">
        <w:trPr>
          <w:trHeight w:val="2117"/>
          <w:jc w:val="center"/>
        </w:trPr>
        <w:tc>
          <w:tcPr>
            <w:tcW w:w="256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5BD0F6C" w14:textId="7777777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 xml:space="preserve">Project Management </w:t>
            </w:r>
            <w:proofErr w:type="spellStart"/>
            <w:r w:rsidRPr="008B7DCC">
              <w:rPr>
                <w:rFonts w:eastAsia="Times New Roman"/>
                <w:b/>
                <w:color w:val="808080" w:themeColor="background1" w:themeShade="80"/>
                <w:lang w:val="es-DO" w:eastAsia="es-DO"/>
              </w:rPr>
              <w:t>Institute</w:t>
            </w:r>
            <w:proofErr w:type="spellEnd"/>
          </w:p>
          <w:p w14:paraId="41056898" w14:textId="77777777" w:rsidR="00054DE8" w:rsidRPr="008B7DCC" w:rsidRDefault="00054DE8" w:rsidP="006B204A">
            <w:pPr>
              <w:spacing w:after="0" w:line="360" w:lineRule="auto"/>
              <w:jc w:val="center"/>
              <w:rPr>
                <w:rFonts w:eastAsia="Times New Roman"/>
                <w:b/>
                <w:color w:val="808080" w:themeColor="background1" w:themeShade="80"/>
                <w:lang w:val="es-DO" w:eastAsia="es-DO"/>
              </w:rPr>
            </w:pPr>
            <w:r w:rsidRPr="008B7DCC">
              <w:rPr>
                <w:rFonts w:eastAsia="Times New Roman"/>
                <w:b/>
                <w:color w:val="808080" w:themeColor="background1" w:themeShade="80"/>
                <w:lang w:val="es-DO" w:eastAsia="es-DO"/>
              </w:rPr>
              <w:t>PMI</w:t>
            </w:r>
          </w:p>
        </w:tc>
        <w:tc>
          <w:tcPr>
            <w:tcW w:w="6640" w:type="dxa"/>
            <w:tcBorders>
              <w:top w:val="single" w:sz="4" w:space="0" w:color="auto"/>
              <w:left w:val="nil"/>
              <w:bottom w:val="single" w:sz="4" w:space="0" w:color="auto"/>
              <w:right w:val="single" w:sz="4" w:space="0" w:color="auto"/>
            </w:tcBorders>
            <w:shd w:val="clear" w:color="auto" w:fill="auto"/>
            <w:vAlign w:val="center"/>
            <w:hideMark/>
          </w:tcPr>
          <w:p w14:paraId="078A5834" w14:textId="77777777" w:rsidR="00054DE8" w:rsidRPr="008B7DCC" w:rsidRDefault="00054DE8" w:rsidP="006B204A">
            <w:pPr>
              <w:spacing w:after="0" w:line="360" w:lineRule="auto"/>
              <w:jc w:val="center"/>
              <w:rPr>
                <w:rFonts w:eastAsia="Times New Roman"/>
                <w:color w:val="808080" w:themeColor="background1" w:themeShade="80"/>
                <w:lang w:val="es-DO" w:eastAsia="es-DO"/>
              </w:rPr>
            </w:pPr>
            <w:r w:rsidRPr="008B7DCC">
              <w:rPr>
                <w:rFonts w:eastAsia="Times New Roman"/>
                <w:color w:val="808080" w:themeColor="background1" w:themeShade="80"/>
                <w:lang w:val="es-DO" w:eastAsia="es-DO"/>
              </w:rPr>
              <w:t>Impulsar una estrategia que procure promover y difundir las buenas prácticas de dirección de proyectos de la Superintendencia a partir del diseño de un plan de trabajo.</w:t>
            </w:r>
          </w:p>
        </w:tc>
      </w:tr>
    </w:tbl>
    <w:p w14:paraId="34914535" w14:textId="3AB6E440" w:rsidR="00D70BEE" w:rsidRDefault="00141920" w:rsidP="006B204A">
      <w:pPr>
        <w:tabs>
          <w:tab w:val="left" w:pos="6420"/>
        </w:tabs>
        <w:spacing w:line="360" w:lineRule="auto"/>
        <w:jc w:val="center"/>
        <w:rPr>
          <w:lang w:val="es-DO"/>
        </w:rPr>
      </w:pPr>
      <w:r w:rsidRPr="00FD2D87">
        <w:rPr>
          <w:b/>
          <w:bCs/>
          <w:lang w:val="es-DO"/>
        </w:rPr>
        <w:t>Fuente</w:t>
      </w:r>
      <w:r w:rsidRPr="00FD2D87">
        <w:rPr>
          <w:lang w:val="es-DO"/>
        </w:rPr>
        <w:t>: Superintendencia</w:t>
      </w:r>
      <w:r w:rsidR="00D70BEE" w:rsidRPr="00FD2D87">
        <w:rPr>
          <w:lang w:val="es-DO"/>
        </w:rPr>
        <w:t xml:space="preserve"> de Bancos de la República Dominicana</w:t>
      </w:r>
      <w:r>
        <w:rPr>
          <w:lang w:val="es-DO"/>
        </w:rPr>
        <w:t>, Departamento de Planificación y Relaciones Interinstitucionales.</w:t>
      </w:r>
    </w:p>
    <w:p w14:paraId="12869643" w14:textId="3EEBDA9A" w:rsidR="00054DE8" w:rsidRPr="00054DE8" w:rsidRDefault="00054DE8" w:rsidP="006B204A">
      <w:pPr>
        <w:pStyle w:val="paragraph"/>
        <w:spacing w:before="0" w:beforeAutospacing="0" w:after="0" w:afterAutospacing="0" w:line="360" w:lineRule="auto"/>
        <w:jc w:val="both"/>
        <w:textAlignment w:val="baseline"/>
        <w:rPr>
          <w:rFonts w:eastAsia="Calibri"/>
          <w:color w:val="767171"/>
          <w:spacing w:val="20"/>
          <w:lang w:eastAsia="en-US"/>
        </w:rPr>
      </w:pPr>
    </w:p>
    <w:p w14:paraId="1F86D80C" w14:textId="3743CB2A" w:rsidR="00E52ED4" w:rsidRDefault="0014465A" w:rsidP="006B204A">
      <w:pPr>
        <w:pStyle w:val="Estilo3"/>
        <w:spacing w:before="0" w:after="160" w:line="360" w:lineRule="auto"/>
        <w:rPr>
          <w:b/>
          <w:szCs w:val="24"/>
        </w:rPr>
      </w:pPr>
      <w:bookmarkStart w:id="91" w:name="_Toc122435020"/>
      <w:bookmarkStart w:id="92" w:name="_Toc123046925"/>
      <w:bookmarkStart w:id="93" w:name="_Toc155354622"/>
      <w:r>
        <w:rPr>
          <w:b/>
          <w:szCs w:val="24"/>
        </w:rPr>
        <w:lastRenderedPageBreak/>
        <w:t>4</w:t>
      </w:r>
      <w:r w:rsidR="00E52ED4" w:rsidRPr="00C865B6">
        <w:rPr>
          <w:b/>
          <w:szCs w:val="24"/>
        </w:rPr>
        <w:t xml:space="preserve">.4 Desempeño de la </w:t>
      </w:r>
      <w:bookmarkEnd w:id="91"/>
      <w:bookmarkEnd w:id="92"/>
      <w:r w:rsidR="00630E6F">
        <w:rPr>
          <w:b/>
          <w:szCs w:val="24"/>
        </w:rPr>
        <w:t>T</w:t>
      </w:r>
      <w:r w:rsidR="00E52ED4" w:rsidRPr="00C865B6">
        <w:rPr>
          <w:b/>
          <w:szCs w:val="24"/>
        </w:rPr>
        <w:t>ecnología</w:t>
      </w:r>
      <w:bookmarkEnd w:id="93"/>
    </w:p>
    <w:p w14:paraId="4F31740C" w14:textId="682BFE21" w:rsidR="0029445B" w:rsidRPr="0029445B" w:rsidRDefault="00363765" w:rsidP="006B204A">
      <w:pPr>
        <w:pStyle w:val="paragraph"/>
        <w:spacing w:before="0" w:beforeAutospacing="0" w:after="160" w:afterAutospacing="0" w:line="360" w:lineRule="auto"/>
        <w:jc w:val="both"/>
        <w:textAlignment w:val="baseline"/>
        <w:rPr>
          <w:rFonts w:eastAsia="Calibri"/>
          <w:color w:val="767171"/>
          <w:spacing w:val="20"/>
          <w:lang w:val="es-ES" w:eastAsia="en-US"/>
        </w:rPr>
      </w:pPr>
      <w:r>
        <w:rPr>
          <w:rFonts w:eastAsia="Calibri"/>
          <w:color w:val="767171"/>
          <w:spacing w:val="20"/>
          <w:lang w:val="es-ES" w:eastAsia="en-US"/>
        </w:rPr>
        <w:t>D</w:t>
      </w:r>
      <w:r w:rsidRPr="0029445B">
        <w:rPr>
          <w:rFonts w:eastAsia="Calibri"/>
          <w:color w:val="767171"/>
          <w:spacing w:val="20"/>
          <w:lang w:val="es-ES" w:eastAsia="en-US"/>
        </w:rPr>
        <w:t>urante el año 2023</w:t>
      </w:r>
      <w:r>
        <w:rPr>
          <w:rFonts w:eastAsia="Calibri"/>
          <w:color w:val="767171"/>
          <w:spacing w:val="20"/>
          <w:lang w:val="es-ES" w:eastAsia="en-US"/>
        </w:rPr>
        <w:t>, l</w:t>
      </w:r>
      <w:r w:rsidR="0029445B" w:rsidRPr="0029445B">
        <w:rPr>
          <w:rFonts w:eastAsia="Calibri"/>
          <w:color w:val="767171"/>
          <w:spacing w:val="20"/>
          <w:lang w:val="es-ES" w:eastAsia="en-US"/>
        </w:rPr>
        <w:t xml:space="preserve">a Superintendencia de Bancos de la República Dominicana </w:t>
      </w:r>
      <w:r w:rsidR="00CA0F66">
        <w:rPr>
          <w:rFonts w:eastAsia="Calibri"/>
          <w:color w:val="767171"/>
          <w:spacing w:val="20"/>
          <w:lang w:val="es-ES" w:eastAsia="en-US"/>
        </w:rPr>
        <w:t>realizó</w:t>
      </w:r>
      <w:r w:rsidR="0029445B" w:rsidRPr="0029445B">
        <w:rPr>
          <w:rFonts w:eastAsia="Calibri"/>
          <w:color w:val="767171"/>
          <w:spacing w:val="20"/>
          <w:lang w:val="es-ES" w:eastAsia="en-US"/>
        </w:rPr>
        <w:t xml:space="preserve"> significativos avances en </w:t>
      </w:r>
      <w:r w:rsidR="00D86536">
        <w:rPr>
          <w:rFonts w:eastAsia="Calibri"/>
          <w:color w:val="767171"/>
          <w:spacing w:val="20"/>
          <w:lang w:val="es-ES" w:eastAsia="en-US"/>
        </w:rPr>
        <w:t>la transformación digital de sus procesos mediante el uso</w:t>
      </w:r>
      <w:r w:rsidR="0029445B" w:rsidRPr="0029445B">
        <w:rPr>
          <w:rFonts w:eastAsia="Calibri"/>
          <w:color w:val="767171"/>
          <w:spacing w:val="20"/>
          <w:lang w:val="es-ES" w:eastAsia="en-US"/>
        </w:rPr>
        <w:t xml:space="preserve"> de </w:t>
      </w:r>
      <w:r w:rsidR="00340A50">
        <w:rPr>
          <w:rFonts w:eastAsia="Calibri"/>
          <w:color w:val="767171"/>
          <w:spacing w:val="20"/>
          <w:lang w:val="es-ES" w:eastAsia="en-US"/>
        </w:rPr>
        <w:t>las t</w:t>
      </w:r>
      <w:r w:rsidR="0029445B" w:rsidRPr="0029445B">
        <w:rPr>
          <w:rFonts w:eastAsia="Calibri"/>
          <w:color w:val="767171"/>
          <w:spacing w:val="20"/>
          <w:lang w:val="es-ES" w:eastAsia="en-US"/>
        </w:rPr>
        <w:t xml:space="preserve">ecnologías de la </w:t>
      </w:r>
      <w:r w:rsidR="00340A50">
        <w:rPr>
          <w:rFonts w:eastAsia="Calibri"/>
          <w:color w:val="767171"/>
          <w:spacing w:val="20"/>
          <w:lang w:val="es-ES" w:eastAsia="en-US"/>
        </w:rPr>
        <w:t>i</w:t>
      </w:r>
      <w:r w:rsidR="0029445B" w:rsidRPr="0029445B">
        <w:rPr>
          <w:rFonts w:eastAsia="Calibri"/>
          <w:color w:val="767171"/>
          <w:spacing w:val="20"/>
          <w:lang w:val="es-ES" w:eastAsia="en-US"/>
        </w:rPr>
        <w:t>nformación</w:t>
      </w:r>
      <w:r w:rsidR="00340A50">
        <w:rPr>
          <w:rFonts w:eastAsia="Calibri"/>
          <w:color w:val="767171"/>
          <w:spacing w:val="20"/>
          <w:lang w:val="es-ES" w:eastAsia="en-US"/>
        </w:rPr>
        <w:t xml:space="preserve"> TIC</w:t>
      </w:r>
      <w:r w:rsidR="0029445B" w:rsidRPr="0029445B">
        <w:rPr>
          <w:rFonts w:eastAsia="Calibri"/>
          <w:color w:val="767171"/>
          <w:spacing w:val="20"/>
          <w:lang w:val="es-ES" w:eastAsia="en-US"/>
        </w:rPr>
        <w:t xml:space="preserve">. Los logros </w:t>
      </w:r>
      <w:r w:rsidR="00D86536">
        <w:rPr>
          <w:rFonts w:eastAsia="Calibri"/>
          <w:color w:val="767171"/>
          <w:spacing w:val="20"/>
          <w:lang w:val="es-ES" w:eastAsia="en-US"/>
        </w:rPr>
        <w:t xml:space="preserve">alcanzados </w:t>
      </w:r>
      <w:r w:rsidR="0029445B" w:rsidRPr="0029445B">
        <w:rPr>
          <w:rFonts w:eastAsia="Calibri"/>
          <w:color w:val="767171"/>
          <w:spacing w:val="20"/>
          <w:lang w:val="es-ES" w:eastAsia="en-US"/>
        </w:rPr>
        <w:t>impactaron a usuarios internos</w:t>
      </w:r>
      <w:r w:rsidR="00D86536">
        <w:rPr>
          <w:rFonts w:eastAsia="Calibri"/>
          <w:color w:val="767171"/>
          <w:spacing w:val="20"/>
          <w:lang w:val="es-ES" w:eastAsia="en-US"/>
        </w:rPr>
        <w:t xml:space="preserve"> y</w:t>
      </w:r>
      <w:r w:rsidR="0029445B" w:rsidRPr="0029445B">
        <w:rPr>
          <w:rFonts w:eastAsia="Calibri"/>
          <w:color w:val="767171"/>
          <w:spacing w:val="20"/>
          <w:lang w:val="es-ES" w:eastAsia="en-US"/>
        </w:rPr>
        <w:t xml:space="preserve"> externos de la institución. Entre estos logros se destacan:</w:t>
      </w:r>
    </w:p>
    <w:p w14:paraId="5812BD3E" w14:textId="476F7EED" w:rsidR="0029445B" w:rsidRPr="0029445B" w:rsidRDefault="006F4144" w:rsidP="006B204A">
      <w:pPr>
        <w:pStyle w:val="paragraph"/>
        <w:spacing w:before="0" w:beforeAutospacing="0" w:after="160" w:afterAutospacing="0" w:line="360" w:lineRule="auto"/>
        <w:jc w:val="both"/>
        <w:textAlignment w:val="baseline"/>
        <w:rPr>
          <w:rFonts w:eastAsia="Calibri"/>
          <w:color w:val="767171"/>
          <w:spacing w:val="20"/>
          <w:lang w:val="es-ES" w:eastAsia="en-US"/>
        </w:rPr>
      </w:pPr>
      <w:r>
        <w:rPr>
          <w:rFonts w:eastAsia="Calibri"/>
          <w:color w:val="767171"/>
          <w:spacing w:val="20"/>
          <w:lang w:val="es-ES" w:eastAsia="en-US"/>
        </w:rPr>
        <w:t>I</w:t>
      </w:r>
      <w:r w:rsidR="0026256F">
        <w:rPr>
          <w:rFonts w:eastAsia="Calibri"/>
          <w:color w:val="767171"/>
          <w:spacing w:val="20"/>
          <w:lang w:val="es-ES" w:eastAsia="en-US"/>
        </w:rPr>
        <w:t>mplement</w:t>
      </w:r>
      <w:r>
        <w:rPr>
          <w:rFonts w:eastAsia="Calibri"/>
          <w:color w:val="767171"/>
          <w:spacing w:val="20"/>
          <w:lang w:val="es-ES" w:eastAsia="en-US"/>
        </w:rPr>
        <w:t>ado</w:t>
      </w:r>
      <w:r w:rsidR="00B87554">
        <w:rPr>
          <w:rFonts w:eastAsia="Calibri"/>
          <w:color w:val="767171"/>
          <w:spacing w:val="20"/>
          <w:lang w:val="es-ES" w:eastAsia="en-US"/>
        </w:rPr>
        <w:t xml:space="preserve"> </w:t>
      </w:r>
      <w:r w:rsidR="0029445B" w:rsidRPr="0029445B">
        <w:rPr>
          <w:rFonts w:eastAsia="Calibri"/>
          <w:color w:val="767171"/>
          <w:spacing w:val="20"/>
          <w:lang w:val="es-ES" w:eastAsia="en-US"/>
        </w:rPr>
        <w:t xml:space="preserve">el aplicativo </w:t>
      </w:r>
      <w:proofErr w:type="spellStart"/>
      <w:r w:rsidR="0029445B" w:rsidRPr="0029445B">
        <w:rPr>
          <w:rFonts w:eastAsia="Calibri"/>
          <w:color w:val="767171"/>
          <w:spacing w:val="20"/>
          <w:lang w:val="es-ES" w:eastAsia="en-US"/>
        </w:rPr>
        <w:t>Manage</w:t>
      </w:r>
      <w:proofErr w:type="spellEnd"/>
      <w:r w:rsidR="0029445B" w:rsidRPr="0029445B">
        <w:rPr>
          <w:rFonts w:eastAsia="Calibri"/>
          <w:color w:val="767171"/>
          <w:spacing w:val="20"/>
          <w:lang w:val="es-ES" w:eastAsia="en-US"/>
        </w:rPr>
        <w:t xml:space="preserve"> </w:t>
      </w:r>
      <w:proofErr w:type="spellStart"/>
      <w:r w:rsidR="0029445B" w:rsidRPr="0029445B">
        <w:rPr>
          <w:rFonts w:eastAsia="Calibri"/>
          <w:color w:val="767171"/>
          <w:spacing w:val="20"/>
          <w:lang w:val="es-ES" w:eastAsia="en-US"/>
        </w:rPr>
        <w:t>Engine</w:t>
      </w:r>
      <w:proofErr w:type="spellEnd"/>
      <w:r w:rsidR="0029445B" w:rsidRPr="0029445B">
        <w:rPr>
          <w:rFonts w:eastAsia="Calibri"/>
          <w:color w:val="767171"/>
          <w:spacing w:val="20"/>
          <w:lang w:val="es-ES" w:eastAsia="en-US"/>
        </w:rPr>
        <w:t xml:space="preserve"> </w:t>
      </w:r>
      <w:proofErr w:type="spellStart"/>
      <w:r w:rsidR="0029445B" w:rsidRPr="0029445B">
        <w:rPr>
          <w:rFonts w:eastAsia="Calibri"/>
          <w:color w:val="767171"/>
          <w:spacing w:val="20"/>
          <w:lang w:val="es-ES" w:eastAsia="en-US"/>
        </w:rPr>
        <w:t>Service</w:t>
      </w:r>
      <w:proofErr w:type="spellEnd"/>
      <w:r w:rsidR="0029445B" w:rsidRPr="0029445B">
        <w:rPr>
          <w:rFonts w:eastAsia="Calibri"/>
          <w:color w:val="767171"/>
          <w:spacing w:val="20"/>
          <w:lang w:val="es-ES" w:eastAsia="en-US"/>
        </w:rPr>
        <w:t xml:space="preserve"> </w:t>
      </w:r>
      <w:proofErr w:type="spellStart"/>
      <w:r w:rsidR="0029445B" w:rsidRPr="0029445B">
        <w:rPr>
          <w:rFonts w:eastAsia="Calibri"/>
          <w:color w:val="767171"/>
          <w:spacing w:val="20"/>
          <w:lang w:val="es-ES" w:eastAsia="en-US"/>
        </w:rPr>
        <w:t>Desk</w:t>
      </w:r>
      <w:proofErr w:type="spellEnd"/>
      <w:r w:rsidR="00B87554">
        <w:rPr>
          <w:rFonts w:eastAsia="Calibri"/>
          <w:color w:val="767171"/>
          <w:spacing w:val="20"/>
          <w:lang w:val="es-ES" w:eastAsia="en-US"/>
        </w:rPr>
        <w:t xml:space="preserve"> </w:t>
      </w:r>
      <w:r w:rsidR="00BA6811">
        <w:rPr>
          <w:rFonts w:eastAsia="Calibri"/>
          <w:color w:val="767171"/>
          <w:spacing w:val="20"/>
          <w:lang w:val="es-ES" w:eastAsia="en-US"/>
        </w:rPr>
        <w:t>en la herramienta PAMF</w:t>
      </w:r>
      <w:r w:rsidR="005217A6">
        <w:rPr>
          <w:rFonts w:eastAsia="Calibri"/>
          <w:color w:val="767171"/>
          <w:spacing w:val="20"/>
          <w:lang w:val="es-ES" w:eastAsia="en-US"/>
        </w:rPr>
        <w:t xml:space="preserve">, con el objetivo de </w:t>
      </w:r>
      <w:r w:rsidR="005217A6" w:rsidRPr="0029445B">
        <w:rPr>
          <w:rFonts w:eastAsia="Calibri"/>
          <w:color w:val="767171"/>
          <w:spacing w:val="20"/>
          <w:lang w:val="es-ES" w:eastAsia="en-US"/>
        </w:rPr>
        <w:t xml:space="preserve">mejorar la atención a </w:t>
      </w:r>
      <w:r w:rsidR="005217A6">
        <w:rPr>
          <w:rFonts w:eastAsia="Calibri"/>
          <w:color w:val="767171"/>
          <w:spacing w:val="20"/>
          <w:lang w:val="es-ES" w:eastAsia="en-US"/>
        </w:rPr>
        <w:t xml:space="preserve">los requerimientos </w:t>
      </w:r>
      <w:r w:rsidR="005217A6" w:rsidRPr="0029445B">
        <w:rPr>
          <w:rFonts w:eastAsia="Calibri"/>
          <w:color w:val="767171"/>
          <w:spacing w:val="20"/>
          <w:lang w:val="es-ES" w:eastAsia="en-US"/>
        </w:rPr>
        <w:t>de las entidades</w:t>
      </w:r>
      <w:r w:rsidR="005217A6">
        <w:rPr>
          <w:rFonts w:eastAsia="Calibri"/>
          <w:color w:val="767171"/>
          <w:spacing w:val="20"/>
          <w:lang w:val="es-ES" w:eastAsia="en-US"/>
        </w:rPr>
        <w:t xml:space="preserve"> supervisadas</w:t>
      </w:r>
      <w:r w:rsidR="008157C0">
        <w:rPr>
          <w:rFonts w:eastAsia="Calibri"/>
          <w:color w:val="767171"/>
          <w:spacing w:val="20"/>
          <w:lang w:val="es-ES" w:eastAsia="en-US"/>
        </w:rPr>
        <w:t xml:space="preserve">, gracias a que </w:t>
      </w:r>
      <w:r w:rsidR="00BA6811">
        <w:rPr>
          <w:rFonts w:eastAsia="Calibri"/>
          <w:color w:val="767171"/>
          <w:spacing w:val="20"/>
          <w:lang w:val="es-ES" w:eastAsia="en-US"/>
        </w:rPr>
        <w:t>habilita</w:t>
      </w:r>
      <w:r w:rsidR="0029445B" w:rsidRPr="0029445B">
        <w:rPr>
          <w:rFonts w:eastAsia="Calibri"/>
          <w:color w:val="767171"/>
          <w:spacing w:val="20"/>
          <w:lang w:val="es-ES" w:eastAsia="en-US"/>
        </w:rPr>
        <w:t xml:space="preserve"> </w:t>
      </w:r>
      <w:r w:rsidR="00070307">
        <w:rPr>
          <w:rFonts w:eastAsia="Calibri"/>
          <w:color w:val="767171"/>
          <w:spacing w:val="20"/>
          <w:lang w:val="es-ES" w:eastAsia="en-US"/>
        </w:rPr>
        <w:t>un</w:t>
      </w:r>
      <w:r w:rsidR="00DE00E6">
        <w:rPr>
          <w:rFonts w:eastAsia="Calibri"/>
          <w:color w:val="767171"/>
          <w:spacing w:val="20"/>
          <w:lang w:val="es-ES" w:eastAsia="en-US"/>
        </w:rPr>
        <w:t xml:space="preserve"> canal de </w:t>
      </w:r>
      <w:r w:rsidR="00AA1B29">
        <w:rPr>
          <w:rFonts w:eastAsia="Calibri"/>
          <w:color w:val="767171"/>
          <w:spacing w:val="20"/>
          <w:lang w:val="es-ES" w:eastAsia="en-US"/>
        </w:rPr>
        <w:t xml:space="preserve">comunicación e </w:t>
      </w:r>
      <w:r w:rsidR="00D7058E">
        <w:rPr>
          <w:rFonts w:eastAsia="Calibri"/>
          <w:color w:val="767171"/>
          <w:spacing w:val="20"/>
          <w:lang w:val="es-ES" w:eastAsia="en-US"/>
        </w:rPr>
        <w:t>interacción</w:t>
      </w:r>
      <w:r w:rsidR="0029445B" w:rsidRPr="0029445B">
        <w:rPr>
          <w:rFonts w:eastAsia="Calibri"/>
          <w:color w:val="767171"/>
          <w:spacing w:val="20"/>
          <w:lang w:val="es-ES" w:eastAsia="en-US"/>
        </w:rPr>
        <w:t xml:space="preserve"> </w:t>
      </w:r>
      <w:r w:rsidR="00D15281">
        <w:rPr>
          <w:rFonts w:eastAsia="Calibri"/>
          <w:color w:val="767171"/>
          <w:spacing w:val="20"/>
          <w:lang w:val="es-ES" w:eastAsia="en-US"/>
        </w:rPr>
        <w:t xml:space="preserve">entre las </w:t>
      </w:r>
      <w:r w:rsidR="0029445B" w:rsidRPr="0029445B">
        <w:rPr>
          <w:rFonts w:eastAsia="Calibri"/>
          <w:color w:val="767171"/>
          <w:spacing w:val="20"/>
          <w:lang w:val="es-ES" w:eastAsia="en-US"/>
        </w:rPr>
        <w:t xml:space="preserve">entidades y las áreas misionales </w:t>
      </w:r>
      <w:r w:rsidR="005217A6">
        <w:rPr>
          <w:rFonts w:eastAsia="Calibri"/>
          <w:color w:val="767171"/>
          <w:spacing w:val="20"/>
          <w:lang w:val="es-ES" w:eastAsia="en-US"/>
        </w:rPr>
        <w:t>de la</w:t>
      </w:r>
      <w:r w:rsidR="0029445B" w:rsidRPr="0029445B">
        <w:rPr>
          <w:rFonts w:eastAsia="Calibri"/>
          <w:color w:val="767171"/>
          <w:spacing w:val="20"/>
          <w:lang w:val="es-ES" w:eastAsia="en-US"/>
        </w:rPr>
        <w:t xml:space="preserve"> institución.</w:t>
      </w:r>
    </w:p>
    <w:p w14:paraId="3BC2CEB0" w14:textId="3E6CF7F9" w:rsidR="0029445B" w:rsidRPr="0029445B" w:rsidRDefault="00983FC6" w:rsidP="006B204A">
      <w:pPr>
        <w:pStyle w:val="paragraph"/>
        <w:spacing w:before="0" w:beforeAutospacing="0" w:after="160" w:afterAutospacing="0" w:line="360" w:lineRule="auto"/>
        <w:jc w:val="both"/>
        <w:textAlignment w:val="baseline"/>
        <w:rPr>
          <w:rFonts w:eastAsia="Calibri"/>
          <w:color w:val="767171"/>
          <w:spacing w:val="20"/>
          <w:lang w:val="es-ES" w:eastAsia="en-US"/>
        </w:rPr>
      </w:pPr>
      <w:r w:rsidRPr="0029445B">
        <w:rPr>
          <w:rFonts w:eastAsia="Calibri"/>
          <w:color w:val="767171"/>
          <w:spacing w:val="20"/>
          <w:lang w:val="es-ES" w:eastAsia="en-US"/>
        </w:rPr>
        <w:t>Asimismo</w:t>
      </w:r>
      <w:r w:rsidR="0029445B" w:rsidRPr="0029445B">
        <w:rPr>
          <w:rFonts w:eastAsia="Calibri"/>
          <w:color w:val="767171"/>
          <w:spacing w:val="20"/>
          <w:lang w:val="es-ES" w:eastAsia="en-US"/>
        </w:rPr>
        <w:t>, se implementó la herramienta API Manager</w:t>
      </w:r>
      <w:r w:rsidR="00660803">
        <w:rPr>
          <w:rFonts w:eastAsia="Calibri"/>
          <w:color w:val="767171"/>
          <w:spacing w:val="20"/>
          <w:lang w:val="es-ES" w:eastAsia="en-US"/>
        </w:rPr>
        <w:t>.</w:t>
      </w:r>
      <w:r w:rsidR="0029445B" w:rsidRPr="0029445B">
        <w:rPr>
          <w:rFonts w:eastAsia="Calibri"/>
          <w:color w:val="767171"/>
          <w:spacing w:val="20"/>
          <w:lang w:val="es-ES" w:eastAsia="en-US"/>
        </w:rPr>
        <w:t xml:space="preserve"> </w:t>
      </w:r>
      <w:r w:rsidR="00660803">
        <w:rPr>
          <w:rFonts w:eastAsia="Calibri"/>
          <w:color w:val="767171"/>
          <w:spacing w:val="20"/>
          <w:lang w:val="es-ES" w:eastAsia="en-US"/>
        </w:rPr>
        <w:t>E</w:t>
      </w:r>
      <w:r w:rsidR="0029445B" w:rsidRPr="0029445B">
        <w:rPr>
          <w:rFonts w:eastAsia="Calibri"/>
          <w:color w:val="767171"/>
          <w:spacing w:val="20"/>
          <w:lang w:val="es-ES" w:eastAsia="en-US"/>
        </w:rPr>
        <w:t>sta herramienta permite la crea</w:t>
      </w:r>
      <w:r w:rsidR="00660803">
        <w:rPr>
          <w:rFonts w:eastAsia="Calibri"/>
          <w:color w:val="767171"/>
          <w:spacing w:val="20"/>
          <w:lang w:val="es-ES" w:eastAsia="en-US"/>
        </w:rPr>
        <w:t>r</w:t>
      </w:r>
      <w:r w:rsidR="0029445B" w:rsidRPr="0029445B">
        <w:rPr>
          <w:rFonts w:eastAsia="Calibri"/>
          <w:color w:val="767171"/>
          <w:spacing w:val="20"/>
          <w:lang w:val="es-ES" w:eastAsia="en-US"/>
        </w:rPr>
        <w:t>, monitore</w:t>
      </w:r>
      <w:r w:rsidR="00660803">
        <w:rPr>
          <w:rFonts w:eastAsia="Calibri"/>
          <w:color w:val="767171"/>
          <w:spacing w:val="20"/>
          <w:lang w:val="es-ES" w:eastAsia="en-US"/>
        </w:rPr>
        <w:t>ar</w:t>
      </w:r>
      <w:r w:rsidR="0029445B" w:rsidRPr="0029445B">
        <w:rPr>
          <w:rFonts w:eastAsia="Calibri"/>
          <w:color w:val="767171"/>
          <w:spacing w:val="20"/>
          <w:lang w:val="es-ES" w:eastAsia="en-US"/>
        </w:rPr>
        <w:t xml:space="preserve"> y administra</w:t>
      </w:r>
      <w:r w:rsidR="00660803">
        <w:rPr>
          <w:rFonts w:eastAsia="Calibri"/>
          <w:color w:val="767171"/>
          <w:spacing w:val="20"/>
          <w:lang w:val="es-ES" w:eastAsia="en-US"/>
        </w:rPr>
        <w:t>r</w:t>
      </w:r>
      <w:r w:rsidR="0029445B" w:rsidRPr="0029445B">
        <w:rPr>
          <w:rFonts w:eastAsia="Calibri"/>
          <w:color w:val="767171"/>
          <w:spacing w:val="20"/>
          <w:lang w:val="es-ES" w:eastAsia="en-US"/>
        </w:rPr>
        <w:t xml:space="preserve"> de nuestras Interfaces de Programación de Aplicación (</w:t>
      </w:r>
      <w:proofErr w:type="spellStart"/>
      <w:r w:rsidR="0029445B" w:rsidRPr="0029445B">
        <w:rPr>
          <w:rFonts w:eastAsia="Calibri"/>
          <w:color w:val="767171"/>
          <w:spacing w:val="20"/>
          <w:lang w:val="es-ES" w:eastAsia="en-US"/>
        </w:rPr>
        <w:t>APIs</w:t>
      </w:r>
      <w:proofErr w:type="spellEnd"/>
      <w:r w:rsidR="0029445B" w:rsidRPr="0029445B">
        <w:rPr>
          <w:rFonts w:eastAsia="Calibri"/>
          <w:color w:val="767171"/>
          <w:spacing w:val="20"/>
          <w:lang w:val="es-ES" w:eastAsia="en-US"/>
        </w:rPr>
        <w:t xml:space="preserve">), </w:t>
      </w:r>
      <w:r>
        <w:rPr>
          <w:rFonts w:eastAsia="Calibri"/>
          <w:color w:val="767171"/>
          <w:spacing w:val="20"/>
          <w:lang w:val="es-ES" w:eastAsia="en-US"/>
        </w:rPr>
        <w:t>otorgando a la institución</w:t>
      </w:r>
      <w:r w:rsidR="0029445B" w:rsidRPr="0029445B">
        <w:rPr>
          <w:rFonts w:eastAsia="Calibri"/>
          <w:color w:val="767171"/>
          <w:spacing w:val="20"/>
          <w:lang w:val="es-ES" w:eastAsia="en-US"/>
        </w:rPr>
        <w:t xml:space="preserve"> siguientes beneficios: Centralizar el inventario de APIS de la institución; </w:t>
      </w:r>
      <w:r>
        <w:rPr>
          <w:rFonts w:eastAsia="Calibri"/>
          <w:color w:val="767171"/>
          <w:spacing w:val="20"/>
          <w:lang w:val="es-ES" w:eastAsia="en-US"/>
        </w:rPr>
        <w:t>v</w:t>
      </w:r>
      <w:r w:rsidR="0029445B" w:rsidRPr="0029445B">
        <w:rPr>
          <w:rFonts w:eastAsia="Calibri"/>
          <w:color w:val="767171"/>
          <w:spacing w:val="20"/>
          <w:lang w:val="es-ES" w:eastAsia="en-US"/>
        </w:rPr>
        <w:t xml:space="preserve">isualizar estadísticas de consumo; </w:t>
      </w:r>
      <w:r>
        <w:rPr>
          <w:rFonts w:eastAsia="Calibri"/>
          <w:color w:val="767171"/>
          <w:spacing w:val="20"/>
          <w:lang w:val="es-ES" w:eastAsia="en-US"/>
        </w:rPr>
        <w:t>h</w:t>
      </w:r>
      <w:r w:rsidR="0029445B" w:rsidRPr="0029445B">
        <w:rPr>
          <w:rFonts w:eastAsia="Calibri"/>
          <w:color w:val="767171"/>
          <w:spacing w:val="20"/>
          <w:lang w:val="es-ES" w:eastAsia="en-US"/>
        </w:rPr>
        <w:t>abilitar APIS para consumo externo con mayor facilidad;</w:t>
      </w:r>
      <w:r>
        <w:rPr>
          <w:rFonts w:eastAsia="Calibri"/>
          <w:color w:val="767171"/>
          <w:spacing w:val="20"/>
          <w:lang w:val="es-ES" w:eastAsia="en-US"/>
        </w:rPr>
        <w:t xml:space="preserve"> e</w:t>
      </w:r>
      <w:r w:rsidR="0029445B" w:rsidRPr="0029445B">
        <w:rPr>
          <w:rFonts w:eastAsia="Calibri"/>
          <w:color w:val="767171"/>
          <w:spacing w:val="20"/>
          <w:lang w:val="es-ES" w:eastAsia="en-US"/>
        </w:rPr>
        <w:t xml:space="preserve"> </w:t>
      </w:r>
      <w:r>
        <w:rPr>
          <w:rFonts w:eastAsia="Calibri"/>
          <w:color w:val="767171"/>
          <w:spacing w:val="20"/>
          <w:lang w:val="es-ES" w:eastAsia="en-US"/>
        </w:rPr>
        <w:t>i</w:t>
      </w:r>
      <w:r w:rsidR="0029445B" w:rsidRPr="0029445B">
        <w:rPr>
          <w:rFonts w:eastAsia="Calibri"/>
          <w:color w:val="767171"/>
          <w:spacing w:val="20"/>
          <w:lang w:val="es-ES" w:eastAsia="en-US"/>
        </w:rPr>
        <w:t>mplementar políticas de consumo y de seguridad sobre los APIS.</w:t>
      </w:r>
    </w:p>
    <w:p w14:paraId="3B8017F2" w14:textId="24591C6B" w:rsidR="0029445B" w:rsidRPr="0029445B" w:rsidRDefault="00405C29" w:rsidP="006B204A">
      <w:pPr>
        <w:pStyle w:val="paragraph"/>
        <w:spacing w:before="0" w:beforeAutospacing="0" w:after="160" w:afterAutospacing="0" w:line="360" w:lineRule="auto"/>
        <w:jc w:val="both"/>
        <w:textAlignment w:val="baseline"/>
        <w:rPr>
          <w:rFonts w:eastAsia="Calibri"/>
          <w:color w:val="767171"/>
          <w:spacing w:val="20"/>
          <w:lang w:val="es-ES" w:eastAsia="en-US"/>
        </w:rPr>
      </w:pPr>
      <w:r>
        <w:rPr>
          <w:rFonts w:eastAsia="Calibri"/>
          <w:color w:val="767171"/>
          <w:spacing w:val="20"/>
          <w:lang w:val="es-ES" w:eastAsia="en-US"/>
        </w:rPr>
        <w:t>Por otro lado,</w:t>
      </w:r>
      <w:r w:rsidR="0029445B" w:rsidRPr="0029445B">
        <w:rPr>
          <w:rFonts w:eastAsia="Calibri"/>
          <w:color w:val="767171"/>
          <w:spacing w:val="20"/>
          <w:lang w:val="es-ES" w:eastAsia="en-US"/>
        </w:rPr>
        <w:t xml:space="preserve"> la Superintendencia de Bancos concluyo </w:t>
      </w:r>
      <w:r w:rsidR="00FB2BA4">
        <w:rPr>
          <w:rFonts w:eastAsia="Calibri"/>
          <w:color w:val="767171"/>
          <w:spacing w:val="20"/>
          <w:lang w:val="es-ES" w:eastAsia="en-US"/>
        </w:rPr>
        <w:t xml:space="preserve">un </w:t>
      </w:r>
      <w:r w:rsidR="0029445B" w:rsidRPr="0029445B">
        <w:rPr>
          <w:rFonts w:eastAsia="Calibri"/>
          <w:color w:val="767171"/>
          <w:spacing w:val="20"/>
          <w:lang w:val="es-ES" w:eastAsia="en-US"/>
        </w:rPr>
        <w:t>proyecto de optimización de los servicios de telecomunicaciones</w:t>
      </w:r>
      <w:r w:rsidR="008F4A9E">
        <w:rPr>
          <w:rFonts w:eastAsia="Calibri"/>
          <w:color w:val="767171"/>
          <w:spacing w:val="20"/>
          <w:lang w:val="es-ES" w:eastAsia="en-US"/>
        </w:rPr>
        <w:t>,</w:t>
      </w:r>
      <w:r w:rsidR="0029445B" w:rsidRPr="0029445B">
        <w:rPr>
          <w:rFonts w:eastAsia="Calibri"/>
          <w:color w:val="767171"/>
          <w:spacing w:val="20"/>
          <w:lang w:val="es-ES" w:eastAsia="en-US"/>
        </w:rPr>
        <w:t xml:space="preserve"> a través del cual logró</w:t>
      </w:r>
      <w:r w:rsidR="00077A1C">
        <w:rPr>
          <w:rFonts w:eastAsia="Calibri"/>
          <w:color w:val="767171"/>
          <w:spacing w:val="20"/>
          <w:lang w:val="es-ES" w:eastAsia="en-US"/>
        </w:rPr>
        <w:t xml:space="preserve"> facilitar la conectividad directa entre sus localidades y</w:t>
      </w:r>
      <w:r w:rsidR="0029445B" w:rsidRPr="0029445B">
        <w:rPr>
          <w:rFonts w:eastAsia="Calibri"/>
          <w:color w:val="767171"/>
          <w:spacing w:val="20"/>
          <w:lang w:val="es-ES" w:eastAsia="en-US"/>
        </w:rPr>
        <w:t xml:space="preserve"> mejorar</w:t>
      </w:r>
      <w:r w:rsidR="008F4A9E">
        <w:rPr>
          <w:rFonts w:eastAsia="Calibri"/>
          <w:color w:val="767171"/>
          <w:spacing w:val="20"/>
          <w:lang w:val="es-ES" w:eastAsia="en-US"/>
        </w:rPr>
        <w:t xml:space="preserve"> la banda ancha de internet</w:t>
      </w:r>
      <w:r w:rsidR="005942EF">
        <w:rPr>
          <w:rFonts w:eastAsia="Calibri"/>
          <w:color w:val="767171"/>
          <w:spacing w:val="20"/>
          <w:lang w:val="es-ES" w:eastAsia="en-US"/>
        </w:rPr>
        <w:t>, a la vez que redujo</w:t>
      </w:r>
      <w:r w:rsidR="0029445B" w:rsidRPr="0029445B">
        <w:rPr>
          <w:rFonts w:eastAsia="Calibri"/>
          <w:color w:val="767171"/>
          <w:spacing w:val="20"/>
          <w:lang w:val="es-ES" w:eastAsia="en-US"/>
        </w:rPr>
        <w:t xml:space="preserve"> la facturación mensual en un 27%</w:t>
      </w:r>
      <w:r w:rsidR="005942EF">
        <w:rPr>
          <w:rFonts w:eastAsia="Calibri"/>
          <w:color w:val="767171"/>
          <w:spacing w:val="20"/>
          <w:lang w:val="es-ES" w:eastAsia="en-US"/>
        </w:rPr>
        <w:t xml:space="preserve"> </w:t>
      </w:r>
      <w:r w:rsidR="00C64326">
        <w:rPr>
          <w:rFonts w:eastAsia="Calibri"/>
          <w:color w:val="767171"/>
          <w:spacing w:val="20"/>
          <w:lang w:val="es-ES" w:eastAsia="en-US"/>
        </w:rPr>
        <w:t>con relación al año pasado</w:t>
      </w:r>
      <w:r w:rsidR="005942EF">
        <w:rPr>
          <w:rFonts w:eastAsia="Calibri"/>
          <w:color w:val="767171"/>
          <w:spacing w:val="20"/>
          <w:lang w:val="es-ES" w:eastAsia="en-US"/>
        </w:rPr>
        <w:t>.</w:t>
      </w:r>
    </w:p>
    <w:p w14:paraId="38894E55" w14:textId="01A01EB8" w:rsidR="00585C9D" w:rsidRPr="0029445B" w:rsidRDefault="0029445B" w:rsidP="006B204A">
      <w:pPr>
        <w:pStyle w:val="paragraph"/>
        <w:spacing w:before="0" w:beforeAutospacing="0" w:after="160" w:afterAutospacing="0" w:line="360" w:lineRule="auto"/>
        <w:jc w:val="both"/>
        <w:textAlignment w:val="baseline"/>
        <w:rPr>
          <w:rFonts w:eastAsia="Calibri"/>
          <w:color w:val="767171"/>
          <w:spacing w:val="20"/>
          <w:lang w:val="es-ES" w:eastAsia="en-US"/>
        </w:rPr>
      </w:pPr>
      <w:r w:rsidRPr="0029445B">
        <w:rPr>
          <w:rFonts w:eastAsia="Calibri"/>
          <w:color w:val="767171"/>
          <w:spacing w:val="20"/>
          <w:lang w:val="es-ES" w:eastAsia="en-US"/>
        </w:rPr>
        <w:t>Con el objetivo de detectar de manera proactiva posibles eventos e interrupciones</w:t>
      </w:r>
      <w:r w:rsidR="00C64326">
        <w:rPr>
          <w:rFonts w:eastAsia="Calibri"/>
          <w:color w:val="767171"/>
          <w:spacing w:val="20"/>
          <w:lang w:val="es-ES" w:eastAsia="en-US"/>
        </w:rPr>
        <w:t xml:space="preserve"> de red</w:t>
      </w:r>
      <w:r w:rsidRPr="0029445B">
        <w:rPr>
          <w:rFonts w:eastAsia="Calibri"/>
          <w:color w:val="767171"/>
          <w:spacing w:val="20"/>
          <w:lang w:val="es-ES" w:eastAsia="en-US"/>
        </w:rPr>
        <w:t xml:space="preserve"> que dificulten la entrega </w:t>
      </w:r>
      <w:r w:rsidR="00C64326">
        <w:rPr>
          <w:rFonts w:eastAsia="Calibri"/>
          <w:color w:val="767171"/>
          <w:spacing w:val="20"/>
          <w:lang w:val="es-ES" w:eastAsia="en-US"/>
        </w:rPr>
        <w:t>de los servicios</w:t>
      </w:r>
      <w:r w:rsidR="0002409B">
        <w:rPr>
          <w:rFonts w:eastAsia="Calibri"/>
          <w:color w:val="767171"/>
          <w:spacing w:val="20"/>
          <w:lang w:val="es-ES" w:eastAsia="en-US"/>
        </w:rPr>
        <w:t xml:space="preserve"> de la institución</w:t>
      </w:r>
      <w:r w:rsidRPr="0029445B">
        <w:rPr>
          <w:rFonts w:eastAsia="Calibri"/>
          <w:color w:val="767171"/>
          <w:spacing w:val="20"/>
          <w:lang w:val="es-ES" w:eastAsia="en-US"/>
        </w:rPr>
        <w:t xml:space="preserve">, se implementó </w:t>
      </w:r>
      <w:r w:rsidR="00BA244C">
        <w:rPr>
          <w:rFonts w:eastAsia="Calibri"/>
          <w:color w:val="767171"/>
          <w:spacing w:val="20"/>
          <w:lang w:val="es-ES" w:eastAsia="en-US"/>
        </w:rPr>
        <w:t>un</w:t>
      </w:r>
      <w:r w:rsidRPr="0029445B">
        <w:rPr>
          <w:rFonts w:eastAsia="Calibri"/>
          <w:color w:val="767171"/>
          <w:spacing w:val="20"/>
          <w:lang w:val="es-ES" w:eastAsia="en-US"/>
        </w:rPr>
        <w:t xml:space="preserve"> servicio </w:t>
      </w:r>
      <w:r w:rsidR="00BA244C">
        <w:rPr>
          <w:rFonts w:eastAsia="Calibri"/>
          <w:color w:val="767171"/>
          <w:spacing w:val="20"/>
          <w:lang w:val="es-ES" w:eastAsia="en-US"/>
        </w:rPr>
        <w:t>de monitoreo</w:t>
      </w:r>
      <w:r w:rsidRPr="0029445B">
        <w:rPr>
          <w:rFonts w:eastAsia="Calibri"/>
          <w:color w:val="767171"/>
          <w:spacing w:val="20"/>
          <w:lang w:val="es-ES" w:eastAsia="en-US"/>
        </w:rPr>
        <w:t xml:space="preserve"> de la infraestructura tecnológica</w:t>
      </w:r>
      <w:r w:rsidR="00FC22AE">
        <w:rPr>
          <w:rFonts w:eastAsia="Calibri"/>
          <w:color w:val="767171"/>
          <w:spacing w:val="20"/>
          <w:lang w:val="es-ES" w:eastAsia="en-US"/>
        </w:rPr>
        <w:t>,</w:t>
      </w:r>
      <w:r w:rsidRPr="0029445B">
        <w:rPr>
          <w:rFonts w:eastAsia="Calibri"/>
          <w:color w:val="767171"/>
          <w:spacing w:val="20"/>
          <w:lang w:val="es-ES" w:eastAsia="en-US"/>
        </w:rPr>
        <w:t xml:space="preserve"> Network </w:t>
      </w:r>
      <w:proofErr w:type="spellStart"/>
      <w:r w:rsidRPr="0029445B">
        <w:rPr>
          <w:rFonts w:eastAsia="Calibri"/>
          <w:color w:val="767171"/>
          <w:spacing w:val="20"/>
          <w:lang w:val="es-ES" w:eastAsia="en-US"/>
        </w:rPr>
        <w:t>Operation</w:t>
      </w:r>
      <w:proofErr w:type="spellEnd"/>
      <w:r w:rsidRPr="0029445B">
        <w:rPr>
          <w:rFonts w:eastAsia="Calibri"/>
          <w:color w:val="767171"/>
          <w:spacing w:val="20"/>
          <w:lang w:val="es-ES" w:eastAsia="en-US"/>
        </w:rPr>
        <w:t xml:space="preserve"> Center -NOC</w:t>
      </w:r>
      <w:r w:rsidR="00FC22AE">
        <w:rPr>
          <w:rFonts w:eastAsia="Calibri"/>
          <w:color w:val="767171"/>
          <w:spacing w:val="20"/>
          <w:lang w:val="es-ES" w:eastAsia="en-US"/>
        </w:rPr>
        <w:t>-</w:t>
      </w:r>
      <w:r w:rsidRPr="0029445B">
        <w:rPr>
          <w:rFonts w:eastAsia="Calibri"/>
          <w:color w:val="767171"/>
          <w:spacing w:val="20"/>
          <w:lang w:val="es-ES" w:eastAsia="en-US"/>
        </w:rPr>
        <w:t xml:space="preserve">. Asimismo, </w:t>
      </w:r>
      <w:r w:rsidR="00A541B6">
        <w:rPr>
          <w:rFonts w:eastAsia="Calibri"/>
          <w:color w:val="767171"/>
          <w:spacing w:val="20"/>
          <w:lang w:val="es-ES" w:eastAsia="en-US"/>
        </w:rPr>
        <w:t>fue habilita</w:t>
      </w:r>
      <w:r w:rsidR="00BD4CF5">
        <w:rPr>
          <w:rFonts w:eastAsia="Calibri"/>
          <w:color w:val="767171"/>
          <w:spacing w:val="20"/>
          <w:lang w:val="es-ES" w:eastAsia="en-US"/>
        </w:rPr>
        <w:t xml:space="preserve">do </w:t>
      </w:r>
      <w:r w:rsidR="00714828">
        <w:rPr>
          <w:rFonts w:eastAsia="Calibri"/>
          <w:color w:val="767171"/>
          <w:spacing w:val="20"/>
          <w:lang w:val="es-ES" w:eastAsia="en-US"/>
        </w:rPr>
        <w:t>un</w:t>
      </w:r>
      <w:r w:rsidRPr="0029445B">
        <w:rPr>
          <w:rFonts w:eastAsia="Calibri"/>
          <w:color w:val="767171"/>
          <w:spacing w:val="20"/>
          <w:lang w:val="es-ES" w:eastAsia="en-US"/>
        </w:rPr>
        <w:t xml:space="preserve"> esquema de alta disponibilidad en </w:t>
      </w:r>
      <w:r w:rsidR="00714828">
        <w:rPr>
          <w:rFonts w:eastAsia="Calibri"/>
          <w:color w:val="767171"/>
          <w:spacing w:val="20"/>
          <w:lang w:val="es-ES" w:eastAsia="en-US"/>
        </w:rPr>
        <w:t>las</w:t>
      </w:r>
      <w:r w:rsidRPr="0029445B">
        <w:rPr>
          <w:rFonts w:eastAsia="Calibri"/>
          <w:color w:val="767171"/>
          <w:spacing w:val="20"/>
          <w:lang w:val="es-ES" w:eastAsia="en-US"/>
        </w:rPr>
        <w:t xml:space="preserve"> </w:t>
      </w:r>
      <w:r w:rsidRPr="0029445B">
        <w:rPr>
          <w:rFonts w:eastAsia="Calibri"/>
          <w:color w:val="767171"/>
          <w:spacing w:val="20"/>
          <w:lang w:val="es-ES" w:eastAsia="en-US"/>
        </w:rPr>
        <w:lastRenderedPageBreak/>
        <w:t>bases de datos (ORACLE y SQL) con la finalidad de mitigar el tiempo de inactividad en los sistemas</w:t>
      </w:r>
      <w:r w:rsidR="00FE2E04">
        <w:rPr>
          <w:rFonts w:eastAsia="Calibri"/>
          <w:color w:val="767171"/>
          <w:spacing w:val="20"/>
          <w:lang w:val="es-ES" w:eastAsia="en-US"/>
        </w:rPr>
        <w:t>,</w:t>
      </w:r>
      <w:r w:rsidRPr="0029445B">
        <w:rPr>
          <w:rFonts w:eastAsia="Calibri"/>
          <w:color w:val="767171"/>
          <w:spacing w:val="20"/>
          <w:lang w:val="es-ES" w:eastAsia="en-US"/>
        </w:rPr>
        <w:t xml:space="preserve"> y </w:t>
      </w:r>
      <w:r w:rsidR="0020162A">
        <w:rPr>
          <w:rFonts w:eastAsia="Calibri"/>
          <w:color w:val="767171"/>
          <w:spacing w:val="20"/>
          <w:lang w:val="es-ES" w:eastAsia="en-US"/>
        </w:rPr>
        <w:t>proteger</w:t>
      </w:r>
      <w:r w:rsidRPr="0029445B">
        <w:rPr>
          <w:rFonts w:eastAsia="Calibri"/>
          <w:color w:val="767171"/>
          <w:spacing w:val="20"/>
          <w:lang w:val="es-ES" w:eastAsia="en-US"/>
        </w:rPr>
        <w:t xml:space="preserve"> la </w:t>
      </w:r>
      <w:r w:rsidR="00A408F8">
        <w:rPr>
          <w:rFonts w:eastAsia="Calibri"/>
          <w:color w:val="767171"/>
          <w:spacing w:val="20"/>
          <w:lang w:val="es-ES" w:eastAsia="en-US"/>
        </w:rPr>
        <w:t>información institucional</w:t>
      </w:r>
      <w:r w:rsidRPr="0029445B">
        <w:rPr>
          <w:rFonts w:eastAsia="Calibri"/>
          <w:color w:val="767171"/>
          <w:spacing w:val="20"/>
          <w:lang w:val="es-ES" w:eastAsia="en-US"/>
        </w:rPr>
        <w:t>. </w:t>
      </w:r>
    </w:p>
    <w:p w14:paraId="357AF134" w14:textId="068EF138" w:rsidR="0029445B" w:rsidRPr="00585C9D" w:rsidRDefault="0029445B" w:rsidP="001E280B">
      <w:pPr>
        <w:pStyle w:val="paragraph"/>
        <w:spacing w:before="0" w:beforeAutospacing="0" w:after="160" w:afterAutospacing="0" w:line="360" w:lineRule="auto"/>
        <w:textAlignment w:val="baseline"/>
        <w:rPr>
          <w:rFonts w:eastAsia="Calibri"/>
          <w:b/>
          <w:bCs/>
          <w:color w:val="767171"/>
          <w:spacing w:val="20"/>
          <w:lang w:val="es-ES" w:eastAsia="en-US"/>
        </w:rPr>
      </w:pPr>
      <w:r w:rsidRPr="00585C9D">
        <w:rPr>
          <w:rFonts w:eastAsia="Calibri"/>
          <w:b/>
          <w:bCs/>
          <w:color w:val="767171"/>
          <w:spacing w:val="20"/>
          <w:lang w:val="es-ES" w:eastAsia="en-US"/>
        </w:rPr>
        <w:t>Fortalecimiento de la Gobernanza</w:t>
      </w:r>
    </w:p>
    <w:p w14:paraId="48842897" w14:textId="1D5BE0C9" w:rsidR="0029445B" w:rsidRPr="0029445B" w:rsidRDefault="001565AC" w:rsidP="006B204A">
      <w:pPr>
        <w:pStyle w:val="paragraph"/>
        <w:spacing w:before="0" w:beforeAutospacing="0" w:after="160" w:afterAutospacing="0" w:line="360" w:lineRule="auto"/>
        <w:jc w:val="both"/>
        <w:textAlignment w:val="baseline"/>
        <w:rPr>
          <w:rFonts w:eastAsia="Calibri"/>
          <w:color w:val="767171"/>
          <w:spacing w:val="20"/>
          <w:lang w:val="es-ES" w:eastAsia="en-US"/>
        </w:rPr>
      </w:pPr>
      <w:r>
        <w:rPr>
          <w:rFonts w:eastAsia="Calibri"/>
          <w:color w:val="767171"/>
          <w:spacing w:val="20"/>
          <w:lang w:val="es-ES" w:eastAsia="en-US"/>
        </w:rPr>
        <w:t>Con relación a la gobernanza institucional, se</w:t>
      </w:r>
      <w:r w:rsidR="00862AD6">
        <w:rPr>
          <w:rFonts w:eastAsia="Calibri"/>
          <w:color w:val="767171"/>
          <w:spacing w:val="20"/>
          <w:lang w:val="es-ES" w:eastAsia="en-US"/>
        </w:rPr>
        <w:t xml:space="preserve"> implementaron los requisitos necesarios para</w:t>
      </w:r>
      <w:r w:rsidR="00403B17">
        <w:rPr>
          <w:rFonts w:eastAsia="Calibri"/>
          <w:color w:val="767171"/>
          <w:spacing w:val="20"/>
          <w:lang w:val="es-ES" w:eastAsia="en-US"/>
        </w:rPr>
        <w:t xml:space="preserve"> </w:t>
      </w:r>
      <w:r w:rsidR="00420F7D">
        <w:rPr>
          <w:rFonts w:eastAsia="Calibri"/>
          <w:color w:val="767171"/>
          <w:spacing w:val="20"/>
          <w:lang w:val="es-ES" w:eastAsia="en-US"/>
        </w:rPr>
        <w:t>recertificar las siguientes</w:t>
      </w:r>
      <w:r w:rsidR="0029445B" w:rsidRPr="0029445B">
        <w:rPr>
          <w:rFonts w:eastAsia="Calibri"/>
          <w:color w:val="767171"/>
          <w:spacing w:val="20"/>
          <w:lang w:val="es-ES" w:eastAsia="en-US"/>
        </w:rPr>
        <w:t xml:space="preserve"> NORTIC: </w:t>
      </w:r>
    </w:p>
    <w:p w14:paraId="1115F463" w14:textId="77777777" w:rsidR="0029445B" w:rsidRPr="0029445B" w:rsidRDefault="0029445B" w:rsidP="00CB4994">
      <w:pPr>
        <w:pStyle w:val="paragraph"/>
        <w:numPr>
          <w:ilvl w:val="0"/>
          <w:numId w:val="25"/>
        </w:numPr>
        <w:spacing w:before="0" w:beforeAutospacing="0" w:after="0" w:afterAutospacing="0" w:line="360" w:lineRule="auto"/>
        <w:jc w:val="both"/>
        <w:textAlignment w:val="baseline"/>
        <w:rPr>
          <w:rFonts w:eastAsia="Calibri"/>
          <w:color w:val="767171"/>
          <w:spacing w:val="20"/>
          <w:lang w:val="es-ES" w:eastAsia="en-US"/>
        </w:rPr>
      </w:pPr>
      <w:r w:rsidRPr="0029445B">
        <w:rPr>
          <w:rFonts w:eastAsia="Calibri"/>
          <w:color w:val="767171"/>
          <w:spacing w:val="20"/>
          <w:lang w:val="es-ES" w:eastAsia="en-US"/>
        </w:rPr>
        <w:t xml:space="preserve">Recertificación de la </w:t>
      </w:r>
      <w:proofErr w:type="spellStart"/>
      <w:r w:rsidRPr="0029445B">
        <w:rPr>
          <w:rFonts w:eastAsia="Calibri"/>
          <w:color w:val="767171"/>
          <w:spacing w:val="20"/>
          <w:lang w:val="es-ES" w:eastAsia="en-US"/>
        </w:rPr>
        <w:t>Nortic</w:t>
      </w:r>
      <w:proofErr w:type="spellEnd"/>
      <w:r w:rsidRPr="0029445B">
        <w:rPr>
          <w:rFonts w:eastAsia="Calibri"/>
          <w:color w:val="767171"/>
          <w:spacing w:val="20"/>
          <w:lang w:val="es-ES" w:eastAsia="en-US"/>
        </w:rPr>
        <w:t xml:space="preserve"> A2 en el nuevo Portal sobre el desarrollo y gestión de los portales web y la transparencia de los organismos del Estado Dominicano. </w:t>
      </w:r>
    </w:p>
    <w:p w14:paraId="124D310A" w14:textId="77777777" w:rsidR="0029445B" w:rsidRPr="0029445B" w:rsidRDefault="0029445B" w:rsidP="00CB4994">
      <w:pPr>
        <w:pStyle w:val="paragraph"/>
        <w:numPr>
          <w:ilvl w:val="0"/>
          <w:numId w:val="25"/>
        </w:numPr>
        <w:spacing w:before="0" w:beforeAutospacing="0" w:after="0" w:afterAutospacing="0" w:line="360" w:lineRule="auto"/>
        <w:jc w:val="both"/>
        <w:textAlignment w:val="baseline"/>
        <w:rPr>
          <w:rFonts w:eastAsia="Calibri"/>
          <w:color w:val="767171"/>
          <w:spacing w:val="20"/>
          <w:lang w:val="es-ES" w:eastAsia="en-US"/>
        </w:rPr>
      </w:pPr>
      <w:r w:rsidRPr="0029445B">
        <w:rPr>
          <w:rFonts w:eastAsia="Calibri"/>
          <w:color w:val="767171"/>
          <w:spacing w:val="20"/>
          <w:lang w:val="es-ES" w:eastAsia="en-US"/>
        </w:rPr>
        <w:t xml:space="preserve">Recertificación de la </w:t>
      </w:r>
      <w:proofErr w:type="spellStart"/>
      <w:r w:rsidRPr="0029445B">
        <w:rPr>
          <w:rFonts w:eastAsia="Calibri"/>
          <w:color w:val="767171"/>
          <w:spacing w:val="20"/>
          <w:lang w:val="es-ES" w:eastAsia="en-US"/>
        </w:rPr>
        <w:t>Nortic</w:t>
      </w:r>
      <w:proofErr w:type="spellEnd"/>
      <w:r w:rsidRPr="0029445B">
        <w:rPr>
          <w:rFonts w:eastAsia="Calibri"/>
          <w:color w:val="767171"/>
          <w:spacing w:val="20"/>
          <w:lang w:val="es-ES" w:eastAsia="en-US"/>
        </w:rPr>
        <w:t xml:space="preserve"> A3 sobre publicación de datos abiertos del Gobierno Dominicano. </w:t>
      </w:r>
    </w:p>
    <w:p w14:paraId="587E011F" w14:textId="4B56AE89" w:rsidR="00324A48" w:rsidRPr="00A13075" w:rsidRDefault="00324A48" w:rsidP="005B602C">
      <w:pPr>
        <w:pStyle w:val="paragraph"/>
        <w:spacing w:before="0" w:beforeAutospacing="0" w:after="0" w:afterAutospacing="0"/>
        <w:jc w:val="both"/>
        <w:textAlignment w:val="baseline"/>
        <w:rPr>
          <w:rFonts w:eastAsia="Calibri"/>
          <w:color w:val="767171"/>
          <w:spacing w:val="20"/>
          <w:lang w:val="es-ES" w:eastAsia="en-US"/>
        </w:rPr>
      </w:pPr>
    </w:p>
    <w:p w14:paraId="1F91BAF5" w14:textId="67CC818D" w:rsidR="00BA69ED" w:rsidRDefault="008D0E58" w:rsidP="006B204A">
      <w:pPr>
        <w:pStyle w:val="paragraph"/>
        <w:spacing w:before="0" w:beforeAutospacing="0" w:after="0" w:afterAutospacing="0" w:line="360" w:lineRule="auto"/>
        <w:jc w:val="center"/>
        <w:textAlignment w:val="baseline"/>
        <w:rPr>
          <w:rFonts w:eastAsia="Calibri"/>
          <w:b/>
          <w:bCs/>
          <w:color w:val="767171"/>
          <w:spacing w:val="20"/>
          <w:lang w:val="es-ES" w:eastAsia="en-US"/>
        </w:rPr>
      </w:pPr>
      <w:r>
        <w:rPr>
          <w:rFonts w:eastAsia="Calibri"/>
          <w:b/>
          <w:bCs/>
          <w:color w:val="767171"/>
          <w:spacing w:val="20"/>
          <w:lang w:val="es-ES" w:eastAsia="en-US"/>
        </w:rPr>
        <w:t xml:space="preserve">Gráfico 1. </w:t>
      </w:r>
      <w:r w:rsidR="00BA69ED" w:rsidRPr="008D0E58">
        <w:rPr>
          <w:rFonts w:eastAsia="Calibri"/>
          <w:b/>
          <w:bCs/>
          <w:color w:val="767171"/>
          <w:spacing w:val="20"/>
          <w:lang w:val="es-ES" w:eastAsia="en-US"/>
        </w:rPr>
        <w:t>Avance ITICGE</w:t>
      </w:r>
    </w:p>
    <w:p w14:paraId="378EBA65" w14:textId="5B905BE1" w:rsidR="00324A48" w:rsidRPr="008D0E58" w:rsidRDefault="00324A48" w:rsidP="006B204A">
      <w:pPr>
        <w:pStyle w:val="paragraph"/>
        <w:spacing w:before="0" w:beforeAutospacing="0" w:after="0" w:afterAutospacing="0"/>
        <w:jc w:val="both"/>
        <w:textAlignment w:val="baseline"/>
        <w:rPr>
          <w:rFonts w:eastAsia="Calibri"/>
          <w:b/>
          <w:bCs/>
          <w:color w:val="767171"/>
          <w:spacing w:val="20"/>
          <w:lang w:val="es-ES" w:eastAsia="en-US"/>
        </w:rPr>
      </w:pPr>
    </w:p>
    <w:p w14:paraId="34BE1595" w14:textId="49683059" w:rsidR="00BA69ED" w:rsidRDefault="00BA69ED" w:rsidP="006B204A">
      <w:pPr>
        <w:pStyle w:val="paragraph"/>
        <w:spacing w:before="0" w:beforeAutospacing="0" w:after="0" w:afterAutospacing="0"/>
        <w:jc w:val="center"/>
        <w:textAlignment w:val="baseline"/>
      </w:pPr>
      <w:r>
        <w:rPr>
          <w:rStyle w:val="wacimagecontainer"/>
          <w:noProof/>
        </w:rPr>
        <w:drawing>
          <wp:inline distT="0" distB="0" distL="0" distR="0" wp14:anchorId="6541B2FC" wp14:editId="71BBB6FE">
            <wp:extent cx="4953000" cy="2286000"/>
            <wp:effectExtent l="0" t="0" r="0" b="0"/>
            <wp:docPr id="754653111" name="Imagen 754653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4653111" name="Imagen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953000" cy="2286000"/>
                    </a:xfrm>
                    <a:prstGeom prst="rect">
                      <a:avLst/>
                    </a:prstGeom>
                    <a:noFill/>
                    <a:ln>
                      <a:noFill/>
                    </a:ln>
                  </pic:spPr>
                </pic:pic>
              </a:graphicData>
            </a:graphic>
          </wp:inline>
        </w:drawing>
      </w:r>
      <w:r>
        <w:rPr>
          <w:rStyle w:val="eop"/>
        </w:rPr>
        <w:t> </w:t>
      </w:r>
    </w:p>
    <w:p w14:paraId="6A80C586" w14:textId="427CE1A3" w:rsidR="00825D32" w:rsidRPr="00825D32" w:rsidRDefault="008D0E58" w:rsidP="006B204A">
      <w:pPr>
        <w:pStyle w:val="paragraph"/>
        <w:spacing w:before="0" w:beforeAutospacing="0" w:after="0" w:afterAutospacing="0"/>
        <w:jc w:val="both"/>
        <w:textAlignment w:val="baseline"/>
        <w:rPr>
          <w:color w:val="767171"/>
        </w:rPr>
      </w:pPr>
      <w:r w:rsidRPr="00825D32">
        <w:rPr>
          <w:rStyle w:val="normaltextrun"/>
          <w:b/>
          <w:bCs/>
          <w:color w:val="767171"/>
        </w:rPr>
        <w:t>Fuente</w:t>
      </w:r>
      <w:r w:rsidRPr="00825D32">
        <w:rPr>
          <w:rStyle w:val="normaltextrun"/>
          <w:color w:val="767171"/>
        </w:rPr>
        <w:t xml:space="preserve">: </w:t>
      </w:r>
      <w:r w:rsidR="00D5262D" w:rsidRPr="00825D32">
        <w:rPr>
          <w:rStyle w:val="normaltextrun"/>
          <w:color w:val="767171"/>
        </w:rPr>
        <w:t>Oficina Gubernamental de Tecnologías de la Información y Comunicación (OGTIC)</w:t>
      </w:r>
      <w:r w:rsidR="00825D32" w:rsidRPr="00825D32">
        <w:rPr>
          <w:rStyle w:val="normaltextrun"/>
          <w:color w:val="767171"/>
        </w:rPr>
        <w:t xml:space="preserve"> - </w:t>
      </w:r>
      <w:r w:rsidR="00BA69ED" w:rsidRPr="00825D32">
        <w:rPr>
          <w:rStyle w:val="normaltextrun"/>
          <w:color w:val="767171"/>
        </w:rPr>
        <w:t>Para el año 2023 OGTIC cambio la metodología de evaluación</w:t>
      </w:r>
      <w:r w:rsidR="00825D32" w:rsidRPr="00825D32">
        <w:rPr>
          <w:rStyle w:val="normaltextrun"/>
          <w:color w:val="767171"/>
        </w:rPr>
        <w:t>.</w:t>
      </w:r>
    </w:p>
    <w:p w14:paraId="175029D3" w14:textId="7991823D" w:rsidR="00BA69ED" w:rsidRPr="00324A48" w:rsidRDefault="00BA69ED" w:rsidP="006B204A">
      <w:pPr>
        <w:pStyle w:val="paragraph"/>
        <w:spacing w:before="0" w:beforeAutospacing="0" w:after="0" w:afterAutospacing="0"/>
        <w:jc w:val="center"/>
        <w:textAlignment w:val="baseline"/>
      </w:pPr>
    </w:p>
    <w:p w14:paraId="54165E6E" w14:textId="77777777" w:rsidR="005645F5" w:rsidRPr="005645F5" w:rsidRDefault="005645F5" w:rsidP="006B204A">
      <w:pPr>
        <w:pStyle w:val="paragraph"/>
        <w:spacing w:before="0" w:beforeAutospacing="0" w:after="0" w:afterAutospacing="0" w:line="360" w:lineRule="auto"/>
        <w:ind w:left="1080"/>
        <w:jc w:val="both"/>
        <w:textAlignment w:val="baseline"/>
        <w:rPr>
          <w:rFonts w:eastAsiaTheme="minorHAnsi"/>
          <w:color w:val="767171"/>
          <w:spacing w:val="20"/>
          <w:lang w:eastAsia="en-US"/>
        </w:rPr>
      </w:pPr>
    </w:p>
    <w:p w14:paraId="53CCDB09" w14:textId="05E08A1C" w:rsidR="00E52ED4" w:rsidRPr="00EB0CDA" w:rsidRDefault="009B786D" w:rsidP="006B204A">
      <w:pPr>
        <w:pStyle w:val="Estilo3"/>
        <w:spacing w:before="0" w:after="160" w:line="360" w:lineRule="auto"/>
        <w:rPr>
          <w:b/>
          <w:szCs w:val="24"/>
        </w:rPr>
      </w:pPr>
      <w:bookmarkStart w:id="94" w:name="_Toc122435021"/>
      <w:bookmarkStart w:id="95" w:name="_Toc123046926"/>
      <w:bookmarkStart w:id="96" w:name="_Toc155354623"/>
      <w:r>
        <w:rPr>
          <w:b/>
          <w:szCs w:val="24"/>
        </w:rPr>
        <w:t>4</w:t>
      </w:r>
      <w:r w:rsidR="00E52ED4" w:rsidRPr="00EB0CDA">
        <w:rPr>
          <w:b/>
          <w:szCs w:val="24"/>
        </w:rPr>
        <w:t xml:space="preserve">.5 Desempeño del </w:t>
      </w:r>
      <w:r w:rsidR="00390527">
        <w:rPr>
          <w:b/>
          <w:szCs w:val="24"/>
        </w:rPr>
        <w:t>S</w:t>
      </w:r>
      <w:r w:rsidR="00E52ED4" w:rsidRPr="00EB0CDA">
        <w:rPr>
          <w:b/>
          <w:szCs w:val="24"/>
        </w:rPr>
        <w:t>istema de Planificación y Desarrollo Institucional</w:t>
      </w:r>
      <w:bookmarkEnd w:id="94"/>
      <w:bookmarkEnd w:id="95"/>
      <w:bookmarkEnd w:id="96"/>
    </w:p>
    <w:p w14:paraId="1A252EB3" w14:textId="02A20649" w:rsidR="00A475BD" w:rsidRDefault="00A475BD" w:rsidP="00F6586B">
      <w:pPr>
        <w:spacing w:line="360" w:lineRule="auto"/>
        <w:rPr>
          <w:b/>
          <w:bCs/>
          <w:lang w:val="es-DO"/>
        </w:rPr>
      </w:pPr>
      <w:r>
        <w:rPr>
          <w:b/>
          <w:bCs/>
          <w:lang w:val="es-DO"/>
        </w:rPr>
        <w:t>Planificación Estratégica</w:t>
      </w:r>
    </w:p>
    <w:p w14:paraId="64EEC765" w14:textId="707D43E5" w:rsidR="009F245C" w:rsidRPr="00C865B6" w:rsidRDefault="009D4FF4" w:rsidP="009F245C">
      <w:pPr>
        <w:spacing w:line="360" w:lineRule="auto"/>
        <w:jc w:val="both"/>
        <w:rPr>
          <w:lang w:val="es-DO"/>
        </w:rPr>
      </w:pPr>
      <w:r>
        <w:rPr>
          <w:lang w:val="es-DO"/>
        </w:rPr>
        <w:lastRenderedPageBreak/>
        <w:t xml:space="preserve">Desde el 2021, la </w:t>
      </w:r>
      <w:r w:rsidR="006F5E87">
        <w:rPr>
          <w:lang w:val="es-DO"/>
        </w:rPr>
        <w:t xml:space="preserve">Superintendencia de Bancos ha </w:t>
      </w:r>
      <w:r w:rsidR="008556D8">
        <w:rPr>
          <w:lang w:val="es-DO"/>
        </w:rPr>
        <w:t xml:space="preserve">puesto en marcha su </w:t>
      </w:r>
      <w:r w:rsidR="009F245C">
        <w:rPr>
          <w:lang w:val="es-DO"/>
        </w:rPr>
        <w:t xml:space="preserve">Plan Estratégico Institucional 2021-2024, </w:t>
      </w:r>
      <w:r w:rsidR="008556D8">
        <w:rPr>
          <w:lang w:val="es-DO"/>
        </w:rPr>
        <w:t>compuesto de 6 ejes estratégicos</w:t>
      </w:r>
      <w:r w:rsidR="008556D8" w:rsidRPr="00C865B6">
        <w:rPr>
          <w:lang w:val="es-DO"/>
        </w:rPr>
        <w:t xml:space="preserve"> que tienen como objetivo mejorar la supervisión y regulación de las entidades de intermediación financiera y los intermediarios cambiarios</w:t>
      </w:r>
      <w:r w:rsidR="008556D8">
        <w:rPr>
          <w:lang w:val="es-DO"/>
        </w:rPr>
        <w:t xml:space="preserve">. </w:t>
      </w:r>
      <w:r w:rsidR="00FB4FA0">
        <w:rPr>
          <w:lang w:val="es-DO"/>
        </w:rPr>
        <w:t>L</w:t>
      </w:r>
      <w:r w:rsidR="008556D8">
        <w:rPr>
          <w:lang w:val="es-DO"/>
        </w:rPr>
        <w:t>a</w:t>
      </w:r>
      <w:r w:rsidR="009F245C">
        <w:rPr>
          <w:lang w:val="es-DO"/>
        </w:rPr>
        <w:t xml:space="preserve"> ejecuci</w:t>
      </w:r>
      <w:r w:rsidR="00A3100A">
        <w:rPr>
          <w:lang w:val="es-DO"/>
        </w:rPr>
        <w:t>ón de</w:t>
      </w:r>
      <w:r w:rsidR="009F245C">
        <w:rPr>
          <w:lang w:val="es-DO"/>
        </w:rPr>
        <w:t xml:space="preserve">l </w:t>
      </w:r>
      <w:r w:rsidR="008556D8">
        <w:rPr>
          <w:lang w:val="es-DO"/>
        </w:rPr>
        <w:t xml:space="preserve">PEI </w:t>
      </w:r>
      <w:r w:rsidR="009F245C">
        <w:rPr>
          <w:lang w:val="es-DO"/>
        </w:rPr>
        <w:t xml:space="preserve">2021-2024 alcanzó un nivel de cumplimiento en sus metas de </w:t>
      </w:r>
      <w:r w:rsidR="00F85411">
        <w:rPr>
          <w:lang w:val="es-DO"/>
        </w:rPr>
        <w:t>6</w:t>
      </w:r>
      <w:r w:rsidR="009F245C">
        <w:rPr>
          <w:lang w:val="es-DO"/>
        </w:rPr>
        <w:t>8%</w:t>
      </w:r>
      <w:r w:rsidR="0040769C">
        <w:rPr>
          <w:lang w:val="es-DO"/>
        </w:rPr>
        <w:t xml:space="preserve"> </w:t>
      </w:r>
      <w:r w:rsidR="00FB4FA0">
        <w:rPr>
          <w:lang w:val="es-DO"/>
        </w:rPr>
        <w:t>para el período enero – noviembre 2023.</w:t>
      </w:r>
    </w:p>
    <w:p w14:paraId="40497974" w14:textId="618C25D3" w:rsidR="004A0176" w:rsidRPr="00C865B6" w:rsidRDefault="00D25425" w:rsidP="00D25425">
      <w:pPr>
        <w:spacing w:line="360" w:lineRule="auto"/>
        <w:jc w:val="center"/>
        <w:rPr>
          <w:lang w:val="es-DO"/>
        </w:rPr>
      </w:pPr>
      <w:r>
        <w:rPr>
          <w:lang w:val="es-DO"/>
        </w:rPr>
        <w:t>Gráfico 2: Nivel de ejecución Plan Estratégico.</w:t>
      </w:r>
      <w:r w:rsidR="00EC7C55">
        <w:rPr>
          <w:noProof/>
          <w:lang w:val="es-DO"/>
        </w:rPr>
        <w:drawing>
          <wp:inline distT="0" distB="0" distL="0" distR="0" wp14:anchorId="5014CDEA" wp14:editId="2D61B302">
            <wp:extent cx="5029200" cy="2933700"/>
            <wp:effectExtent l="0" t="0" r="0" b="0"/>
            <wp:docPr id="120113407" name="Gráfico 2"/>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14:paraId="14E4BE2A" w14:textId="76A09D7D" w:rsidR="00312E04" w:rsidRPr="00E81D84" w:rsidRDefault="00D25425" w:rsidP="00E81D84">
      <w:pPr>
        <w:spacing w:line="360" w:lineRule="auto"/>
        <w:jc w:val="center"/>
        <w:rPr>
          <w:lang w:val="es-DO"/>
        </w:rPr>
      </w:pPr>
      <w:r w:rsidRPr="00E81D84">
        <w:rPr>
          <w:b/>
          <w:bCs/>
          <w:lang w:val="es-DO"/>
        </w:rPr>
        <w:t>Fuente</w:t>
      </w:r>
      <w:r w:rsidRPr="00E81D84">
        <w:rPr>
          <w:lang w:val="es-DO"/>
        </w:rPr>
        <w:t>: Elaborac</w:t>
      </w:r>
      <w:r w:rsidR="0033356B" w:rsidRPr="00E81D84">
        <w:rPr>
          <w:lang w:val="es-DO"/>
        </w:rPr>
        <w:t>ión propia</w:t>
      </w:r>
      <w:r w:rsidR="006257AE" w:rsidRPr="00E81D84">
        <w:rPr>
          <w:lang w:val="es-DO"/>
        </w:rPr>
        <w:t xml:space="preserve"> </w:t>
      </w:r>
      <w:r w:rsidR="004B5AF8" w:rsidRPr="00E81D84">
        <w:rPr>
          <w:lang w:val="es-DO"/>
        </w:rPr>
        <w:t>a partir de los datos de la División de Planificación</w:t>
      </w:r>
    </w:p>
    <w:p w14:paraId="07156557" w14:textId="77777777" w:rsidR="004B5AF8" w:rsidRDefault="004B5AF8" w:rsidP="00F6586B">
      <w:pPr>
        <w:spacing w:line="360" w:lineRule="auto"/>
        <w:rPr>
          <w:b/>
          <w:bCs/>
          <w:lang w:val="es-DO"/>
        </w:rPr>
      </w:pPr>
    </w:p>
    <w:p w14:paraId="7A69514C" w14:textId="0AC6C8E3" w:rsidR="00E52ED4" w:rsidRDefault="00E52ED4" w:rsidP="00F6586B">
      <w:pPr>
        <w:spacing w:line="360" w:lineRule="auto"/>
        <w:rPr>
          <w:b/>
          <w:bCs/>
          <w:lang w:val="es-DO"/>
        </w:rPr>
      </w:pPr>
      <w:r w:rsidRPr="00EB0CDA">
        <w:rPr>
          <w:b/>
          <w:bCs/>
          <w:lang w:val="es-DO"/>
        </w:rPr>
        <w:t>Planificación Operativa</w:t>
      </w:r>
    </w:p>
    <w:p w14:paraId="314F73A7" w14:textId="77B6500A" w:rsidR="000059C6" w:rsidRPr="00C865B6" w:rsidRDefault="000059C6" w:rsidP="006B204A">
      <w:pPr>
        <w:spacing w:line="360" w:lineRule="auto"/>
        <w:jc w:val="both"/>
        <w:rPr>
          <w:lang w:val="es-DO"/>
        </w:rPr>
      </w:pPr>
      <w:r w:rsidRPr="00C865B6">
        <w:rPr>
          <w:lang w:val="es-DO"/>
        </w:rPr>
        <w:t>Con el objetivo de alcanzar los resultados esperados en el Plan Estratégico Institucional 2021-2024, se elaboró el Plan Operativo Anual (POA) 202</w:t>
      </w:r>
      <w:r w:rsidR="00E0624D">
        <w:rPr>
          <w:lang w:val="es-DO"/>
        </w:rPr>
        <w:t>3</w:t>
      </w:r>
      <w:r w:rsidRPr="00C865B6">
        <w:rPr>
          <w:lang w:val="es-DO"/>
        </w:rPr>
        <w:t xml:space="preserve">, </w:t>
      </w:r>
      <w:r w:rsidR="007B556B">
        <w:rPr>
          <w:lang w:val="es-DO"/>
        </w:rPr>
        <w:t>conformado por</w:t>
      </w:r>
      <w:r w:rsidRPr="00C865B6">
        <w:rPr>
          <w:lang w:val="es-DO"/>
        </w:rPr>
        <w:t xml:space="preserve"> </w:t>
      </w:r>
      <w:r w:rsidR="006B31C2">
        <w:rPr>
          <w:lang w:val="es-DO"/>
        </w:rPr>
        <w:t>82</w:t>
      </w:r>
      <w:r w:rsidRPr="00C865B6">
        <w:rPr>
          <w:lang w:val="es-DO"/>
        </w:rPr>
        <w:t xml:space="preserve"> proyectos y productos asociados a iniciativas de transformación y producción misional</w:t>
      </w:r>
      <w:r w:rsidR="00B161F7">
        <w:rPr>
          <w:lang w:val="es-DO"/>
        </w:rPr>
        <w:t xml:space="preserve">, </w:t>
      </w:r>
      <w:r w:rsidRPr="00C865B6">
        <w:rPr>
          <w:lang w:val="es-DO"/>
        </w:rPr>
        <w:lastRenderedPageBreak/>
        <w:t xml:space="preserve">ejecutados </w:t>
      </w:r>
      <w:r w:rsidR="00292857" w:rsidRPr="00C865B6">
        <w:rPr>
          <w:lang w:val="es-DO"/>
        </w:rPr>
        <w:t>por</w:t>
      </w:r>
      <w:r w:rsidR="00292857">
        <w:rPr>
          <w:lang w:val="es-DO"/>
        </w:rPr>
        <w:t xml:space="preserve"> </w:t>
      </w:r>
      <w:r w:rsidR="00AD5523">
        <w:rPr>
          <w:lang w:val="es-DO"/>
        </w:rPr>
        <w:t xml:space="preserve">24 </w:t>
      </w:r>
      <w:r w:rsidR="00292857" w:rsidRPr="00C865B6">
        <w:rPr>
          <w:lang w:val="es-DO"/>
        </w:rPr>
        <w:t>departamentos</w:t>
      </w:r>
      <w:r w:rsidRPr="00C865B6">
        <w:rPr>
          <w:lang w:val="es-DO"/>
        </w:rPr>
        <w:t xml:space="preserve"> y áreas de la institución.</w:t>
      </w:r>
      <w:r w:rsidR="005D19B9">
        <w:rPr>
          <w:lang w:val="es-DO"/>
        </w:rPr>
        <w:t xml:space="preserve"> Al corte de noviembre del presente año, l</w:t>
      </w:r>
      <w:r w:rsidRPr="00C865B6">
        <w:rPr>
          <w:lang w:val="es-DO"/>
        </w:rPr>
        <w:t>a ejecución POA</w:t>
      </w:r>
      <w:r w:rsidR="005D19B9">
        <w:rPr>
          <w:lang w:val="es-DO"/>
        </w:rPr>
        <w:t xml:space="preserve"> </w:t>
      </w:r>
      <w:r w:rsidR="006C1E6A">
        <w:rPr>
          <w:lang w:val="es-DO"/>
        </w:rPr>
        <w:t xml:space="preserve">alcanzó </w:t>
      </w:r>
      <w:r w:rsidRPr="00435B75">
        <w:rPr>
          <w:lang w:val="es-DO"/>
        </w:rPr>
        <w:t xml:space="preserve">un </w:t>
      </w:r>
      <w:r w:rsidR="001C3284">
        <w:rPr>
          <w:lang w:val="es-DO"/>
        </w:rPr>
        <w:t>72</w:t>
      </w:r>
      <w:r w:rsidRPr="00435B75">
        <w:rPr>
          <w:lang w:val="es-DO"/>
        </w:rPr>
        <w:t>% de</w:t>
      </w:r>
      <w:r w:rsidRPr="00C865B6">
        <w:rPr>
          <w:lang w:val="es-DO"/>
        </w:rPr>
        <w:t xml:space="preserve"> avance en cuanto a </w:t>
      </w:r>
      <w:r w:rsidR="00DA4B5C">
        <w:rPr>
          <w:lang w:val="es-DO"/>
        </w:rPr>
        <w:t>proyectos y productos</w:t>
      </w:r>
      <w:r w:rsidR="00435B75">
        <w:rPr>
          <w:lang w:val="es-DO"/>
        </w:rPr>
        <w:t xml:space="preserve">, </w:t>
      </w:r>
      <w:r w:rsidR="006C1E6A">
        <w:rPr>
          <w:lang w:val="es-DO"/>
        </w:rPr>
        <w:t xml:space="preserve">con </w:t>
      </w:r>
      <w:r w:rsidR="009465E7">
        <w:rPr>
          <w:lang w:val="es-DO"/>
        </w:rPr>
        <w:t>59</w:t>
      </w:r>
      <w:r w:rsidRPr="00C865B6">
        <w:rPr>
          <w:lang w:val="es-DO"/>
        </w:rPr>
        <w:t xml:space="preserve"> productos y proyectos concluidos.</w:t>
      </w:r>
      <w:r w:rsidR="0045147F">
        <w:rPr>
          <w:lang w:val="es-DO"/>
        </w:rPr>
        <w:t xml:space="preserve"> </w:t>
      </w:r>
    </w:p>
    <w:p w14:paraId="1C867247" w14:textId="0B427953" w:rsidR="00111783" w:rsidRPr="00111783" w:rsidRDefault="007758B2" w:rsidP="00111783">
      <w:pPr>
        <w:spacing w:line="360" w:lineRule="auto"/>
        <w:jc w:val="both"/>
        <w:rPr>
          <w:lang w:val="es-DO"/>
        </w:rPr>
      </w:pPr>
      <w:r>
        <w:rPr>
          <w:lang w:val="es-DO"/>
        </w:rPr>
        <w:t xml:space="preserve">Asimismo, se llevó a cabo la implementación de una </w:t>
      </w:r>
      <w:r w:rsidR="00CA6B90" w:rsidRPr="0013285B">
        <w:rPr>
          <w:lang w:val="es-DO"/>
        </w:rPr>
        <w:t>Oficina de Gestión de Proyectos</w:t>
      </w:r>
      <w:r w:rsidR="00F83F4B">
        <w:rPr>
          <w:lang w:val="es-DO"/>
        </w:rPr>
        <w:t xml:space="preserve"> </w:t>
      </w:r>
      <w:r w:rsidRPr="0013285B">
        <w:rPr>
          <w:lang w:val="es-DO"/>
        </w:rPr>
        <w:t>(PMO</w:t>
      </w:r>
      <w:r w:rsidR="0013285B" w:rsidRPr="0013285B">
        <w:rPr>
          <w:lang w:val="es-DO"/>
        </w:rPr>
        <w:t xml:space="preserve"> por sus siglas en inglés</w:t>
      </w:r>
      <w:r w:rsidRPr="0013285B">
        <w:rPr>
          <w:lang w:val="es-DO"/>
        </w:rPr>
        <w:t>)</w:t>
      </w:r>
      <w:r w:rsidR="0013285B" w:rsidRPr="0013285B">
        <w:rPr>
          <w:lang w:val="es-DO"/>
        </w:rPr>
        <w:t>.</w:t>
      </w:r>
      <w:r w:rsidR="00CA6B90">
        <w:rPr>
          <w:b/>
          <w:bCs/>
          <w:lang w:val="es-DO"/>
        </w:rPr>
        <w:t xml:space="preserve"> </w:t>
      </w:r>
      <w:r w:rsidR="00CA6B90" w:rsidRPr="00CA6B90">
        <w:rPr>
          <w:lang w:val="es-DO"/>
        </w:rPr>
        <w:t>Mediante este proyecto, la institución establec</w:t>
      </w:r>
      <w:r w:rsidR="000F3A05">
        <w:rPr>
          <w:lang w:val="es-DO"/>
        </w:rPr>
        <w:t>ió</w:t>
      </w:r>
      <w:r w:rsidR="00CA6B90" w:rsidRPr="00CA6B90">
        <w:rPr>
          <w:lang w:val="es-DO"/>
        </w:rPr>
        <w:t xml:space="preserve"> </w:t>
      </w:r>
      <w:r w:rsidR="00111783" w:rsidRPr="00111783">
        <w:rPr>
          <w:lang w:val="es-DO"/>
        </w:rPr>
        <w:t>una metodología estandarizada de dirección de proyectos en la Superintendencia de Bancos</w:t>
      </w:r>
      <w:r w:rsidR="000F3A05">
        <w:rPr>
          <w:lang w:val="es-DO"/>
        </w:rPr>
        <w:t>, con el objetivo de</w:t>
      </w:r>
      <w:r w:rsidR="00111783" w:rsidRPr="00111783">
        <w:rPr>
          <w:lang w:val="es-DO"/>
        </w:rPr>
        <w:t xml:space="preserve"> respald</w:t>
      </w:r>
      <w:r w:rsidR="00700E8E">
        <w:rPr>
          <w:lang w:val="es-DO"/>
        </w:rPr>
        <w:t>ar</w:t>
      </w:r>
      <w:r w:rsidR="00111783" w:rsidRPr="00111783">
        <w:rPr>
          <w:lang w:val="es-DO"/>
        </w:rPr>
        <w:t xml:space="preserve"> el logro de la estrategia institucional y de este modo </w:t>
      </w:r>
      <w:r w:rsidR="00E02597">
        <w:rPr>
          <w:lang w:val="es-DO"/>
        </w:rPr>
        <w:t xml:space="preserve">propiciar </w:t>
      </w:r>
      <w:r w:rsidR="00820B10">
        <w:rPr>
          <w:lang w:val="es-DO"/>
        </w:rPr>
        <w:t xml:space="preserve">la </w:t>
      </w:r>
      <w:r w:rsidR="00204355">
        <w:rPr>
          <w:lang w:val="es-DO"/>
        </w:rPr>
        <w:t>consecución</w:t>
      </w:r>
      <w:r w:rsidR="00820B10">
        <w:rPr>
          <w:lang w:val="es-DO"/>
        </w:rPr>
        <w:t xml:space="preserve"> de su</w:t>
      </w:r>
      <w:r w:rsidR="00E02597">
        <w:rPr>
          <w:lang w:val="es-DO"/>
        </w:rPr>
        <w:t xml:space="preserve"> visión</w:t>
      </w:r>
      <w:r w:rsidR="00383B2B">
        <w:rPr>
          <w:lang w:val="es-DO"/>
        </w:rPr>
        <w:t>.</w:t>
      </w:r>
    </w:p>
    <w:p w14:paraId="164FD7A0" w14:textId="56CC680C" w:rsidR="00BD77DC" w:rsidRPr="00C865B6" w:rsidRDefault="00DB148C" w:rsidP="006B204A">
      <w:pPr>
        <w:spacing w:line="360" w:lineRule="auto"/>
        <w:jc w:val="both"/>
        <w:rPr>
          <w:lang w:val="es-DO"/>
        </w:rPr>
      </w:pPr>
      <w:r>
        <w:rPr>
          <w:lang w:val="es-DO"/>
        </w:rPr>
        <w:t xml:space="preserve">En el año 2023, </w:t>
      </w:r>
      <w:r w:rsidR="00111783" w:rsidRPr="00111783">
        <w:rPr>
          <w:lang w:val="es-DO"/>
        </w:rPr>
        <w:t>se ha incluido</w:t>
      </w:r>
      <w:r w:rsidR="001F77EF">
        <w:rPr>
          <w:lang w:val="es-DO"/>
        </w:rPr>
        <w:t xml:space="preserve"> en el alcance de la PMO</w:t>
      </w:r>
      <w:r w:rsidR="00111783" w:rsidRPr="00111783">
        <w:rPr>
          <w:lang w:val="es-DO"/>
        </w:rPr>
        <w:t xml:space="preserve"> la gestión de tres programas estratégicos</w:t>
      </w:r>
      <w:r w:rsidR="000E6CC8">
        <w:rPr>
          <w:lang w:val="es-DO"/>
        </w:rPr>
        <w:t xml:space="preserve">, compuestos por </w:t>
      </w:r>
      <w:r w:rsidR="00111783" w:rsidRPr="00111783">
        <w:rPr>
          <w:lang w:val="es-DO"/>
        </w:rPr>
        <w:t>20 proyectos del total de 63 proyectos del Plan Operativo Anual (POA) 2023, representando el 31.7% del portafolio de proyectos de la SB. Los tipos de proyectos seleccionados incluyen prácticas de gestión en materia de construcción, soluciones tecnológicas y certificaciones de estándares internacionales</w:t>
      </w:r>
    </w:p>
    <w:p w14:paraId="5B555D41" w14:textId="79463A3F" w:rsidR="008007A7" w:rsidRPr="00F34108" w:rsidRDefault="00E52ED4" w:rsidP="001E280B">
      <w:pPr>
        <w:spacing w:line="360" w:lineRule="auto"/>
        <w:rPr>
          <w:b/>
          <w:lang w:val="es-DO"/>
        </w:rPr>
      </w:pPr>
      <w:r w:rsidRPr="00C865B6">
        <w:rPr>
          <w:b/>
          <w:bCs/>
          <w:lang w:val="es-DO"/>
        </w:rPr>
        <w:t>Desarrollo Organizacional</w:t>
      </w:r>
    </w:p>
    <w:p w14:paraId="1A94FE6A" w14:textId="66B51FDE" w:rsidR="008007A7" w:rsidRPr="008007A7" w:rsidRDefault="00383B2B" w:rsidP="006B204A">
      <w:pPr>
        <w:spacing w:line="360" w:lineRule="auto"/>
        <w:jc w:val="both"/>
        <w:rPr>
          <w:lang w:val="es-DO"/>
        </w:rPr>
      </w:pPr>
      <w:r>
        <w:rPr>
          <w:lang w:val="es-DO"/>
        </w:rPr>
        <w:t>En lo referente</w:t>
      </w:r>
      <w:r w:rsidR="008007A7" w:rsidRPr="008007A7">
        <w:rPr>
          <w:lang w:val="es-DO"/>
        </w:rPr>
        <w:t xml:space="preserve"> </w:t>
      </w:r>
      <w:r>
        <w:rPr>
          <w:lang w:val="es-DO"/>
        </w:rPr>
        <w:t>desarrollo organizacional</w:t>
      </w:r>
      <w:r w:rsidR="008007A7" w:rsidRPr="008007A7">
        <w:rPr>
          <w:lang w:val="es-DO"/>
        </w:rPr>
        <w:t xml:space="preserve"> la Superintendencia de Bancos </w:t>
      </w:r>
      <w:r w:rsidR="001469A6">
        <w:rPr>
          <w:lang w:val="es-DO"/>
        </w:rPr>
        <w:t>tuvo un</w:t>
      </w:r>
      <w:r w:rsidR="008007A7" w:rsidRPr="008007A7">
        <w:rPr>
          <w:lang w:val="es-DO"/>
        </w:rPr>
        <w:t xml:space="preserve"> enfoque hacia la transformación y desarrollo de las operaciones, la gestión de riesgo por procesos, la prevención de riesgos laborales, la sostenibilidad ambiental y la equidad de género. A continuación, las principales iniciativas realizadas en estos temas.</w:t>
      </w:r>
    </w:p>
    <w:p w14:paraId="07F47632" w14:textId="18265557" w:rsidR="006A7B6C" w:rsidRPr="008007A7" w:rsidRDefault="008007A7" w:rsidP="00CB4994">
      <w:pPr>
        <w:pStyle w:val="Prrafodelista"/>
        <w:numPr>
          <w:ilvl w:val="0"/>
          <w:numId w:val="22"/>
        </w:numPr>
        <w:spacing w:after="160" w:line="360" w:lineRule="auto"/>
        <w:contextualSpacing w:val="0"/>
        <w:jc w:val="both"/>
        <w:rPr>
          <w:rFonts w:ascii="Times New Roman" w:hAnsi="Times New Roman"/>
          <w:color w:val="767171"/>
          <w:spacing w:val="20"/>
          <w:sz w:val="24"/>
          <w:szCs w:val="24"/>
        </w:rPr>
      </w:pPr>
      <w:r w:rsidRPr="008007A7">
        <w:rPr>
          <w:rFonts w:ascii="Times New Roman" w:hAnsi="Times New Roman"/>
          <w:color w:val="767171"/>
          <w:spacing w:val="20"/>
          <w:sz w:val="24"/>
          <w:szCs w:val="24"/>
        </w:rPr>
        <w:t xml:space="preserve">La Superintendencia de Bancos implementó su política medioambiental a través del proyecto interno SB GREEN, fruto de la alianza instaurada con la empresa certificadora Sostenibilidad 3Rs, para lograr una superintendencia más sostenible y medioambientalmente responsable con los procesos </w:t>
      </w:r>
      <w:r w:rsidRPr="008007A7">
        <w:rPr>
          <w:rFonts w:ascii="Times New Roman" w:hAnsi="Times New Roman"/>
          <w:color w:val="767171"/>
          <w:spacing w:val="20"/>
          <w:sz w:val="24"/>
          <w:szCs w:val="24"/>
        </w:rPr>
        <w:lastRenderedPageBreak/>
        <w:t>de manejo de residuos sólidos y sistemas sostenibles, cumpliendo así con los objetivos 3, 6, 7, 11, 12, 16 y 17 de desarrollo sostenible de la ONU.</w:t>
      </w:r>
    </w:p>
    <w:p w14:paraId="457C2377" w14:textId="68227CA9" w:rsidR="008007A7" w:rsidRPr="008007A7" w:rsidRDefault="008007A7" w:rsidP="00CB4994">
      <w:pPr>
        <w:pStyle w:val="Prrafodelista"/>
        <w:numPr>
          <w:ilvl w:val="0"/>
          <w:numId w:val="22"/>
        </w:numPr>
        <w:spacing w:line="360" w:lineRule="auto"/>
        <w:contextualSpacing w:val="0"/>
        <w:jc w:val="both"/>
        <w:rPr>
          <w:rFonts w:ascii="Times New Roman" w:hAnsi="Times New Roman"/>
          <w:color w:val="767171"/>
          <w:spacing w:val="20"/>
          <w:sz w:val="24"/>
          <w:szCs w:val="24"/>
        </w:rPr>
      </w:pPr>
      <w:r w:rsidRPr="008007A7">
        <w:rPr>
          <w:rFonts w:ascii="Times New Roman" w:hAnsi="Times New Roman"/>
          <w:color w:val="767171"/>
          <w:spacing w:val="20"/>
          <w:sz w:val="24"/>
          <w:szCs w:val="24"/>
        </w:rPr>
        <w:t xml:space="preserve">En el marco de la implementación del Programa de Gestión Ambiental, la institución fue reconocida por destacar entre las organizaciones certificadas del Sector Público, en la mejora continua de sus procesos del Sistema de Gestión Ambiental. El reconocimiento fue entregado por el </w:t>
      </w:r>
      <w:proofErr w:type="gramStart"/>
      <w:r w:rsidRPr="008007A7">
        <w:rPr>
          <w:rFonts w:ascii="Times New Roman" w:hAnsi="Times New Roman"/>
          <w:color w:val="767171"/>
          <w:spacing w:val="20"/>
          <w:sz w:val="24"/>
          <w:szCs w:val="24"/>
        </w:rPr>
        <w:t>Ministro</w:t>
      </w:r>
      <w:proofErr w:type="gramEnd"/>
      <w:r w:rsidRPr="008007A7">
        <w:rPr>
          <w:rFonts w:ascii="Times New Roman" w:hAnsi="Times New Roman"/>
          <w:color w:val="767171"/>
          <w:spacing w:val="20"/>
          <w:sz w:val="24"/>
          <w:szCs w:val="24"/>
        </w:rPr>
        <w:t xml:space="preserve"> de Economía, Planificación y Desarrollo, en conjunto con la presidenta de Sostenibilidad 3Rs y la Embajadora de la Unión Europea en la Rep. Dom.</w:t>
      </w:r>
    </w:p>
    <w:p w14:paraId="4669780D" w14:textId="77777777" w:rsidR="008007A7" w:rsidRPr="008007A7" w:rsidRDefault="008007A7" w:rsidP="006B204A">
      <w:pPr>
        <w:spacing w:line="360" w:lineRule="auto"/>
        <w:jc w:val="both"/>
        <w:rPr>
          <w:lang w:val="es-DO"/>
        </w:rPr>
      </w:pPr>
      <w:r w:rsidRPr="008007A7">
        <w:rPr>
          <w:lang w:val="es-DO"/>
        </w:rPr>
        <w:t xml:space="preserve">Así mismo, la Superintendencia de Bancos continúa implementando su Sistema de Gestión de Calidad, basada en la Norma ISO 9001:2015, buscando la mejora continua de los procesos. Este despliegue ha sido planificado en 3 etapas, culminando en el 2024. </w:t>
      </w:r>
    </w:p>
    <w:p w14:paraId="572F732C" w14:textId="77777777" w:rsidR="008007A7" w:rsidRPr="008007A7" w:rsidRDefault="008007A7" w:rsidP="006B204A">
      <w:pPr>
        <w:spacing w:line="360" w:lineRule="auto"/>
        <w:jc w:val="both"/>
        <w:rPr>
          <w:lang w:val="es-DO"/>
        </w:rPr>
      </w:pPr>
      <w:r w:rsidRPr="008007A7">
        <w:rPr>
          <w:lang w:val="es-DO"/>
        </w:rPr>
        <w:t>Sobre este proyecto, a la fecha podemos citar las siguientes acciones relevantes:</w:t>
      </w:r>
    </w:p>
    <w:p w14:paraId="1E5B7A9E" w14:textId="7F99E3AC" w:rsidR="008007A7" w:rsidRPr="008007A7" w:rsidRDefault="008007A7" w:rsidP="00CB4994">
      <w:pPr>
        <w:pStyle w:val="Prrafodelista"/>
        <w:numPr>
          <w:ilvl w:val="0"/>
          <w:numId w:val="22"/>
        </w:numPr>
        <w:spacing w:line="360" w:lineRule="auto"/>
        <w:contextualSpacing w:val="0"/>
        <w:jc w:val="both"/>
        <w:rPr>
          <w:rFonts w:ascii="Times New Roman" w:hAnsi="Times New Roman"/>
          <w:color w:val="767171"/>
          <w:spacing w:val="20"/>
          <w:sz w:val="24"/>
          <w:szCs w:val="24"/>
        </w:rPr>
      </w:pPr>
      <w:r w:rsidRPr="008007A7">
        <w:rPr>
          <w:rFonts w:ascii="Times New Roman" w:hAnsi="Times New Roman"/>
          <w:color w:val="767171"/>
          <w:spacing w:val="20"/>
          <w:sz w:val="24"/>
          <w:szCs w:val="24"/>
        </w:rPr>
        <w:t>Ratifica</w:t>
      </w:r>
      <w:r w:rsidR="001469A6">
        <w:rPr>
          <w:rFonts w:ascii="Times New Roman" w:hAnsi="Times New Roman"/>
          <w:color w:val="767171"/>
          <w:spacing w:val="20"/>
          <w:sz w:val="24"/>
          <w:szCs w:val="24"/>
        </w:rPr>
        <w:t>ción de</w:t>
      </w:r>
      <w:r w:rsidRPr="008007A7">
        <w:rPr>
          <w:rFonts w:ascii="Times New Roman" w:hAnsi="Times New Roman"/>
          <w:color w:val="767171"/>
          <w:spacing w:val="20"/>
          <w:sz w:val="24"/>
          <w:szCs w:val="24"/>
        </w:rPr>
        <w:t xml:space="preserve"> conformidad para los procesos de ProUsuario, Registro &amp; Autorizaciones y áreas de apoyo a estas operaciones, que fueron certificados en la etapa 1.</w:t>
      </w:r>
    </w:p>
    <w:p w14:paraId="367BC9F4" w14:textId="0A947C30" w:rsidR="008007A7" w:rsidRPr="008007A7" w:rsidRDefault="008007A7" w:rsidP="00CB4994">
      <w:pPr>
        <w:pStyle w:val="Prrafodelista"/>
        <w:numPr>
          <w:ilvl w:val="0"/>
          <w:numId w:val="22"/>
        </w:numPr>
        <w:spacing w:line="360" w:lineRule="auto"/>
        <w:contextualSpacing w:val="0"/>
        <w:jc w:val="both"/>
        <w:rPr>
          <w:rFonts w:ascii="Times New Roman" w:hAnsi="Times New Roman"/>
          <w:color w:val="767171"/>
          <w:spacing w:val="20"/>
          <w:sz w:val="24"/>
          <w:szCs w:val="24"/>
        </w:rPr>
      </w:pPr>
      <w:r w:rsidRPr="008007A7">
        <w:rPr>
          <w:rFonts w:ascii="Times New Roman" w:hAnsi="Times New Roman"/>
          <w:color w:val="767171"/>
          <w:spacing w:val="20"/>
          <w:sz w:val="24"/>
          <w:szCs w:val="24"/>
        </w:rPr>
        <w:t>Amplia</w:t>
      </w:r>
      <w:r w:rsidR="001469A6">
        <w:rPr>
          <w:rFonts w:ascii="Times New Roman" w:hAnsi="Times New Roman"/>
          <w:color w:val="767171"/>
          <w:spacing w:val="20"/>
          <w:sz w:val="24"/>
          <w:szCs w:val="24"/>
        </w:rPr>
        <w:t>ción de</w:t>
      </w:r>
      <w:r w:rsidR="00280078">
        <w:rPr>
          <w:rFonts w:ascii="Times New Roman" w:hAnsi="Times New Roman"/>
          <w:color w:val="767171"/>
          <w:spacing w:val="20"/>
          <w:sz w:val="24"/>
          <w:szCs w:val="24"/>
        </w:rPr>
        <w:t>l</w:t>
      </w:r>
      <w:r w:rsidRPr="008007A7">
        <w:rPr>
          <w:rFonts w:ascii="Times New Roman" w:hAnsi="Times New Roman"/>
          <w:color w:val="767171"/>
          <w:spacing w:val="20"/>
          <w:sz w:val="24"/>
          <w:szCs w:val="24"/>
        </w:rPr>
        <w:t xml:space="preserve"> alcance </w:t>
      </w:r>
      <w:r w:rsidR="00280078">
        <w:rPr>
          <w:rFonts w:ascii="Times New Roman" w:hAnsi="Times New Roman"/>
          <w:color w:val="767171"/>
          <w:spacing w:val="20"/>
          <w:sz w:val="24"/>
          <w:szCs w:val="24"/>
        </w:rPr>
        <w:t>certificable</w:t>
      </w:r>
      <w:r w:rsidRPr="008007A7">
        <w:rPr>
          <w:rFonts w:ascii="Times New Roman" w:hAnsi="Times New Roman"/>
          <w:color w:val="767171"/>
          <w:spacing w:val="20"/>
          <w:sz w:val="24"/>
          <w:szCs w:val="24"/>
        </w:rPr>
        <w:t xml:space="preserve"> </w:t>
      </w:r>
      <w:r w:rsidR="00280078">
        <w:rPr>
          <w:rFonts w:ascii="Times New Roman" w:hAnsi="Times New Roman"/>
          <w:color w:val="767171"/>
          <w:spacing w:val="20"/>
          <w:sz w:val="24"/>
          <w:szCs w:val="24"/>
        </w:rPr>
        <w:t>a</w:t>
      </w:r>
      <w:r w:rsidR="00914B25">
        <w:rPr>
          <w:rFonts w:ascii="Times New Roman" w:hAnsi="Times New Roman"/>
          <w:color w:val="767171"/>
          <w:spacing w:val="20"/>
          <w:sz w:val="24"/>
          <w:szCs w:val="24"/>
        </w:rPr>
        <w:t xml:space="preserve"> los</w:t>
      </w:r>
      <w:r w:rsidRPr="008007A7">
        <w:rPr>
          <w:rFonts w:ascii="Times New Roman" w:hAnsi="Times New Roman"/>
          <w:color w:val="767171"/>
          <w:spacing w:val="20"/>
          <w:sz w:val="24"/>
          <w:szCs w:val="24"/>
        </w:rPr>
        <w:t xml:space="preserve"> proceso</w:t>
      </w:r>
      <w:r w:rsidR="00280078">
        <w:rPr>
          <w:rFonts w:ascii="Times New Roman" w:hAnsi="Times New Roman"/>
          <w:color w:val="767171"/>
          <w:spacing w:val="20"/>
          <w:sz w:val="24"/>
          <w:szCs w:val="24"/>
        </w:rPr>
        <w:t>s</w:t>
      </w:r>
      <w:r w:rsidRPr="008007A7">
        <w:rPr>
          <w:rFonts w:ascii="Times New Roman" w:hAnsi="Times New Roman"/>
          <w:color w:val="767171"/>
          <w:spacing w:val="20"/>
          <w:sz w:val="24"/>
          <w:szCs w:val="24"/>
        </w:rPr>
        <w:t xml:space="preserve"> de Supervisión PLAFT y </w:t>
      </w:r>
      <w:r w:rsidR="00E24407">
        <w:rPr>
          <w:rFonts w:ascii="Times New Roman" w:hAnsi="Times New Roman"/>
          <w:color w:val="767171"/>
          <w:spacing w:val="20"/>
          <w:sz w:val="24"/>
          <w:szCs w:val="24"/>
        </w:rPr>
        <w:t xml:space="preserve">el </w:t>
      </w:r>
      <w:r w:rsidRPr="008007A7">
        <w:rPr>
          <w:rFonts w:ascii="Times New Roman" w:hAnsi="Times New Roman"/>
          <w:color w:val="767171"/>
          <w:spacing w:val="20"/>
          <w:sz w:val="24"/>
          <w:szCs w:val="24"/>
        </w:rPr>
        <w:t xml:space="preserve">proceso Administrativo Sancionador </w:t>
      </w:r>
      <w:r w:rsidR="00E24407">
        <w:rPr>
          <w:rFonts w:ascii="Times New Roman" w:hAnsi="Times New Roman"/>
          <w:color w:val="767171"/>
          <w:spacing w:val="20"/>
          <w:sz w:val="24"/>
          <w:szCs w:val="24"/>
        </w:rPr>
        <w:t>del</w:t>
      </w:r>
      <w:r w:rsidRPr="008007A7">
        <w:rPr>
          <w:rFonts w:ascii="Times New Roman" w:hAnsi="Times New Roman"/>
          <w:color w:val="767171"/>
          <w:spacing w:val="20"/>
          <w:sz w:val="24"/>
          <w:szCs w:val="24"/>
        </w:rPr>
        <w:t xml:space="preserve"> departamento de Sanciones. </w:t>
      </w:r>
    </w:p>
    <w:p w14:paraId="45FF6537" w14:textId="00D3305E" w:rsidR="008007A7" w:rsidRPr="008007A7" w:rsidRDefault="008007A7" w:rsidP="00CB4994">
      <w:pPr>
        <w:pStyle w:val="Prrafodelista"/>
        <w:numPr>
          <w:ilvl w:val="0"/>
          <w:numId w:val="22"/>
        </w:numPr>
        <w:spacing w:line="360" w:lineRule="auto"/>
        <w:contextualSpacing w:val="0"/>
        <w:jc w:val="both"/>
        <w:rPr>
          <w:rFonts w:ascii="Times New Roman" w:hAnsi="Times New Roman"/>
          <w:color w:val="767171"/>
          <w:spacing w:val="20"/>
          <w:sz w:val="24"/>
          <w:szCs w:val="24"/>
        </w:rPr>
      </w:pPr>
      <w:r w:rsidRPr="008007A7">
        <w:rPr>
          <w:rFonts w:ascii="Times New Roman" w:hAnsi="Times New Roman"/>
          <w:color w:val="767171"/>
          <w:spacing w:val="20"/>
          <w:sz w:val="24"/>
          <w:szCs w:val="24"/>
        </w:rPr>
        <w:t xml:space="preserve">En curso la última de las 3 etapas de implementación planificadas, ampliando el alcance para incluir los procesos del departamento de Monitoreo de Riesgos y los procesos de </w:t>
      </w:r>
      <w:r w:rsidR="00645AF5">
        <w:rPr>
          <w:rFonts w:ascii="Times New Roman" w:hAnsi="Times New Roman"/>
          <w:color w:val="767171"/>
          <w:spacing w:val="20"/>
          <w:sz w:val="24"/>
          <w:szCs w:val="24"/>
        </w:rPr>
        <w:t>G</w:t>
      </w:r>
      <w:r w:rsidRPr="008007A7">
        <w:rPr>
          <w:rFonts w:ascii="Times New Roman" w:hAnsi="Times New Roman"/>
          <w:color w:val="767171"/>
          <w:spacing w:val="20"/>
          <w:sz w:val="24"/>
          <w:szCs w:val="24"/>
        </w:rPr>
        <w:t>estión de Auditores Externos del departamento de Regulación.</w:t>
      </w:r>
    </w:p>
    <w:p w14:paraId="7E06BF46" w14:textId="1082AE42" w:rsidR="00DD797A" w:rsidRPr="007630F3" w:rsidRDefault="006324B2" w:rsidP="001E280B">
      <w:pPr>
        <w:pStyle w:val="Prrafodelista"/>
        <w:numPr>
          <w:ilvl w:val="0"/>
          <w:numId w:val="22"/>
        </w:numPr>
        <w:spacing w:line="360" w:lineRule="auto"/>
        <w:contextualSpacing w:val="0"/>
        <w:jc w:val="both"/>
        <w:rPr>
          <w:rFonts w:ascii="Times New Roman" w:hAnsi="Times New Roman"/>
          <w:color w:val="767171"/>
          <w:spacing w:val="20"/>
          <w:sz w:val="24"/>
          <w:szCs w:val="24"/>
        </w:rPr>
      </w:pPr>
      <w:r>
        <w:rPr>
          <w:rFonts w:ascii="Times New Roman" w:hAnsi="Times New Roman"/>
          <w:color w:val="767171"/>
          <w:spacing w:val="20"/>
          <w:sz w:val="24"/>
          <w:szCs w:val="24"/>
        </w:rPr>
        <w:lastRenderedPageBreak/>
        <w:t>Mejora</w:t>
      </w:r>
      <w:r w:rsidR="001001B9">
        <w:rPr>
          <w:rFonts w:ascii="Times New Roman" w:hAnsi="Times New Roman"/>
          <w:color w:val="767171"/>
          <w:spacing w:val="20"/>
          <w:sz w:val="24"/>
          <w:szCs w:val="24"/>
        </w:rPr>
        <w:t xml:space="preserve"> sustancial</w:t>
      </w:r>
      <w:r w:rsidR="008007A7" w:rsidRPr="008007A7">
        <w:rPr>
          <w:rFonts w:ascii="Times New Roman" w:hAnsi="Times New Roman"/>
          <w:color w:val="767171"/>
          <w:spacing w:val="20"/>
          <w:sz w:val="24"/>
          <w:szCs w:val="24"/>
        </w:rPr>
        <w:t xml:space="preserve"> </w:t>
      </w:r>
      <w:r w:rsidR="001001B9">
        <w:rPr>
          <w:rFonts w:ascii="Times New Roman" w:hAnsi="Times New Roman"/>
          <w:color w:val="767171"/>
          <w:spacing w:val="20"/>
          <w:sz w:val="24"/>
          <w:szCs w:val="24"/>
        </w:rPr>
        <w:t>en</w:t>
      </w:r>
      <w:r w:rsidR="008007A7" w:rsidRPr="008007A7">
        <w:rPr>
          <w:rFonts w:ascii="Times New Roman" w:hAnsi="Times New Roman"/>
          <w:color w:val="767171"/>
          <w:spacing w:val="20"/>
          <w:sz w:val="24"/>
          <w:szCs w:val="24"/>
        </w:rPr>
        <w:t xml:space="preserve"> la administración y custodia de documentación controlada</w:t>
      </w:r>
      <w:r w:rsidR="001001B9">
        <w:rPr>
          <w:rFonts w:ascii="Times New Roman" w:hAnsi="Times New Roman"/>
          <w:color w:val="767171"/>
          <w:spacing w:val="20"/>
          <w:sz w:val="24"/>
          <w:szCs w:val="24"/>
        </w:rPr>
        <w:t xml:space="preserve"> mediante la </w:t>
      </w:r>
      <w:r w:rsidR="008007A7" w:rsidRPr="008007A7">
        <w:rPr>
          <w:rFonts w:ascii="Times New Roman" w:hAnsi="Times New Roman"/>
          <w:color w:val="767171"/>
          <w:spacing w:val="20"/>
          <w:sz w:val="24"/>
          <w:szCs w:val="24"/>
        </w:rPr>
        <w:t>implementa</w:t>
      </w:r>
      <w:r w:rsidR="001001B9">
        <w:rPr>
          <w:rFonts w:ascii="Times New Roman" w:hAnsi="Times New Roman"/>
          <w:color w:val="767171"/>
          <w:spacing w:val="20"/>
          <w:sz w:val="24"/>
          <w:szCs w:val="24"/>
        </w:rPr>
        <w:t>ción</w:t>
      </w:r>
      <w:r w:rsidR="00411D69">
        <w:rPr>
          <w:rFonts w:ascii="Times New Roman" w:hAnsi="Times New Roman"/>
          <w:color w:val="767171"/>
          <w:spacing w:val="20"/>
          <w:sz w:val="24"/>
          <w:szCs w:val="24"/>
        </w:rPr>
        <w:t xml:space="preserve"> de </w:t>
      </w:r>
      <w:r w:rsidR="00797869">
        <w:rPr>
          <w:rFonts w:ascii="Times New Roman" w:hAnsi="Times New Roman"/>
          <w:color w:val="767171"/>
          <w:spacing w:val="20"/>
          <w:sz w:val="24"/>
          <w:szCs w:val="24"/>
        </w:rPr>
        <w:t>un</w:t>
      </w:r>
      <w:r w:rsidR="008007A7" w:rsidRPr="008007A7">
        <w:rPr>
          <w:rFonts w:ascii="Times New Roman" w:hAnsi="Times New Roman"/>
          <w:color w:val="767171"/>
          <w:spacing w:val="20"/>
          <w:sz w:val="24"/>
          <w:szCs w:val="24"/>
        </w:rPr>
        <w:t xml:space="preserve"> repositorio</w:t>
      </w:r>
      <w:r w:rsidR="006019D2">
        <w:rPr>
          <w:rFonts w:ascii="Times New Roman" w:hAnsi="Times New Roman"/>
          <w:color w:val="767171"/>
          <w:spacing w:val="20"/>
          <w:sz w:val="24"/>
          <w:szCs w:val="24"/>
        </w:rPr>
        <w:t xml:space="preserve"> web</w:t>
      </w:r>
      <w:r w:rsidR="00D76AB9">
        <w:rPr>
          <w:rFonts w:ascii="Times New Roman" w:hAnsi="Times New Roman"/>
          <w:color w:val="767171"/>
          <w:spacing w:val="20"/>
          <w:sz w:val="24"/>
          <w:szCs w:val="24"/>
        </w:rPr>
        <w:t xml:space="preserve"> </w:t>
      </w:r>
      <w:r w:rsidR="003B5551">
        <w:rPr>
          <w:rFonts w:ascii="Times New Roman" w:hAnsi="Times New Roman"/>
          <w:color w:val="767171"/>
          <w:spacing w:val="20"/>
          <w:sz w:val="24"/>
          <w:szCs w:val="24"/>
        </w:rPr>
        <w:t xml:space="preserve">interno </w:t>
      </w:r>
      <w:r w:rsidR="00D76AB9">
        <w:rPr>
          <w:rFonts w:ascii="Times New Roman" w:hAnsi="Times New Roman"/>
          <w:color w:val="767171"/>
          <w:spacing w:val="20"/>
          <w:sz w:val="24"/>
          <w:szCs w:val="24"/>
        </w:rPr>
        <w:t xml:space="preserve">de </w:t>
      </w:r>
      <w:r w:rsidR="00DC28C5">
        <w:rPr>
          <w:rFonts w:ascii="Times New Roman" w:hAnsi="Times New Roman"/>
          <w:color w:val="767171"/>
          <w:spacing w:val="20"/>
          <w:sz w:val="24"/>
          <w:szCs w:val="24"/>
        </w:rPr>
        <w:t xml:space="preserve">políticas, procedimientos y </w:t>
      </w:r>
      <w:r w:rsidR="00D74E3E">
        <w:rPr>
          <w:rFonts w:ascii="Times New Roman" w:hAnsi="Times New Roman"/>
          <w:color w:val="767171"/>
          <w:spacing w:val="20"/>
          <w:sz w:val="24"/>
          <w:szCs w:val="24"/>
        </w:rPr>
        <w:t>formatos controlados</w:t>
      </w:r>
      <w:r w:rsidR="006019D2">
        <w:rPr>
          <w:rFonts w:ascii="Times New Roman" w:hAnsi="Times New Roman"/>
          <w:color w:val="767171"/>
          <w:spacing w:val="20"/>
          <w:sz w:val="24"/>
          <w:szCs w:val="24"/>
        </w:rPr>
        <w:t>.</w:t>
      </w:r>
      <w:r w:rsidR="008007A7" w:rsidRPr="008007A7">
        <w:rPr>
          <w:rFonts w:ascii="Times New Roman" w:hAnsi="Times New Roman"/>
          <w:color w:val="767171"/>
          <w:spacing w:val="20"/>
          <w:sz w:val="24"/>
          <w:szCs w:val="24"/>
        </w:rPr>
        <w:t xml:space="preserve"> </w:t>
      </w:r>
      <w:r w:rsidR="007738D7">
        <w:rPr>
          <w:rFonts w:ascii="Times New Roman" w:hAnsi="Times New Roman"/>
          <w:color w:val="767171"/>
          <w:spacing w:val="20"/>
          <w:sz w:val="24"/>
          <w:szCs w:val="24"/>
        </w:rPr>
        <w:t>Esta mejora</w:t>
      </w:r>
      <w:r w:rsidR="008007A7" w:rsidRPr="008007A7">
        <w:rPr>
          <w:rFonts w:ascii="Times New Roman" w:hAnsi="Times New Roman"/>
          <w:color w:val="767171"/>
          <w:spacing w:val="20"/>
          <w:sz w:val="24"/>
          <w:szCs w:val="24"/>
        </w:rPr>
        <w:t xml:space="preserve"> </w:t>
      </w:r>
      <w:r w:rsidR="007738D7">
        <w:rPr>
          <w:rFonts w:ascii="Times New Roman" w:hAnsi="Times New Roman"/>
          <w:color w:val="767171"/>
          <w:spacing w:val="20"/>
          <w:sz w:val="24"/>
          <w:szCs w:val="24"/>
        </w:rPr>
        <w:t>foment</w:t>
      </w:r>
      <w:r w:rsidR="00ED2A42">
        <w:rPr>
          <w:rFonts w:ascii="Times New Roman" w:hAnsi="Times New Roman"/>
          <w:color w:val="767171"/>
          <w:spacing w:val="20"/>
          <w:sz w:val="24"/>
          <w:szCs w:val="24"/>
        </w:rPr>
        <w:t>a</w:t>
      </w:r>
      <w:r w:rsidR="008007A7" w:rsidRPr="008007A7">
        <w:rPr>
          <w:rFonts w:ascii="Times New Roman" w:hAnsi="Times New Roman"/>
          <w:color w:val="767171"/>
          <w:spacing w:val="20"/>
          <w:sz w:val="24"/>
          <w:szCs w:val="24"/>
        </w:rPr>
        <w:t xml:space="preserve"> accesibilidad</w:t>
      </w:r>
      <w:r w:rsidR="00167497">
        <w:rPr>
          <w:rFonts w:ascii="Times New Roman" w:hAnsi="Times New Roman"/>
          <w:color w:val="767171"/>
          <w:spacing w:val="20"/>
          <w:sz w:val="24"/>
          <w:szCs w:val="24"/>
        </w:rPr>
        <w:t>,</w:t>
      </w:r>
      <w:r w:rsidR="008007A7" w:rsidRPr="008007A7">
        <w:rPr>
          <w:rFonts w:ascii="Times New Roman" w:hAnsi="Times New Roman"/>
          <w:color w:val="767171"/>
          <w:spacing w:val="20"/>
          <w:sz w:val="24"/>
          <w:szCs w:val="24"/>
        </w:rPr>
        <w:t xml:space="preserve"> </w:t>
      </w:r>
      <w:r w:rsidR="00167497">
        <w:rPr>
          <w:rFonts w:ascii="Times New Roman" w:hAnsi="Times New Roman"/>
          <w:color w:val="767171"/>
          <w:spacing w:val="20"/>
          <w:sz w:val="24"/>
          <w:szCs w:val="24"/>
        </w:rPr>
        <w:t>eficiencia</w:t>
      </w:r>
      <w:r w:rsidR="00FA516F">
        <w:rPr>
          <w:rFonts w:ascii="Times New Roman" w:hAnsi="Times New Roman"/>
          <w:color w:val="767171"/>
          <w:spacing w:val="20"/>
          <w:sz w:val="24"/>
          <w:szCs w:val="24"/>
        </w:rPr>
        <w:t xml:space="preserve">, control de información sensible y </w:t>
      </w:r>
      <w:r w:rsidR="004D7E41">
        <w:rPr>
          <w:rFonts w:ascii="Times New Roman" w:hAnsi="Times New Roman"/>
          <w:color w:val="767171"/>
          <w:spacing w:val="20"/>
          <w:sz w:val="24"/>
          <w:szCs w:val="24"/>
        </w:rPr>
        <w:t xml:space="preserve">continuidad de </w:t>
      </w:r>
      <w:r w:rsidR="00FF5C55">
        <w:rPr>
          <w:rFonts w:ascii="Times New Roman" w:hAnsi="Times New Roman"/>
          <w:color w:val="767171"/>
          <w:spacing w:val="20"/>
          <w:sz w:val="24"/>
          <w:szCs w:val="24"/>
        </w:rPr>
        <w:t>negocio</w:t>
      </w:r>
      <w:r w:rsidR="008007A7" w:rsidRPr="008007A7">
        <w:rPr>
          <w:rFonts w:ascii="Times New Roman" w:hAnsi="Times New Roman"/>
          <w:color w:val="767171"/>
          <w:spacing w:val="20"/>
          <w:sz w:val="24"/>
          <w:szCs w:val="24"/>
        </w:rPr>
        <w:t>.</w:t>
      </w:r>
    </w:p>
    <w:p w14:paraId="66EA6338" w14:textId="2242F6E7" w:rsidR="00E52ED4" w:rsidRDefault="00E52ED4" w:rsidP="001E280B">
      <w:pPr>
        <w:spacing w:line="360" w:lineRule="auto"/>
        <w:rPr>
          <w:b/>
          <w:lang w:val="es-DO"/>
        </w:rPr>
      </w:pPr>
      <w:r w:rsidRPr="00C865B6">
        <w:rPr>
          <w:b/>
          <w:lang w:val="es-DO"/>
        </w:rPr>
        <w:t>Equidad de Género</w:t>
      </w:r>
    </w:p>
    <w:p w14:paraId="473244D9" w14:textId="6CA5609E" w:rsidR="0002386B" w:rsidRDefault="0002386B" w:rsidP="006B204A">
      <w:pPr>
        <w:shd w:val="clear" w:color="auto" w:fill="FFFFFF"/>
        <w:spacing w:line="360" w:lineRule="auto"/>
        <w:jc w:val="both"/>
        <w:rPr>
          <w:rFonts w:eastAsia="Calibri"/>
          <w:lang w:val="es-DO"/>
        </w:rPr>
      </w:pPr>
      <w:r w:rsidRPr="0002386B">
        <w:rPr>
          <w:rFonts w:eastAsia="Calibri"/>
          <w:lang w:val="es-DO"/>
        </w:rPr>
        <w:t xml:space="preserve">La Superintendencia de Bancos </w:t>
      </w:r>
      <w:r w:rsidR="002001B5" w:rsidRPr="002001B5">
        <w:rPr>
          <w:rFonts w:eastAsia="Calibri"/>
          <w:lang w:val="es-DO"/>
        </w:rPr>
        <w:t>reafirma su compromiso con la promoción de la igualdad de género y la autonomía económica y social de las mujeres en el ámbito empresarial y organizacional. Este compromiso se ve respaldado por la implementación del programa Sello Igualando RD, en colaboración con el Ministerio de la Mujer y el Programa de las Naciones Unidas para el Desarrollo (PNUD)</w:t>
      </w:r>
      <w:r w:rsidR="002001B5">
        <w:rPr>
          <w:rFonts w:eastAsia="Calibri"/>
          <w:lang w:val="es-DO"/>
        </w:rPr>
        <w:t>.</w:t>
      </w:r>
      <w:r w:rsidR="00DD4417">
        <w:rPr>
          <w:rFonts w:eastAsia="Calibri"/>
          <w:lang w:val="es-DO"/>
        </w:rPr>
        <w:t xml:space="preserve"> </w:t>
      </w:r>
    </w:p>
    <w:p w14:paraId="183B728D" w14:textId="77777777" w:rsidR="00161B59" w:rsidRPr="0002386B" w:rsidRDefault="00161B59" w:rsidP="006B204A">
      <w:pPr>
        <w:shd w:val="clear" w:color="auto" w:fill="FFFFFF"/>
        <w:spacing w:after="0" w:line="360" w:lineRule="auto"/>
        <w:jc w:val="both"/>
        <w:rPr>
          <w:rFonts w:eastAsia="Calibri"/>
          <w:lang w:val="es-DO"/>
        </w:rPr>
      </w:pPr>
    </w:p>
    <w:p w14:paraId="74C32147" w14:textId="29487DA8" w:rsidR="00E52ED4" w:rsidRDefault="009B786D" w:rsidP="006B204A">
      <w:pPr>
        <w:pStyle w:val="Estilo3"/>
        <w:spacing w:before="0" w:after="160" w:line="360" w:lineRule="auto"/>
        <w:rPr>
          <w:b/>
          <w:szCs w:val="24"/>
        </w:rPr>
      </w:pPr>
      <w:bookmarkStart w:id="97" w:name="_Toc122435022"/>
      <w:bookmarkStart w:id="98" w:name="_Toc123046927"/>
      <w:bookmarkStart w:id="99" w:name="_Toc155354624"/>
      <w:r>
        <w:rPr>
          <w:b/>
          <w:szCs w:val="24"/>
        </w:rPr>
        <w:t>4</w:t>
      </w:r>
      <w:r w:rsidR="00E52ED4" w:rsidRPr="00C865B6">
        <w:rPr>
          <w:b/>
          <w:szCs w:val="24"/>
        </w:rPr>
        <w:t>.6 Desempeño en Materia Comunicacional</w:t>
      </w:r>
      <w:bookmarkEnd w:id="97"/>
      <w:bookmarkEnd w:id="98"/>
      <w:bookmarkEnd w:id="99"/>
    </w:p>
    <w:p w14:paraId="44FA7F01" w14:textId="725FB6A2" w:rsidR="00D16F90" w:rsidRPr="001A0DEC" w:rsidRDefault="00D16F90" w:rsidP="006B204A">
      <w:pPr>
        <w:pStyle w:val="paragraph"/>
        <w:spacing w:before="0" w:beforeAutospacing="0" w:after="160" w:afterAutospacing="0" w:line="360" w:lineRule="auto"/>
        <w:jc w:val="both"/>
        <w:textAlignment w:val="baseline"/>
        <w:rPr>
          <w:rFonts w:eastAsiaTheme="minorHAnsi"/>
          <w:color w:val="767171"/>
          <w:spacing w:val="20"/>
          <w:lang w:eastAsia="en-US"/>
        </w:rPr>
      </w:pPr>
      <w:r w:rsidRPr="001A0DEC">
        <w:rPr>
          <w:rFonts w:eastAsiaTheme="minorHAnsi"/>
          <w:color w:val="767171"/>
          <w:spacing w:val="20"/>
          <w:lang w:eastAsia="en-US"/>
        </w:rPr>
        <w:t xml:space="preserve">Desde el </w:t>
      </w:r>
      <w:r w:rsidR="007B297C">
        <w:rPr>
          <w:rFonts w:eastAsiaTheme="minorHAnsi"/>
          <w:color w:val="767171"/>
          <w:spacing w:val="20"/>
          <w:lang w:eastAsia="en-US"/>
        </w:rPr>
        <w:t>e</w:t>
      </w:r>
      <w:r w:rsidRPr="001A0DEC">
        <w:rPr>
          <w:rFonts w:eastAsiaTheme="minorHAnsi"/>
          <w:color w:val="767171"/>
          <w:spacing w:val="20"/>
          <w:lang w:eastAsia="en-US"/>
        </w:rPr>
        <w:t>je de Fortalecimiento Institucional del Plan Estratégico de la Superintendencia de Bancos (SB) se contempla el impulso de acciones orientadas a la transformación de la organización. Durante el año 2023</w:t>
      </w:r>
      <w:r w:rsidR="00542B16">
        <w:rPr>
          <w:rFonts w:eastAsiaTheme="minorHAnsi"/>
          <w:color w:val="767171"/>
          <w:spacing w:val="20"/>
          <w:lang w:eastAsia="en-US"/>
        </w:rPr>
        <w:t>,</w:t>
      </w:r>
      <w:r w:rsidRPr="001A0DEC">
        <w:rPr>
          <w:rFonts w:eastAsiaTheme="minorHAnsi"/>
          <w:color w:val="767171"/>
          <w:spacing w:val="20"/>
          <w:lang w:eastAsia="en-US"/>
        </w:rPr>
        <w:t xml:space="preserve"> </w:t>
      </w:r>
      <w:r w:rsidR="00E26358">
        <w:rPr>
          <w:rFonts w:eastAsiaTheme="minorHAnsi"/>
          <w:color w:val="767171"/>
          <w:spacing w:val="20"/>
          <w:lang w:eastAsia="en-US"/>
        </w:rPr>
        <w:t xml:space="preserve">la </w:t>
      </w:r>
      <w:r w:rsidR="00EF6673">
        <w:rPr>
          <w:rFonts w:eastAsiaTheme="minorHAnsi"/>
          <w:color w:val="767171"/>
          <w:spacing w:val="20"/>
          <w:lang w:eastAsia="en-US"/>
        </w:rPr>
        <w:t>estrategia</w:t>
      </w:r>
      <w:r w:rsidR="00E26358">
        <w:rPr>
          <w:rFonts w:eastAsiaTheme="minorHAnsi"/>
          <w:color w:val="767171"/>
          <w:spacing w:val="20"/>
          <w:lang w:eastAsia="en-US"/>
        </w:rPr>
        <w:t xml:space="preserve"> de </w:t>
      </w:r>
      <w:r w:rsidR="0062326C">
        <w:rPr>
          <w:rFonts w:eastAsiaTheme="minorHAnsi"/>
          <w:color w:val="767171"/>
          <w:spacing w:val="20"/>
          <w:lang w:eastAsia="en-US"/>
        </w:rPr>
        <w:t>c</w:t>
      </w:r>
      <w:r w:rsidRPr="001A0DEC">
        <w:rPr>
          <w:rFonts w:eastAsiaTheme="minorHAnsi"/>
          <w:color w:val="767171"/>
          <w:spacing w:val="20"/>
          <w:lang w:eastAsia="en-US"/>
        </w:rPr>
        <w:t>omunicaciones</w:t>
      </w:r>
      <w:r w:rsidR="00876CF9">
        <w:rPr>
          <w:rFonts w:eastAsiaTheme="minorHAnsi"/>
          <w:color w:val="767171"/>
          <w:spacing w:val="20"/>
          <w:lang w:eastAsia="en-US"/>
        </w:rPr>
        <w:t xml:space="preserve"> </w:t>
      </w:r>
      <w:r w:rsidR="00542B16">
        <w:rPr>
          <w:rFonts w:eastAsiaTheme="minorHAnsi"/>
          <w:color w:val="767171"/>
          <w:spacing w:val="20"/>
          <w:lang w:eastAsia="en-US"/>
        </w:rPr>
        <w:t xml:space="preserve">fue estructurada de manera tal que apoye </w:t>
      </w:r>
      <w:r w:rsidRPr="001A0DEC">
        <w:rPr>
          <w:rFonts w:eastAsiaTheme="minorHAnsi"/>
          <w:color w:val="767171"/>
          <w:spacing w:val="20"/>
          <w:lang w:eastAsia="en-US"/>
        </w:rPr>
        <w:t>est</w:t>
      </w:r>
      <w:r w:rsidR="00542B16">
        <w:rPr>
          <w:rFonts w:eastAsiaTheme="minorHAnsi"/>
          <w:color w:val="767171"/>
          <w:spacing w:val="20"/>
          <w:lang w:eastAsia="en-US"/>
        </w:rPr>
        <w:t>e</w:t>
      </w:r>
      <w:r w:rsidRPr="001A0DEC">
        <w:rPr>
          <w:rFonts w:eastAsiaTheme="minorHAnsi"/>
          <w:color w:val="767171"/>
          <w:spacing w:val="20"/>
          <w:lang w:eastAsia="en-US"/>
        </w:rPr>
        <w:t xml:space="preserve"> proceso</w:t>
      </w:r>
      <w:r w:rsidR="004C5766">
        <w:rPr>
          <w:rFonts w:eastAsiaTheme="minorHAnsi"/>
          <w:color w:val="767171"/>
          <w:spacing w:val="20"/>
          <w:lang w:eastAsia="en-US"/>
        </w:rPr>
        <w:t xml:space="preserve">, </w:t>
      </w:r>
      <w:r w:rsidR="00756950">
        <w:rPr>
          <w:rFonts w:eastAsiaTheme="minorHAnsi"/>
          <w:color w:val="767171"/>
          <w:spacing w:val="20"/>
          <w:lang w:eastAsia="en-US"/>
        </w:rPr>
        <w:t>fugiendo como herramienta</w:t>
      </w:r>
      <w:r w:rsidR="001127CE">
        <w:rPr>
          <w:rFonts w:eastAsiaTheme="minorHAnsi"/>
          <w:color w:val="767171"/>
          <w:spacing w:val="20"/>
          <w:lang w:eastAsia="en-US"/>
        </w:rPr>
        <w:t xml:space="preserve"> </w:t>
      </w:r>
      <w:r w:rsidR="006B313C">
        <w:rPr>
          <w:rFonts w:eastAsiaTheme="minorHAnsi"/>
          <w:color w:val="767171"/>
          <w:spacing w:val="20"/>
          <w:lang w:eastAsia="en-US"/>
        </w:rPr>
        <w:t>complementaria para los</w:t>
      </w:r>
      <w:r w:rsidRPr="001A0DEC">
        <w:rPr>
          <w:rFonts w:eastAsiaTheme="minorHAnsi"/>
          <w:color w:val="767171"/>
          <w:spacing w:val="20"/>
          <w:lang w:eastAsia="en-US"/>
        </w:rPr>
        <w:t xml:space="preserve"> proyectos</w:t>
      </w:r>
      <w:r w:rsidR="006B313C">
        <w:rPr>
          <w:rFonts w:eastAsiaTheme="minorHAnsi"/>
          <w:color w:val="767171"/>
          <w:spacing w:val="20"/>
          <w:lang w:eastAsia="en-US"/>
        </w:rPr>
        <w:t xml:space="preserve"> llevados a cabo</w:t>
      </w:r>
      <w:r w:rsidR="001127CE">
        <w:rPr>
          <w:rFonts w:eastAsiaTheme="minorHAnsi"/>
          <w:color w:val="767171"/>
          <w:spacing w:val="20"/>
          <w:lang w:eastAsia="en-US"/>
        </w:rPr>
        <w:t xml:space="preserve"> </w:t>
      </w:r>
      <w:r w:rsidRPr="001A0DEC">
        <w:rPr>
          <w:rFonts w:eastAsiaTheme="minorHAnsi"/>
          <w:color w:val="767171"/>
          <w:spacing w:val="20"/>
          <w:lang w:eastAsia="en-US"/>
        </w:rPr>
        <w:t xml:space="preserve">y </w:t>
      </w:r>
      <w:r w:rsidR="00FA751F">
        <w:rPr>
          <w:rFonts w:eastAsiaTheme="minorHAnsi"/>
          <w:color w:val="767171"/>
          <w:spacing w:val="20"/>
          <w:lang w:eastAsia="en-US"/>
        </w:rPr>
        <w:t xml:space="preserve">como eslabón </w:t>
      </w:r>
      <w:r w:rsidR="000D3158">
        <w:rPr>
          <w:rFonts w:eastAsiaTheme="minorHAnsi"/>
          <w:color w:val="767171"/>
          <w:spacing w:val="20"/>
          <w:lang w:eastAsia="en-US"/>
        </w:rPr>
        <w:t xml:space="preserve">para </w:t>
      </w:r>
      <w:r w:rsidRPr="001A0DEC">
        <w:rPr>
          <w:rFonts w:eastAsiaTheme="minorHAnsi"/>
          <w:color w:val="767171"/>
          <w:spacing w:val="20"/>
          <w:lang w:eastAsia="en-US"/>
        </w:rPr>
        <w:t>robustecer la imagen institucional. </w:t>
      </w:r>
    </w:p>
    <w:p w14:paraId="58E71BDC" w14:textId="77777777" w:rsidR="00D16F90" w:rsidRPr="001A0DEC" w:rsidRDefault="00D16F90" w:rsidP="006B204A">
      <w:pPr>
        <w:pStyle w:val="paragraph"/>
        <w:spacing w:before="0" w:beforeAutospacing="0" w:after="160" w:afterAutospacing="0" w:line="360" w:lineRule="auto"/>
        <w:jc w:val="both"/>
        <w:textAlignment w:val="baseline"/>
        <w:rPr>
          <w:rFonts w:eastAsiaTheme="minorHAnsi"/>
          <w:color w:val="767171"/>
          <w:spacing w:val="20"/>
          <w:lang w:eastAsia="en-US"/>
        </w:rPr>
      </w:pPr>
      <w:r w:rsidRPr="001A0DEC">
        <w:rPr>
          <w:rFonts w:eastAsiaTheme="minorHAnsi"/>
          <w:color w:val="767171"/>
          <w:spacing w:val="20"/>
          <w:lang w:eastAsia="en-US"/>
        </w:rPr>
        <w:t>Durante la ejecución de las iniciativas y proyectos del año 2023, se presentaron los siguientes logros: </w:t>
      </w:r>
    </w:p>
    <w:p w14:paraId="59240B6A" w14:textId="7824B3B3" w:rsidR="00D16F90" w:rsidRPr="00D53A62" w:rsidRDefault="00A6715A" w:rsidP="00D53A62">
      <w:pPr>
        <w:pStyle w:val="paragraph"/>
        <w:numPr>
          <w:ilvl w:val="0"/>
          <w:numId w:val="27"/>
        </w:numPr>
        <w:spacing w:before="0" w:beforeAutospacing="0" w:after="160" w:afterAutospacing="0" w:line="360" w:lineRule="auto"/>
        <w:jc w:val="both"/>
        <w:textAlignment w:val="baseline"/>
        <w:rPr>
          <w:rFonts w:eastAsiaTheme="minorHAnsi"/>
          <w:color w:val="767171"/>
          <w:spacing w:val="20"/>
          <w:lang w:eastAsia="en-US"/>
        </w:rPr>
      </w:pPr>
      <w:r>
        <w:rPr>
          <w:rFonts w:eastAsiaTheme="minorHAnsi"/>
          <w:color w:val="767171"/>
          <w:spacing w:val="20"/>
          <w:lang w:eastAsia="en-US"/>
        </w:rPr>
        <w:t>Se realizó</w:t>
      </w:r>
      <w:r w:rsidR="00D16F90" w:rsidRPr="001A0DEC">
        <w:rPr>
          <w:rFonts w:eastAsiaTheme="minorHAnsi"/>
          <w:color w:val="767171"/>
          <w:spacing w:val="20"/>
          <w:lang w:eastAsia="en-US"/>
        </w:rPr>
        <w:t xml:space="preserve"> la campaña “Volvemos por ti”, dirigida a comunicar los detalles de la segunda y tercera etapa del proyecto </w:t>
      </w:r>
      <w:r>
        <w:rPr>
          <w:rFonts w:eastAsiaTheme="minorHAnsi"/>
          <w:color w:val="767171"/>
          <w:spacing w:val="20"/>
          <w:lang w:eastAsia="en-US"/>
        </w:rPr>
        <w:t>de</w:t>
      </w:r>
      <w:r w:rsidR="00D16F90" w:rsidRPr="001A0DEC">
        <w:rPr>
          <w:rFonts w:eastAsiaTheme="minorHAnsi"/>
          <w:color w:val="767171"/>
          <w:spacing w:val="20"/>
          <w:lang w:eastAsia="en-US"/>
        </w:rPr>
        <w:t xml:space="preserve"> ampliación del alcance de la certificación ISO 9001: 2015</w:t>
      </w:r>
      <w:r w:rsidR="00D53A62">
        <w:rPr>
          <w:rFonts w:eastAsiaTheme="minorHAnsi"/>
          <w:color w:val="767171"/>
          <w:spacing w:val="20"/>
          <w:lang w:eastAsia="en-US"/>
        </w:rPr>
        <w:t>.</w:t>
      </w:r>
      <w:r w:rsidR="00D16F90" w:rsidRPr="001A0DEC">
        <w:rPr>
          <w:rFonts w:eastAsiaTheme="minorHAnsi"/>
          <w:color w:val="767171"/>
          <w:spacing w:val="20"/>
          <w:lang w:eastAsia="en-US"/>
        </w:rPr>
        <w:t xml:space="preserve"> </w:t>
      </w:r>
      <w:r w:rsidR="00D53A62">
        <w:rPr>
          <w:rFonts w:eastAsiaTheme="minorHAnsi"/>
          <w:color w:val="767171"/>
          <w:spacing w:val="20"/>
          <w:lang w:eastAsia="en-US"/>
        </w:rPr>
        <w:t>A</w:t>
      </w:r>
      <w:r w:rsidR="00D16F90" w:rsidRPr="001A0DEC">
        <w:rPr>
          <w:rFonts w:eastAsiaTheme="minorHAnsi"/>
          <w:color w:val="767171"/>
          <w:spacing w:val="20"/>
          <w:lang w:eastAsia="en-US"/>
        </w:rPr>
        <w:t>demás</w:t>
      </w:r>
      <w:r w:rsidR="00D53A62">
        <w:rPr>
          <w:rFonts w:eastAsiaTheme="minorHAnsi"/>
          <w:color w:val="767171"/>
          <w:spacing w:val="20"/>
          <w:lang w:eastAsia="en-US"/>
        </w:rPr>
        <w:t>, se realizaron las</w:t>
      </w:r>
      <w:r w:rsidR="00D16F90" w:rsidRPr="001A0DEC">
        <w:rPr>
          <w:rFonts w:eastAsiaTheme="minorHAnsi"/>
          <w:color w:val="767171"/>
          <w:spacing w:val="20"/>
          <w:lang w:eastAsia="en-US"/>
        </w:rPr>
        <w:t xml:space="preserve"> campaña</w:t>
      </w:r>
      <w:r w:rsidR="00D53A62">
        <w:rPr>
          <w:rFonts w:eastAsiaTheme="minorHAnsi"/>
          <w:color w:val="767171"/>
          <w:spacing w:val="20"/>
          <w:lang w:eastAsia="en-US"/>
        </w:rPr>
        <w:t>s</w:t>
      </w:r>
      <w:r w:rsidR="00D16F90" w:rsidRPr="001A0DEC">
        <w:rPr>
          <w:rFonts w:eastAsiaTheme="minorHAnsi"/>
          <w:color w:val="767171"/>
          <w:spacing w:val="20"/>
          <w:lang w:eastAsia="en-US"/>
        </w:rPr>
        <w:t xml:space="preserve"> </w:t>
      </w:r>
      <w:r w:rsidR="00941F4E">
        <w:rPr>
          <w:rFonts w:eastAsiaTheme="minorHAnsi"/>
          <w:color w:val="767171"/>
          <w:spacing w:val="20"/>
          <w:lang w:eastAsia="en-US"/>
        </w:rPr>
        <w:t>“</w:t>
      </w:r>
      <w:r w:rsidR="00D16F90" w:rsidRPr="001A0DEC">
        <w:rPr>
          <w:rFonts w:eastAsiaTheme="minorHAnsi"/>
          <w:color w:val="767171"/>
          <w:spacing w:val="20"/>
          <w:lang w:eastAsia="en-US"/>
        </w:rPr>
        <w:t>Semana de la Ética 2023</w:t>
      </w:r>
      <w:r w:rsidR="00941F4E">
        <w:rPr>
          <w:rFonts w:eastAsiaTheme="minorHAnsi"/>
          <w:color w:val="767171"/>
          <w:spacing w:val="20"/>
          <w:lang w:eastAsia="en-US"/>
        </w:rPr>
        <w:t>”,</w:t>
      </w:r>
      <w:r w:rsidR="00D16F90" w:rsidRPr="001A0DEC">
        <w:rPr>
          <w:rFonts w:eastAsiaTheme="minorHAnsi"/>
          <w:color w:val="767171"/>
          <w:spacing w:val="20"/>
          <w:lang w:eastAsia="en-US"/>
        </w:rPr>
        <w:t xml:space="preserve"> </w:t>
      </w:r>
      <w:r w:rsidR="00941F4E">
        <w:rPr>
          <w:rFonts w:eastAsiaTheme="minorHAnsi"/>
          <w:color w:val="767171"/>
          <w:spacing w:val="20"/>
          <w:lang w:eastAsia="en-US"/>
        </w:rPr>
        <w:t>“</w:t>
      </w:r>
      <w:r w:rsidR="00D16F90" w:rsidRPr="001A0DEC">
        <w:rPr>
          <w:rFonts w:eastAsiaTheme="minorHAnsi"/>
          <w:color w:val="767171"/>
          <w:spacing w:val="20"/>
          <w:lang w:eastAsia="en-US"/>
        </w:rPr>
        <w:t xml:space="preserve">Cultura de </w:t>
      </w:r>
      <w:r w:rsidR="00D16F90" w:rsidRPr="001A0DEC">
        <w:rPr>
          <w:rFonts w:eastAsiaTheme="minorHAnsi"/>
          <w:color w:val="767171"/>
          <w:spacing w:val="20"/>
          <w:lang w:eastAsia="en-US"/>
        </w:rPr>
        <w:lastRenderedPageBreak/>
        <w:t>Gestión de Riesgos</w:t>
      </w:r>
      <w:r w:rsidR="00941F4E">
        <w:rPr>
          <w:rFonts w:eastAsiaTheme="minorHAnsi"/>
          <w:color w:val="767171"/>
          <w:spacing w:val="20"/>
          <w:lang w:eastAsia="en-US"/>
        </w:rPr>
        <w:t>” y</w:t>
      </w:r>
      <w:r w:rsidR="00D16F90" w:rsidRPr="00D53A62">
        <w:rPr>
          <w:rFonts w:eastAsiaTheme="minorHAnsi"/>
          <w:color w:val="767171"/>
          <w:spacing w:val="20"/>
          <w:lang w:eastAsia="en-US"/>
        </w:rPr>
        <w:t xml:space="preserve"> “Programa de Readecuaciones Físicas de la Superintendencia de Bancos”.</w:t>
      </w:r>
    </w:p>
    <w:p w14:paraId="56D6D7BE" w14:textId="55423C19" w:rsidR="00D16F90" w:rsidRPr="001A0DEC" w:rsidRDefault="00A62C70" w:rsidP="00CB4994">
      <w:pPr>
        <w:pStyle w:val="paragraph"/>
        <w:numPr>
          <w:ilvl w:val="0"/>
          <w:numId w:val="27"/>
        </w:numPr>
        <w:spacing w:before="0" w:beforeAutospacing="0" w:after="160" w:afterAutospacing="0" w:line="360" w:lineRule="auto"/>
        <w:jc w:val="both"/>
        <w:textAlignment w:val="baseline"/>
        <w:rPr>
          <w:rFonts w:eastAsiaTheme="minorHAnsi"/>
          <w:color w:val="767171"/>
          <w:spacing w:val="20"/>
          <w:lang w:eastAsia="en-US"/>
        </w:rPr>
      </w:pPr>
      <w:r>
        <w:rPr>
          <w:rFonts w:eastAsiaTheme="minorHAnsi"/>
          <w:color w:val="767171"/>
          <w:spacing w:val="20"/>
          <w:lang w:eastAsia="en-US"/>
        </w:rPr>
        <w:t>Se d</w:t>
      </w:r>
      <w:r w:rsidR="00D16F90" w:rsidRPr="001A0DEC">
        <w:rPr>
          <w:rFonts w:eastAsiaTheme="minorHAnsi"/>
          <w:color w:val="767171"/>
          <w:spacing w:val="20"/>
          <w:lang w:eastAsia="en-US"/>
        </w:rPr>
        <w:t>esarroll</w:t>
      </w:r>
      <w:r>
        <w:rPr>
          <w:rFonts w:eastAsiaTheme="minorHAnsi"/>
          <w:color w:val="767171"/>
          <w:spacing w:val="20"/>
          <w:lang w:eastAsia="en-US"/>
        </w:rPr>
        <w:t>ó</w:t>
      </w:r>
      <w:r w:rsidR="00D16F90" w:rsidRPr="001A0DEC">
        <w:rPr>
          <w:rFonts w:eastAsiaTheme="minorHAnsi"/>
          <w:color w:val="767171"/>
          <w:spacing w:val="20"/>
          <w:lang w:eastAsia="en-US"/>
        </w:rPr>
        <w:t xml:space="preserve"> la iniciativa “La Superintendencia de Bancos se Transforma”, dirigida a comunicar los detalles de proyectos que están bajo la sombrilla del Sistema de Gestión Integrado, que incluye la implementación de acciones con miras a la obtención de la ISO 37001 sobre Sistemas de Gestión Antisoborno; ISO 22301 sobre Continuidad del Negocio, e ISO 27001 sobre Seguridad de la Información. </w:t>
      </w:r>
    </w:p>
    <w:p w14:paraId="0B1F85FE" w14:textId="77777777" w:rsidR="00D16F90" w:rsidRPr="001A0DEC" w:rsidRDefault="00D16F90" w:rsidP="00CB4994">
      <w:pPr>
        <w:pStyle w:val="paragraph"/>
        <w:numPr>
          <w:ilvl w:val="0"/>
          <w:numId w:val="27"/>
        </w:numPr>
        <w:spacing w:before="0" w:beforeAutospacing="0" w:after="160" w:afterAutospacing="0" w:line="360" w:lineRule="auto"/>
        <w:jc w:val="both"/>
        <w:textAlignment w:val="baseline"/>
        <w:rPr>
          <w:rFonts w:eastAsiaTheme="minorHAnsi"/>
          <w:color w:val="767171"/>
          <w:spacing w:val="20"/>
          <w:lang w:eastAsia="en-US"/>
        </w:rPr>
      </w:pPr>
      <w:r w:rsidRPr="001A0DEC">
        <w:rPr>
          <w:rFonts w:eastAsiaTheme="minorHAnsi"/>
          <w:color w:val="767171"/>
          <w:spacing w:val="20"/>
          <w:lang w:eastAsia="en-US"/>
        </w:rPr>
        <w:t>Logrado un promedio de 97% de visibilidad positiva, y un total de 1,906 menciones en el 2023, en medios de comunicación impresos, audiovisuales y digitales, contribuyendo al desarrollo de la agenda de contenido para difundir a través de los medios de comunicación masiva. </w:t>
      </w:r>
    </w:p>
    <w:p w14:paraId="43122930" w14:textId="77777777" w:rsidR="00D16F90" w:rsidRPr="001A0DEC" w:rsidRDefault="00D16F90" w:rsidP="00CB4994">
      <w:pPr>
        <w:pStyle w:val="paragraph"/>
        <w:numPr>
          <w:ilvl w:val="0"/>
          <w:numId w:val="27"/>
        </w:numPr>
        <w:spacing w:before="0" w:beforeAutospacing="0" w:after="160" w:afterAutospacing="0" w:line="360" w:lineRule="auto"/>
        <w:jc w:val="both"/>
        <w:textAlignment w:val="baseline"/>
        <w:rPr>
          <w:rFonts w:eastAsiaTheme="minorHAnsi"/>
          <w:color w:val="767171"/>
          <w:spacing w:val="20"/>
          <w:lang w:eastAsia="en-US"/>
        </w:rPr>
      </w:pPr>
      <w:r w:rsidRPr="001A0DEC">
        <w:rPr>
          <w:rFonts w:eastAsiaTheme="minorHAnsi"/>
          <w:color w:val="767171"/>
          <w:spacing w:val="20"/>
          <w:lang w:eastAsia="en-US"/>
        </w:rPr>
        <w:t>Realizada la tercera etapa de la campaña Dinero Busca Dueño (DBD) impactando a más de 8,950 ahorrantes, cuyo objetivo es identificar a los depositantes del antiguo Banco Universal e instituciones relacionadas para devolverles sus recursos financieros. </w:t>
      </w:r>
    </w:p>
    <w:p w14:paraId="2AC2EA35" w14:textId="77777777" w:rsidR="00D16F90" w:rsidRPr="001A0DEC" w:rsidRDefault="00D16F90" w:rsidP="00CB4994">
      <w:pPr>
        <w:pStyle w:val="paragraph"/>
        <w:numPr>
          <w:ilvl w:val="0"/>
          <w:numId w:val="27"/>
        </w:numPr>
        <w:spacing w:before="0" w:beforeAutospacing="0" w:after="160" w:afterAutospacing="0" w:line="360" w:lineRule="auto"/>
        <w:jc w:val="both"/>
        <w:textAlignment w:val="baseline"/>
        <w:rPr>
          <w:rFonts w:eastAsiaTheme="minorHAnsi"/>
          <w:color w:val="767171"/>
          <w:spacing w:val="20"/>
          <w:lang w:eastAsia="en-US"/>
        </w:rPr>
      </w:pPr>
      <w:r w:rsidRPr="001A0DEC">
        <w:rPr>
          <w:rFonts w:eastAsiaTheme="minorHAnsi"/>
          <w:color w:val="767171"/>
          <w:spacing w:val="20"/>
          <w:lang w:eastAsia="en-US"/>
        </w:rPr>
        <w:t>Fue lanzado en el mes de febrero del 2023 la campaña “Valoramos tu tiempo” el cual impacta a toda la población, con el propósito de promover las nuevas facilidades otorgadas a las personas físicas y jurídicas para obtener, en línea y de manera gratuita, certificaciones y servicios legales de la Superintendencia de Bancos. </w:t>
      </w:r>
    </w:p>
    <w:p w14:paraId="3F1EE08F" w14:textId="13E8D3B9" w:rsidR="00DB696E" w:rsidRPr="005E3648" w:rsidRDefault="005C35BD" w:rsidP="00CB4994">
      <w:pPr>
        <w:pStyle w:val="paragraph"/>
        <w:numPr>
          <w:ilvl w:val="0"/>
          <w:numId w:val="27"/>
        </w:numPr>
        <w:spacing w:before="0" w:beforeAutospacing="0" w:after="160" w:afterAutospacing="0" w:line="360" w:lineRule="auto"/>
        <w:jc w:val="both"/>
        <w:textAlignment w:val="baseline"/>
        <w:rPr>
          <w:rFonts w:eastAsiaTheme="minorHAnsi"/>
          <w:color w:val="767171"/>
          <w:spacing w:val="20"/>
          <w:lang w:eastAsia="en-US"/>
        </w:rPr>
      </w:pPr>
      <w:r>
        <w:rPr>
          <w:rFonts w:eastAsiaTheme="minorHAnsi"/>
          <w:color w:val="767171"/>
          <w:spacing w:val="20"/>
          <w:lang w:eastAsia="en-US"/>
        </w:rPr>
        <w:t>Se llevaron a cabo</w:t>
      </w:r>
      <w:r w:rsidR="00D16F90" w:rsidRPr="001A0DEC">
        <w:rPr>
          <w:rFonts w:eastAsiaTheme="minorHAnsi"/>
          <w:color w:val="767171"/>
          <w:spacing w:val="20"/>
          <w:lang w:eastAsia="en-US"/>
        </w:rPr>
        <w:t xml:space="preserve"> campañas destinadas a impactar el sistema financiero nacional, entre las cuales </w:t>
      </w:r>
      <w:r w:rsidR="00422DD5">
        <w:rPr>
          <w:rFonts w:eastAsiaTheme="minorHAnsi"/>
          <w:color w:val="767171"/>
          <w:spacing w:val="20"/>
          <w:lang w:eastAsia="en-US"/>
        </w:rPr>
        <w:t>se puede</w:t>
      </w:r>
      <w:r w:rsidR="003F49AE">
        <w:rPr>
          <w:rFonts w:eastAsiaTheme="minorHAnsi"/>
          <w:color w:val="767171"/>
          <w:spacing w:val="20"/>
          <w:lang w:eastAsia="en-US"/>
        </w:rPr>
        <w:t>n citar</w:t>
      </w:r>
      <w:r w:rsidR="00D16F90" w:rsidRPr="001A0DEC">
        <w:rPr>
          <w:rFonts w:eastAsiaTheme="minorHAnsi"/>
          <w:color w:val="767171"/>
          <w:spacing w:val="20"/>
          <w:lang w:eastAsia="en-US"/>
        </w:rPr>
        <w:t>: “No caigas en gancho”</w:t>
      </w:r>
      <w:r w:rsidR="00422DD5">
        <w:rPr>
          <w:rFonts w:eastAsiaTheme="minorHAnsi"/>
          <w:color w:val="767171"/>
          <w:spacing w:val="20"/>
          <w:lang w:eastAsia="en-US"/>
        </w:rPr>
        <w:t xml:space="preserve"> y</w:t>
      </w:r>
      <w:r w:rsidR="00D16F90" w:rsidRPr="001A0DEC">
        <w:rPr>
          <w:rFonts w:eastAsiaTheme="minorHAnsi"/>
          <w:color w:val="767171"/>
          <w:spacing w:val="20"/>
          <w:lang w:eastAsia="en-US"/>
        </w:rPr>
        <w:t xml:space="preserve"> “ABC de finanzas personales”</w:t>
      </w:r>
      <w:r w:rsidR="00422DD5">
        <w:rPr>
          <w:rFonts w:eastAsiaTheme="minorHAnsi"/>
          <w:color w:val="767171"/>
          <w:spacing w:val="20"/>
          <w:lang w:eastAsia="en-US"/>
        </w:rPr>
        <w:t>;</w:t>
      </w:r>
      <w:r w:rsidR="00D16F90" w:rsidRPr="001A0DEC">
        <w:rPr>
          <w:rFonts w:eastAsiaTheme="minorHAnsi"/>
          <w:color w:val="767171"/>
          <w:spacing w:val="20"/>
          <w:lang w:eastAsia="en-US"/>
        </w:rPr>
        <w:t xml:space="preserve"> ambas encontradas </w:t>
      </w:r>
      <w:r w:rsidR="00D16F90" w:rsidRPr="001A0DEC">
        <w:rPr>
          <w:rFonts w:eastAsiaTheme="minorHAnsi"/>
          <w:color w:val="767171"/>
          <w:spacing w:val="20"/>
          <w:lang w:eastAsia="en-US"/>
        </w:rPr>
        <w:lastRenderedPageBreak/>
        <w:t>dentro de los pilares estratégicos de comunicación recomendados por la Organización para la Cooperación y el Desarrollo Económico (OCDE).</w:t>
      </w:r>
      <w:bookmarkStart w:id="100" w:name="_Toc122435023"/>
    </w:p>
    <w:p w14:paraId="7915F43B" w14:textId="77777777" w:rsidR="00741501" w:rsidRPr="005E3648" w:rsidRDefault="00741501" w:rsidP="003F49AE">
      <w:pPr>
        <w:pStyle w:val="paragraph"/>
        <w:spacing w:before="0" w:beforeAutospacing="0" w:after="160" w:afterAutospacing="0" w:line="360" w:lineRule="auto"/>
        <w:jc w:val="both"/>
        <w:textAlignment w:val="baseline"/>
        <w:rPr>
          <w:rFonts w:eastAsiaTheme="minorHAnsi"/>
          <w:color w:val="767171"/>
          <w:spacing w:val="20"/>
          <w:lang w:eastAsia="en-US"/>
        </w:rPr>
      </w:pPr>
    </w:p>
    <w:p w14:paraId="5F244EC3" w14:textId="2757DA6C" w:rsidR="00E52ED4" w:rsidRPr="008535D6" w:rsidRDefault="002F5D3A" w:rsidP="006B204A">
      <w:pPr>
        <w:pStyle w:val="EstiloTItulosMemorias"/>
        <w:spacing w:before="0" w:after="160"/>
        <w:rPr>
          <w:rFonts w:cs="Times New Roman"/>
          <w:b/>
          <w:bCs/>
        </w:rPr>
      </w:pPr>
      <w:bookmarkStart w:id="101" w:name="_Toc123046928"/>
      <w:bookmarkStart w:id="102" w:name="_Toc155354625"/>
      <w:r w:rsidRPr="008535D6">
        <w:rPr>
          <w:rFonts w:cs="Times New Roman"/>
          <w:b/>
          <w:bCs/>
        </w:rPr>
        <w:t>V</w:t>
      </w:r>
      <w:r w:rsidR="00E52ED4" w:rsidRPr="008535D6">
        <w:rPr>
          <w:rFonts w:cs="Times New Roman"/>
          <w:b/>
          <w:bCs/>
        </w:rPr>
        <w:t>. SERVICIO AL CIUDADANO Y ACCESO A LA INFORMACIÓN</w:t>
      </w:r>
      <w:bookmarkEnd w:id="100"/>
      <w:bookmarkEnd w:id="101"/>
      <w:bookmarkEnd w:id="102"/>
    </w:p>
    <w:p w14:paraId="6A362885" w14:textId="0D8FBD0A" w:rsidR="00985103" w:rsidRPr="00DF5EF3" w:rsidRDefault="00985103" w:rsidP="006B204A">
      <w:pPr>
        <w:pStyle w:val="EstiloTItulosMemorias"/>
        <w:spacing w:before="0" w:after="160" w:line="360" w:lineRule="auto"/>
        <w:jc w:val="left"/>
        <w:outlineLvl w:val="9"/>
        <w:rPr>
          <w:rFonts w:cs="Times New Roman"/>
          <w:sz w:val="24"/>
          <w:szCs w:val="24"/>
          <w:highlight w:val="yellow"/>
        </w:rPr>
      </w:pPr>
      <w:r w:rsidRPr="00AE11F1">
        <w:rPr>
          <w:rFonts w:cs="Times New Roman"/>
          <w:noProof/>
          <w:highlight w:val="yellow"/>
          <w:lang w:eastAsia="es-ES"/>
        </w:rPr>
        <mc:AlternateContent>
          <mc:Choice Requires="wps">
            <w:drawing>
              <wp:anchor distT="0" distB="0" distL="114300" distR="114300" simplePos="0" relativeHeight="251658253" behindDoc="0" locked="0" layoutInCell="1" allowOverlap="1" wp14:anchorId="68B7FAB4" wp14:editId="472C74F2">
                <wp:simplePos x="0" y="0"/>
                <wp:positionH relativeFrom="margin">
                  <wp:posOffset>2267585</wp:posOffset>
                </wp:positionH>
                <wp:positionV relativeFrom="paragraph">
                  <wp:posOffset>52705</wp:posOffset>
                </wp:positionV>
                <wp:extent cx="463550" cy="0"/>
                <wp:effectExtent l="0" t="19050" r="31750" b="19050"/>
                <wp:wrapNone/>
                <wp:docPr id="59" name="Conector recto 5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72BF2EE0" id="Conector recto 59" o:spid="_x0000_s1026" style="position:absolute;z-index:251658259;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page;mso-height-relative:page" from="178.55pt,4.15pt" to="215.05pt,4.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" strokecolor="#ee2a24" strokeweight="2.25pt">
                <v:stroke joinstyle="miter"/>
                <w10:wrap anchorx="margin"/>
              </v:line>
            </w:pict>
          </mc:Fallback>
        </mc:AlternateContent>
      </w:r>
    </w:p>
    <w:p w14:paraId="28AE1D68" w14:textId="32034F74" w:rsidR="002B224D" w:rsidRPr="00686DA5" w:rsidRDefault="002B224D" w:rsidP="00CB4994">
      <w:pPr>
        <w:pStyle w:val="Estilo3"/>
        <w:numPr>
          <w:ilvl w:val="1"/>
          <w:numId w:val="7"/>
        </w:numPr>
        <w:spacing w:before="0" w:after="160" w:line="360" w:lineRule="auto"/>
        <w:ind w:left="360"/>
        <w:rPr>
          <w:b/>
          <w:szCs w:val="24"/>
        </w:rPr>
      </w:pPr>
      <w:bookmarkStart w:id="103" w:name="_Toc122435024"/>
      <w:bookmarkStart w:id="104" w:name="_Toc155354626"/>
      <w:r w:rsidRPr="00686DA5">
        <w:rPr>
          <w:b/>
          <w:szCs w:val="24"/>
        </w:rPr>
        <w:t>Nivel de cumplimiento acceso a la información</w:t>
      </w:r>
      <w:bookmarkEnd w:id="104"/>
      <w:r w:rsidRPr="00686DA5">
        <w:rPr>
          <w:b/>
          <w:szCs w:val="24"/>
        </w:rPr>
        <w:t> </w:t>
      </w:r>
    </w:p>
    <w:p w14:paraId="3AAADA20" w14:textId="77777777" w:rsidR="002B224D" w:rsidRPr="004D00B2" w:rsidRDefault="002B224D" w:rsidP="006B204A">
      <w:pPr>
        <w:pStyle w:val="paragraph"/>
        <w:spacing w:before="0" w:beforeAutospacing="0" w:after="0" w:afterAutospacing="0" w:line="360" w:lineRule="auto"/>
        <w:jc w:val="both"/>
        <w:textAlignment w:val="baseline"/>
        <w:rPr>
          <w:rFonts w:eastAsiaTheme="minorHAnsi"/>
          <w:color w:val="767171"/>
          <w:spacing w:val="20"/>
          <w:lang w:eastAsia="en-US"/>
        </w:rPr>
      </w:pPr>
      <w:r w:rsidRPr="004D00B2">
        <w:rPr>
          <w:rFonts w:eastAsiaTheme="minorHAnsi"/>
          <w:color w:val="767171"/>
          <w:spacing w:val="20"/>
          <w:lang w:eastAsia="en-US"/>
        </w:rPr>
        <w:t>La Superintendencia de Bancos, en el año 2023 a través de la Oficina de Libre Acceso a la Información (OAI), atendió un total de 106 solicitudes de información y orientación, sobre temas relacionados con la institución a los solicitantes de esta, dando cumplimiento a la ley 200-04 de Libre Acceso a la Información Pública. </w:t>
      </w:r>
    </w:p>
    <w:p w14:paraId="68A2B8C3" w14:textId="77777777" w:rsidR="002B224D" w:rsidRPr="004D00B2" w:rsidRDefault="002B224D" w:rsidP="006B204A">
      <w:pPr>
        <w:pStyle w:val="paragraph"/>
        <w:spacing w:before="0" w:beforeAutospacing="0" w:after="0" w:afterAutospacing="0" w:line="360" w:lineRule="auto"/>
        <w:jc w:val="both"/>
        <w:textAlignment w:val="baseline"/>
        <w:rPr>
          <w:rFonts w:eastAsiaTheme="minorHAnsi"/>
          <w:color w:val="767171"/>
          <w:spacing w:val="20"/>
          <w:lang w:eastAsia="en-US"/>
        </w:rPr>
      </w:pPr>
    </w:p>
    <w:p w14:paraId="0F7BC28E" w14:textId="0FA42FF5" w:rsidR="00D73C1F" w:rsidRPr="00124EFC" w:rsidRDefault="002B224D" w:rsidP="00124EFC">
      <w:pPr>
        <w:pStyle w:val="Estilo3"/>
        <w:numPr>
          <w:ilvl w:val="1"/>
          <w:numId w:val="7"/>
        </w:numPr>
        <w:spacing w:before="0" w:after="160" w:line="360" w:lineRule="auto"/>
        <w:ind w:left="360"/>
        <w:rPr>
          <w:rFonts w:eastAsiaTheme="minorHAnsi"/>
          <w:b/>
          <w:szCs w:val="24"/>
        </w:rPr>
      </w:pPr>
      <w:bookmarkStart w:id="105" w:name="_Toc155354627"/>
      <w:r w:rsidRPr="00686DA5">
        <w:rPr>
          <w:rFonts w:eastAsiaTheme="minorHAnsi"/>
          <w:b/>
          <w:szCs w:val="24"/>
        </w:rPr>
        <w:t>Resultados sistema de quejas, reclamos y sugerencias</w:t>
      </w:r>
      <w:bookmarkEnd w:id="105"/>
      <w:r w:rsidRPr="00686DA5">
        <w:rPr>
          <w:rFonts w:eastAsiaTheme="minorHAnsi"/>
          <w:b/>
          <w:szCs w:val="24"/>
        </w:rPr>
        <w:t> </w:t>
      </w:r>
    </w:p>
    <w:p w14:paraId="674DCB36" w14:textId="77777777" w:rsidR="002B224D" w:rsidRPr="004D00B2" w:rsidRDefault="002B224D" w:rsidP="006B204A">
      <w:pPr>
        <w:pStyle w:val="paragraph"/>
        <w:spacing w:before="0" w:beforeAutospacing="0" w:after="0" w:afterAutospacing="0" w:line="360" w:lineRule="auto"/>
        <w:jc w:val="both"/>
        <w:textAlignment w:val="baseline"/>
        <w:rPr>
          <w:rFonts w:eastAsiaTheme="minorHAnsi"/>
          <w:color w:val="767171"/>
          <w:spacing w:val="20"/>
          <w:lang w:eastAsia="en-US"/>
        </w:rPr>
      </w:pPr>
      <w:r w:rsidRPr="004D00B2">
        <w:rPr>
          <w:rFonts w:eastAsiaTheme="minorHAnsi"/>
          <w:color w:val="767171"/>
          <w:spacing w:val="20"/>
          <w:lang w:eastAsia="en-US"/>
        </w:rPr>
        <w:t>En el 2023, se recibieron y atendieron un total de 16 casos, de los cuales 8 correspondieron a la categoría de quejas, 3 a la categoría de reclamaciones y 5 a la categoría de sugerencias. Todos los casos fueron respondidos de manera oportuna y satisfactoria. </w:t>
      </w:r>
    </w:p>
    <w:p w14:paraId="22A2B159" w14:textId="77777777" w:rsidR="002B224D" w:rsidRPr="004D00B2" w:rsidRDefault="002B224D" w:rsidP="006B204A">
      <w:pPr>
        <w:pStyle w:val="paragraph"/>
        <w:spacing w:before="0" w:beforeAutospacing="0" w:after="0" w:afterAutospacing="0" w:line="360" w:lineRule="auto"/>
        <w:jc w:val="both"/>
        <w:textAlignment w:val="baseline"/>
        <w:rPr>
          <w:rFonts w:eastAsiaTheme="minorHAnsi"/>
          <w:color w:val="767171"/>
          <w:spacing w:val="20"/>
          <w:lang w:eastAsia="en-US"/>
        </w:rPr>
      </w:pPr>
    </w:p>
    <w:p w14:paraId="0EF493B1" w14:textId="5D73306D" w:rsidR="002B224D" w:rsidRPr="00124EFC" w:rsidRDefault="002B224D" w:rsidP="00124EFC">
      <w:pPr>
        <w:pStyle w:val="Estilo3"/>
        <w:numPr>
          <w:ilvl w:val="1"/>
          <w:numId w:val="7"/>
        </w:numPr>
        <w:spacing w:before="0" w:after="160" w:line="360" w:lineRule="auto"/>
        <w:ind w:left="360"/>
        <w:rPr>
          <w:rFonts w:eastAsiaTheme="minorHAnsi"/>
          <w:b/>
          <w:szCs w:val="24"/>
        </w:rPr>
      </w:pPr>
      <w:bookmarkStart w:id="106" w:name="_Toc155354628"/>
      <w:r w:rsidRPr="00686DA5">
        <w:rPr>
          <w:rFonts w:eastAsiaTheme="minorHAnsi"/>
          <w:b/>
          <w:szCs w:val="24"/>
        </w:rPr>
        <w:t>Resultados de las mediciones del portal de transparencia</w:t>
      </w:r>
      <w:bookmarkEnd w:id="106"/>
      <w:r w:rsidRPr="00686DA5">
        <w:rPr>
          <w:rFonts w:eastAsiaTheme="minorHAnsi"/>
          <w:b/>
          <w:szCs w:val="24"/>
        </w:rPr>
        <w:t> </w:t>
      </w:r>
    </w:p>
    <w:p w14:paraId="01851F5C" w14:textId="2914D810" w:rsidR="00C54F38" w:rsidRPr="0057082E" w:rsidRDefault="002B224D" w:rsidP="0057082E">
      <w:pPr>
        <w:pStyle w:val="paragraph"/>
        <w:spacing w:before="0" w:beforeAutospacing="0" w:after="0" w:afterAutospacing="0" w:line="360" w:lineRule="auto"/>
        <w:jc w:val="both"/>
        <w:textAlignment w:val="baseline"/>
        <w:rPr>
          <w:rFonts w:eastAsiaTheme="minorHAnsi"/>
          <w:color w:val="767171"/>
          <w:spacing w:val="20"/>
          <w:lang w:eastAsia="en-US"/>
        </w:rPr>
      </w:pPr>
      <w:r w:rsidRPr="004D00B2">
        <w:rPr>
          <w:rFonts w:eastAsiaTheme="minorHAnsi"/>
          <w:color w:val="767171"/>
          <w:spacing w:val="20"/>
          <w:lang w:eastAsia="en-US"/>
        </w:rPr>
        <w:t xml:space="preserve">Acorde a la Dirección General de Ética e Integridad Gubernamental (DIGEIG), la Superintendencia de Bancos obtuvo al cierre del año 2023 una calificación de 100% en el </w:t>
      </w:r>
      <w:proofErr w:type="spellStart"/>
      <w:r w:rsidRPr="004D00B2">
        <w:rPr>
          <w:rFonts w:eastAsiaTheme="minorHAnsi"/>
          <w:color w:val="767171"/>
          <w:spacing w:val="20"/>
          <w:lang w:eastAsia="en-US"/>
        </w:rPr>
        <w:t>sub-portal</w:t>
      </w:r>
      <w:proofErr w:type="spellEnd"/>
      <w:r w:rsidRPr="004D00B2">
        <w:rPr>
          <w:rFonts w:eastAsiaTheme="minorHAnsi"/>
          <w:color w:val="767171"/>
          <w:spacing w:val="20"/>
          <w:lang w:eastAsia="en-US"/>
        </w:rPr>
        <w:t xml:space="preserve"> de transparencia gubernamental, contribuyendo a la lucha contra la corrupción, gobierno abierto, transparencia y libre acceso a la información en el ámbito administrativo.</w:t>
      </w:r>
      <w:bookmarkEnd w:id="103"/>
    </w:p>
    <w:p w14:paraId="2D1A6BD4" w14:textId="1A16B0F8" w:rsidR="00E52ED4" w:rsidRPr="00741501" w:rsidRDefault="00E52ED4" w:rsidP="006B204A">
      <w:pPr>
        <w:pStyle w:val="EstiloTItulosMemorias"/>
        <w:spacing w:line="360" w:lineRule="auto"/>
        <w:rPr>
          <w:rFonts w:cs="Times New Roman"/>
          <w:b/>
          <w:bCs/>
          <w:color w:val="767171"/>
          <w:szCs w:val="28"/>
        </w:rPr>
      </w:pPr>
      <w:bookmarkStart w:id="107" w:name="_Toc123046929"/>
      <w:bookmarkStart w:id="108" w:name="_Toc122435028"/>
      <w:bookmarkStart w:id="109" w:name="_Toc155354629"/>
      <w:r w:rsidRPr="00741501">
        <w:rPr>
          <w:rStyle w:val="normaltextrun"/>
          <w:rFonts w:cs="Times New Roman"/>
          <w:b/>
          <w:bCs/>
          <w:color w:val="767171"/>
          <w:szCs w:val="28"/>
        </w:rPr>
        <w:lastRenderedPageBreak/>
        <w:t>V</w:t>
      </w:r>
      <w:r w:rsidR="004873A6" w:rsidRPr="00741501">
        <w:rPr>
          <w:rStyle w:val="normaltextrun"/>
          <w:rFonts w:cs="Times New Roman"/>
          <w:b/>
          <w:bCs/>
          <w:color w:val="767171"/>
          <w:szCs w:val="28"/>
        </w:rPr>
        <w:t>I</w:t>
      </w:r>
      <w:r w:rsidRPr="00741501">
        <w:rPr>
          <w:rStyle w:val="normaltextrun"/>
          <w:rFonts w:cs="Times New Roman"/>
          <w:b/>
          <w:bCs/>
          <w:color w:val="767171"/>
          <w:szCs w:val="28"/>
        </w:rPr>
        <w:t>. PROYECCIONES AL PRÓXIMO AÑO</w:t>
      </w:r>
      <w:bookmarkEnd w:id="107"/>
      <w:bookmarkEnd w:id="109"/>
      <w:r w:rsidRPr="00741501">
        <w:rPr>
          <w:rStyle w:val="eop"/>
          <w:rFonts w:cs="Times New Roman"/>
          <w:b/>
          <w:bCs/>
          <w:color w:val="767171"/>
          <w:szCs w:val="28"/>
        </w:rPr>
        <w:t> </w:t>
      </w:r>
    </w:p>
    <w:p w14:paraId="69A77131" w14:textId="77777777" w:rsidR="00E52ED4" w:rsidRPr="004D00B2" w:rsidRDefault="00E52ED4" w:rsidP="006B204A">
      <w:pPr>
        <w:pStyle w:val="paragraph"/>
        <w:spacing w:before="0" w:beforeAutospacing="0" w:after="0" w:afterAutospacing="0" w:line="360" w:lineRule="auto"/>
        <w:jc w:val="center"/>
        <w:textAlignment w:val="baseline"/>
        <w:rPr>
          <w:color w:val="767171"/>
          <w:spacing w:val="20"/>
          <w:sz w:val="18"/>
          <w:szCs w:val="18"/>
        </w:rPr>
      </w:pPr>
      <w:r w:rsidRPr="004D00B2">
        <w:rPr>
          <w:rFonts w:eastAsia="Calibri"/>
          <w:noProof/>
          <w:color w:val="767171"/>
          <w:spacing w:val="20"/>
          <w:sz w:val="28"/>
          <w:szCs w:val="28"/>
          <w:lang w:eastAsia="en-US"/>
        </w:rPr>
        <w:drawing>
          <wp:inline distT="0" distB="0" distL="0" distR="0" wp14:anchorId="783B9815" wp14:editId="21464628">
            <wp:extent cx="504825" cy="47625"/>
            <wp:effectExtent l="0" t="0" r="9525" b="9525"/>
            <wp:docPr id="83" name="Imagen 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825" cy="47625"/>
                    </a:xfrm>
                    <a:prstGeom prst="rect">
                      <a:avLst/>
                    </a:prstGeom>
                    <a:noFill/>
                    <a:ln>
                      <a:noFill/>
                    </a:ln>
                  </pic:spPr>
                </pic:pic>
              </a:graphicData>
            </a:graphic>
          </wp:inline>
        </w:drawing>
      </w:r>
    </w:p>
    <w:p w14:paraId="57AE4216" w14:textId="083D4A4A" w:rsidR="00E52ED4" w:rsidRDefault="00BC52C3" w:rsidP="00BC52C3">
      <w:pPr>
        <w:pStyle w:val="paragraph"/>
        <w:spacing w:after="0" w:line="360" w:lineRule="auto"/>
        <w:jc w:val="both"/>
        <w:textAlignment w:val="baseline"/>
        <w:rPr>
          <w:rStyle w:val="normaltextrun"/>
          <w:color w:val="767171"/>
          <w:spacing w:val="20"/>
          <w:lang w:val="es-ES"/>
        </w:rPr>
      </w:pPr>
      <w:r>
        <w:rPr>
          <w:rStyle w:val="normaltextrun"/>
          <w:color w:val="767171"/>
          <w:spacing w:val="20"/>
        </w:rPr>
        <w:t xml:space="preserve">La Superintendencia de Bancos </w:t>
      </w:r>
      <w:r w:rsidRPr="00BC52C3">
        <w:rPr>
          <w:rStyle w:val="normaltextrun"/>
          <w:color w:val="767171"/>
          <w:spacing w:val="20"/>
          <w:lang w:val="es-ES"/>
        </w:rPr>
        <w:t xml:space="preserve">continuará </w:t>
      </w:r>
      <w:r w:rsidR="0045771C" w:rsidRPr="00BC52C3">
        <w:rPr>
          <w:rStyle w:val="normaltextrun"/>
          <w:color w:val="767171"/>
          <w:spacing w:val="20"/>
          <w:lang w:val="es-ES"/>
        </w:rPr>
        <w:t>impulsan</w:t>
      </w:r>
      <w:r w:rsidR="0045771C">
        <w:rPr>
          <w:rStyle w:val="normaltextrun"/>
          <w:color w:val="767171"/>
          <w:spacing w:val="20"/>
          <w:lang w:val="es-ES"/>
        </w:rPr>
        <w:t>do</w:t>
      </w:r>
      <w:r w:rsidR="0045771C" w:rsidRPr="00BC52C3">
        <w:rPr>
          <w:rStyle w:val="normaltextrun"/>
          <w:color w:val="767171"/>
          <w:spacing w:val="20"/>
          <w:lang w:val="es-ES"/>
        </w:rPr>
        <w:t xml:space="preserve"> </w:t>
      </w:r>
      <w:r w:rsidR="0045771C">
        <w:rPr>
          <w:rStyle w:val="normaltextrun"/>
          <w:color w:val="767171"/>
          <w:spacing w:val="20"/>
          <w:lang w:val="es-ES"/>
        </w:rPr>
        <w:t>proyectos e</w:t>
      </w:r>
      <w:r w:rsidR="0045771C" w:rsidRPr="00BC52C3">
        <w:rPr>
          <w:rStyle w:val="normaltextrun"/>
          <w:color w:val="767171"/>
          <w:spacing w:val="20"/>
          <w:lang w:val="es-ES"/>
        </w:rPr>
        <w:t xml:space="preserve"> iniciativas que </w:t>
      </w:r>
      <w:r w:rsidR="0099196B">
        <w:rPr>
          <w:rStyle w:val="normaltextrun"/>
          <w:color w:val="767171"/>
          <w:spacing w:val="20"/>
          <w:lang w:val="es-ES"/>
        </w:rPr>
        <w:t>fom</w:t>
      </w:r>
      <w:r w:rsidR="003507F8">
        <w:rPr>
          <w:rStyle w:val="normaltextrun"/>
          <w:color w:val="767171"/>
          <w:spacing w:val="20"/>
          <w:lang w:val="es-ES"/>
        </w:rPr>
        <w:t>e</w:t>
      </w:r>
      <w:r w:rsidR="0099196B">
        <w:rPr>
          <w:rStyle w:val="normaltextrun"/>
          <w:color w:val="767171"/>
          <w:spacing w:val="20"/>
          <w:lang w:val="es-ES"/>
        </w:rPr>
        <w:t>nten la</w:t>
      </w:r>
      <w:r w:rsidR="0045771C" w:rsidRPr="00BC52C3">
        <w:rPr>
          <w:rStyle w:val="normaltextrun"/>
          <w:color w:val="767171"/>
          <w:spacing w:val="20"/>
          <w:lang w:val="es-ES"/>
        </w:rPr>
        <w:t xml:space="preserve"> estabilidad</w:t>
      </w:r>
      <w:r w:rsidR="0045771C">
        <w:rPr>
          <w:rStyle w:val="normaltextrun"/>
          <w:color w:val="767171"/>
          <w:spacing w:val="20"/>
          <w:lang w:val="es-ES"/>
        </w:rPr>
        <w:t xml:space="preserve"> </w:t>
      </w:r>
      <w:r w:rsidR="003507F8">
        <w:rPr>
          <w:rStyle w:val="normaltextrun"/>
          <w:color w:val="767171"/>
          <w:spacing w:val="20"/>
          <w:lang w:val="es-ES"/>
        </w:rPr>
        <w:t>d</w:t>
      </w:r>
      <w:r w:rsidR="00834CB5">
        <w:rPr>
          <w:rStyle w:val="normaltextrun"/>
          <w:color w:val="767171"/>
          <w:spacing w:val="20"/>
          <w:lang w:val="es-ES"/>
        </w:rPr>
        <w:t>el</w:t>
      </w:r>
      <w:r w:rsidR="0045771C">
        <w:rPr>
          <w:rStyle w:val="normaltextrun"/>
          <w:color w:val="767171"/>
          <w:spacing w:val="20"/>
          <w:lang w:val="es-ES"/>
        </w:rPr>
        <w:t xml:space="preserve"> sistema financiero</w:t>
      </w:r>
      <w:r w:rsidR="00061D58">
        <w:rPr>
          <w:rStyle w:val="normaltextrun"/>
          <w:color w:val="767171"/>
          <w:spacing w:val="20"/>
          <w:lang w:val="es-ES"/>
        </w:rPr>
        <w:t>,</w:t>
      </w:r>
      <w:r w:rsidR="004E118E">
        <w:rPr>
          <w:rStyle w:val="normaltextrun"/>
          <w:color w:val="767171"/>
          <w:spacing w:val="20"/>
          <w:lang w:val="es-ES"/>
        </w:rPr>
        <w:t xml:space="preserve"> </w:t>
      </w:r>
      <w:r w:rsidR="00724B7A">
        <w:rPr>
          <w:rStyle w:val="normaltextrun"/>
          <w:color w:val="767171"/>
          <w:spacing w:val="20"/>
          <w:lang w:val="es-ES"/>
        </w:rPr>
        <w:t xml:space="preserve">la </w:t>
      </w:r>
      <w:r w:rsidR="008D10C2">
        <w:rPr>
          <w:rStyle w:val="normaltextrun"/>
          <w:color w:val="767171"/>
          <w:spacing w:val="20"/>
          <w:lang w:val="es-ES"/>
        </w:rPr>
        <w:t xml:space="preserve">protección </w:t>
      </w:r>
      <w:r w:rsidR="004B67BA">
        <w:rPr>
          <w:rStyle w:val="normaltextrun"/>
          <w:color w:val="767171"/>
          <w:spacing w:val="20"/>
          <w:lang w:val="es-ES"/>
        </w:rPr>
        <w:t>y salud financiera de sus consumidores</w:t>
      </w:r>
      <w:r w:rsidR="00710155">
        <w:rPr>
          <w:rStyle w:val="normaltextrun"/>
          <w:color w:val="767171"/>
          <w:spacing w:val="20"/>
          <w:lang w:val="es-ES"/>
        </w:rPr>
        <w:t>,</w:t>
      </w:r>
      <w:r w:rsidR="004B67BA">
        <w:rPr>
          <w:rStyle w:val="normaltextrun"/>
          <w:color w:val="767171"/>
          <w:spacing w:val="20"/>
          <w:lang w:val="es-ES"/>
        </w:rPr>
        <w:t xml:space="preserve"> </w:t>
      </w:r>
      <w:r w:rsidR="00724B7A">
        <w:rPr>
          <w:rStyle w:val="normaltextrun"/>
          <w:color w:val="767171"/>
          <w:spacing w:val="20"/>
          <w:lang w:val="es-ES"/>
        </w:rPr>
        <w:t xml:space="preserve">y </w:t>
      </w:r>
      <w:r w:rsidR="00F61122">
        <w:rPr>
          <w:rStyle w:val="normaltextrun"/>
          <w:color w:val="767171"/>
          <w:spacing w:val="20"/>
          <w:lang w:val="es-ES"/>
        </w:rPr>
        <w:t xml:space="preserve">el acceso al sistema </w:t>
      </w:r>
      <w:r w:rsidR="00D70A33">
        <w:rPr>
          <w:rStyle w:val="normaltextrun"/>
          <w:color w:val="767171"/>
          <w:spacing w:val="20"/>
          <w:lang w:val="es-ES"/>
        </w:rPr>
        <w:t>de poblaciones excluidas</w:t>
      </w:r>
      <w:r w:rsidRPr="00BC52C3">
        <w:rPr>
          <w:rStyle w:val="normaltextrun"/>
          <w:color w:val="767171"/>
          <w:spacing w:val="20"/>
          <w:lang w:val="es-ES"/>
        </w:rPr>
        <w:t>. E</w:t>
      </w:r>
      <w:r w:rsidR="00AF1258">
        <w:rPr>
          <w:rStyle w:val="normaltextrun"/>
          <w:color w:val="767171"/>
          <w:spacing w:val="20"/>
          <w:lang w:val="es-ES"/>
        </w:rPr>
        <w:t>s</w:t>
      </w:r>
      <w:r w:rsidR="00BA29F6">
        <w:rPr>
          <w:rStyle w:val="normaltextrun"/>
          <w:color w:val="767171"/>
          <w:spacing w:val="20"/>
          <w:lang w:val="es-ES"/>
        </w:rPr>
        <w:t xml:space="preserve"> </w:t>
      </w:r>
      <w:r w:rsidR="00AF1258">
        <w:rPr>
          <w:rStyle w:val="normaltextrun"/>
          <w:color w:val="767171"/>
          <w:spacing w:val="20"/>
          <w:lang w:val="es-ES"/>
        </w:rPr>
        <w:t>por lo que</w:t>
      </w:r>
      <w:r w:rsidRPr="00BC52C3">
        <w:rPr>
          <w:rStyle w:val="normaltextrun"/>
          <w:color w:val="767171"/>
          <w:spacing w:val="20"/>
          <w:lang w:val="es-ES"/>
        </w:rPr>
        <w:t xml:space="preserve"> </w:t>
      </w:r>
      <w:r w:rsidR="008F1949">
        <w:rPr>
          <w:rStyle w:val="normaltextrun"/>
          <w:color w:val="767171"/>
          <w:spacing w:val="20"/>
          <w:lang w:val="es-ES"/>
        </w:rPr>
        <w:t>al cierre del 2024 se espera</w:t>
      </w:r>
      <w:r w:rsidR="00D70A33">
        <w:rPr>
          <w:rStyle w:val="normaltextrun"/>
          <w:color w:val="767171"/>
          <w:spacing w:val="20"/>
          <w:lang w:val="es-ES"/>
        </w:rPr>
        <w:t>:</w:t>
      </w:r>
    </w:p>
    <w:p w14:paraId="7D071CC7" w14:textId="6F289117" w:rsidR="00D051EA" w:rsidRDefault="00D051EA" w:rsidP="00D051EA">
      <w:pPr>
        <w:pStyle w:val="paragraph"/>
        <w:numPr>
          <w:ilvl w:val="0"/>
          <w:numId w:val="31"/>
        </w:numPr>
        <w:spacing w:after="0" w:line="360" w:lineRule="auto"/>
        <w:jc w:val="both"/>
        <w:textAlignment w:val="baseline"/>
        <w:rPr>
          <w:rStyle w:val="normaltextrun"/>
          <w:color w:val="767171"/>
          <w:spacing w:val="20"/>
          <w:lang w:val="es-ES"/>
        </w:rPr>
      </w:pPr>
      <w:r w:rsidRPr="00D051EA">
        <w:rPr>
          <w:rStyle w:val="normaltextrun"/>
          <w:color w:val="767171"/>
          <w:spacing w:val="20"/>
          <w:lang w:val="es-ES"/>
        </w:rPr>
        <w:t xml:space="preserve">Haber fortalecido el marco de supervisión basada en riesgos, aumentando el </w:t>
      </w:r>
      <w:r w:rsidR="000B66E0">
        <w:rPr>
          <w:rStyle w:val="normaltextrun"/>
          <w:color w:val="767171"/>
          <w:spacing w:val="20"/>
          <w:lang w:val="es-ES"/>
        </w:rPr>
        <w:t>porcentaje</w:t>
      </w:r>
      <w:r w:rsidRPr="00D051EA">
        <w:rPr>
          <w:rStyle w:val="normaltextrun"/>
          <w:color w:val="767171"/>
          <w:spacing w:val="20"/>
          <w:lang w:val="es-ES"/>
        </w:rPr>
        <w:t xml:space="preserve"> de guías de supervisión actualizadas con el acompañamiento del T</w:t>
      </w:r>
      <w:r>
        <w:rPr>
          <w:rStyle w:val="normaltextrun"/>
          <w:color w:val="767171"/>
          <w:spacing w:val="20"/>
          <w:lang w:val="es-ES"/>
        </w:rPr>
        <w:t xml:space="preserve">oronto </w:t>
      </w:r>
      <w:r w:rsidRPr="00D051EA">
        <w:rPr>
          <w:rStyle w:val="normaltextrun"/>
          <w:color w:val="767171"/>
          <w:spacing w:val="20"/>
          <w:lang w:val="es-ES"/>
        </w:rPr>
        <w:t>C</w:t>
      </w:r>
      <w:r>
        <w:rPr>
          <w:rStyle w:val="normaltextrun"/>
          <w:color w:val="767171"/>
          <w:spacing w:val="20"/>
          <w:lang w:val="es-ES"/>
        </w:rPr>
        <w:t>entre.</w:t>
      </w:r>
    </w:p>
    <w:p w14:paraId="57AB4EC2" w14:textId="03F87C17" w:rsidR="00B10BD8" w:rsidRPr="00B10BD8" w:rsidRDefault="00B10BD8" w:rsidP="00B10BD8">
      <w:pPr>
        <w:pStyle w:val="paragraph"/>
        <w:numPr>
          <w:ilvl w:val="0"/>
          <w:numId w:val="31"/>
        </w:numPr>
        <w:spacing w:after="0" w:line="360" w:lineRule="auto"/>
        <w:jc w:val="both"/>
        <w:textAlignment w:val="baseline"/>
        <w:rPr>
          <w:rStyle w:val="normaltextrun"/>
          <w:color w:val="767171"/>
          <w:spacing w:val="20"/>
          <w:lang w:val="es-ES"/>
        </w:rPr>
      </w:pPr>
      <w:r>
        <w:rPr>
          <w:rStyle w:val="normaltextrun"/>
          <w:color w:val="767171"/>
          <w:spacing w:val="20"/>
          <w:lang w:val="es-ES"/>
        </w:rPr>
        <w:t xml:space="preserve">Llevar a cabo una agenda de supervisión proporcional al perfil de riesgo de las entidades supervisadas; </w:t>
      </w:r>
      <w:r w:rsidRPr="00B10BD8">
        <w:rPr>
          <w:rStyle w:val="normaltextrun"/>
          <w:color w:val="767171"/>
          <w:spacing w:val="20"/>
          <w:lang w:val="es-ES"/>
        </w:rPr>
        <w:t>integrando además por primera vez la supervisión de fiduciarias.</w:t>
      </w:r>
    </w:p>
    <w:p w14:paraId="04E1F4AE" w14:textId="1961921B" w:rsidR="00D051EA" w:rsidRPr="00D051EA" w:rsidRDefault="00D051EA" w:rsidP="00D051EA">
      <w:pPr>
        <w:pStyle w:val="paragraph"/>
        <w:numPr>
          <w:ilvl w:val="0"/>
          <w:numId w:val="31"/>
        </w:numPr>
        <w:spacing w:after="0" w:line="360" w:lineRule="auto"/>
        <w:jc w:val="both"/>
        <w:textAlignment w:val="baseline"/>
        <w:rPr>
          <w:rStyle w:val="normaltextrun"/>
          <w:color w:val="767171"/>
          <w:spacing w:val="20"/>
          <w:lang w:val="es-ES"/>
        </w:rPr>
      </w:pPr>
      <w:r w:rsidRPr="00D051EA">
        <w:rPr>
          <w:rStyle w:val="normaltextrun"/>
          <w:color w:val="767171"/>
          <w:spacing w:val="20"/>
          <w:lang w:val="es-ES"/>
        </w:rPr>
        <w:t>Avanzar en la calificación de las entidades reguladas en función del modelo actualizado de supervisión basado en riesgo (nuevas herramientas de muestreo, medición de riesgos emergentes, etc..).</w:t>
      </w:r>
    </w:p>
    <w:p w14:paraId="3980050B" w14:textId="64F428FB" w:rsidR="00D051EA" w:rsidRPr="00B1494C" w:rsidRDefault="00D051EA" w:rsidP="00B1494C">
      <w:pPr>
        <w:pStyle w:val="paragraph"/>
        <w:numPr>
          <w:ilvl w:val="0"/>
          <w:numId w:val="31"/>
        </w:numPr>
        <w:spacing w:after="0" w:line="360" w:lineRule="auto"/>
        <w:jc w:val="both"/>
        <w:textAlignment w:val="baseline"/>
        <w:rPr>
          <w:rStyle w:val="normaltextrun"/>
          <w:color w:val="767171"/>
          <w:spacing w:val="20"/>
          <w:lang w:val="es-ES"/>
        </w:rPr>
      </w:pPr>
      <w:r>
        <w:rPr>
          <w:rStyle w:val="normaltextrun"/>
          <w:color w:val="767171"/>
          <w:spacing w:val="20"/>
          <w:lang w:val="es-ES"/>
        </w:rPr>
        <w:t>F</w:t>
      </w:r>
      <w:r w:rsidRPr="00D051EA">
        <w:rPr>
          <w:rStyle w:val="normaltextrun"/>
          <w:color w:val="767171"/>
          <w:spacing w:val="20"/>
          <w:lang w:val="es-ES"/>
        </w:rPr>
        <w:t xml:space="preserve">ortalecer </w:t>
      </w:r>
      <w:r w:rsidR="00542ABF">
        <w:rPr>
          <w:rStyle w:val="normaltextrun"/>
          <w:color w:val="767171"/>
          <w:spacing w:val="20"/>
          <w:lang w:val="es-ES"/>
        </w:rPr>
        <w:t>el proceso de</w:t>
      </w:r>
      <w:r w:rsidRPr="00D051EA">
        <w:rPr>
          <w:rStyle w:val="normaltextrun"/>
          <w:color w:val="767171"/>
          <w:spacing w:val="20"/>
          <w:lang w:val="es-ES"/>
        </w:rPr>
        <w:t xml:space="preserve"> supervisión </w:t>
      </w:r>
      <w:r w:rsidR="00542ABF">
        <w:rPr>
          <w:rStyle w:val="normaltextrun"/>
          <w:color w:val="767171"/>
          <w:spacing w:val="20"/>
          <w:lang w:val="es-ES"/>
        </w:rPr>
        <w:t xml:space="preserve">mediante </w:t>
      </w:r>
      <w:r w:rsidRPr="00B1494C">
        <w:rPr>
          <w:rStyle w:val="normaltextrun"/>
          <w:color w:val="767171"/>
          <w:spacing w:val="20"/>
          <w:lang w:val="es-ES"/>
        </w:rPr>
        <w:t>mejoras a</w:t>
      </w:r>
      <w:r w:rsidR="00930A19" w:rsidRPr="00B1494C">
        <w:rPr>
          <w:rStyle w:val="normaltextrun"/>
          <w:color w:val="767171"/>
          <w:spacing w:val="20"/>
          <w:lang w:val="es-ES"/>
        </w:rPr>
        <w:t xml:space="preserve"> herramientas digitales</w:t>
      </w:r>
      <w:r w:rsidRPr="00B1494C">
        <w:rPr>
          <w:rStyle w:val="normaltextrun"/>
          <w:color w:val="767171"/>
          <w:spacing w:val="20"/>
          <w:lang w:val="es-ES"/>
        </w:rPr>
        <w:t xml:space="preserve"> que faciliten el análisis de datos y la identificación temprana de anomalías</w:t>
      </w:r>
      <w:r w:rsidR="00542ABF">
        <w:rPr>
          <w:rStyle w:val="normaltextrun"/>
          <w:color w:val="767171"/>
          <w:spacing w:val="20"/>
          <w:lang w:val="es-ES"/>
        </w:rPr>
        <w:t xml:space="preserve"> </w:t>
      </w:r>
      <w:r w:rsidR="00987318">
        <w:rPr>
          <w:rStyle w:val="normaltextrun"/>
          <w:color w:val="767171"/>
          <w:spacing w:val="20"/>
          <w:lang w:val="es-ES"/>
        </w:rPr>
        <w:t>en los indicadores de las entidades y del sistema financiero</w:t>
      </w:r>
      <w:r w:rsidRPr="00B1494C">
        <w:rPr>
          <w:rStyle w:val="normaltextrun"/>
          <w:color w:val="767171"/>
          <w:spacing w:val="20"/>
          <w:lang w:val="es-ES"/>
        </w:rPr>
        <w:t>.</w:t>
      </w:r>
    </w:p>
    <w:p w14:paraId="5D5AAD39" w14:textId="0C15E5CF" w:rsidR="00D051EA" w:rsidRDefault="00D051EA" w:rsidP="00D051EA">
      <w:pPr>
        <w:pStyle w:val="paragraph"/>
        <w:numPr>
          <w:ilvl w:val="0"/>
          <w:numId w:val="31"/>
        </w:numPr>
        <w:spacing w:after="0" w:line="360" w:lineRule="auto"/>
        <w:jc w:val="both"/>
        <w:textAlignment w:val="baseline"/>
        <w:rPr>
          <w:rStyle w:val="normaltextrun"/>
          <w:color w:val="767171"/>
          <w:spacing w:val="20"/>
          <w:lang w:val="es-ES"/>
        </w:rPr>
      </w:pPr>
      <w:r w:rsidRPr="00D051EA">
        <w:rPr>
          <w:rStyle w:val="normaltextrun"/>
          <w:color w:val="767171"/>
          <w:spacing w:val="20"/>
          <w:lang w:val="es-ES"/>
        </w:rPr>
        <w:t xml:space="preserve">Modernizar el parque normativo, con proyectos como la continuación de las modificaciones al Manual de Contabilidad, la elaboración de instructivos, y avances en la elaboración de reglamentos </w:t>
      </w:r>
      <w:r w:rsidR="00930A19">
        <w:rPr>
          <w:rStyle w:val="normaltextrun"/>
          <w:color w:val="767171"/>
          <w:spacing w:val="20"/>
          <w:lang w:val="es-ES"/>
        </w:rPr>
        <w:t xml:space="preserve">de </w:t>
      </w:r>
      <w:r w:rsidRPr="00D051EA">
        <w:rPr>
          <w:rStyle w:val="normaltextrun"/>
          <w:color w:val="767171"/>
          <w:spacing w:val="20"/>
          <w:lang w:val="es-ES"/>
        </w:rPr>
        <w:t>riegos de mercado, liquidez y tasa de interés de libro bancario.</w:t>
      </w:r>
    </w:p>
    <w:p w14:paraId="087DF391" w14:textId="1A956FA4" w:rsidR="00C70A2E" w:rsidRPr="00C70A2E" w:rsidRDefault="00C70A2E" w:rsidP="00C70A2E">
      <w:pPr>
        <w:pStyle w:val="paragraph"/>
        <w:numPr>
          <w:ilvl w:val="0"/>
          <w:numId w:val="31"/>
        </w:numPr>
        <w:spacing w:after="0" w:line="360" w:lineRule="auto"/>
        <w:jc w:val="both"/>
        <w:textAlignment w:val="baseline"/>
        <w:rPr>
          <w:rStyle w:val="normaltextrun"/>
          <w:color w:val="767171"/>
          <w:spacing w:val="20"/>
          <w:lang w:val="es-ES"/>
        </w:rPr>
      </w:pPr>
      <w:r>
        <w:rPr>
          <w:rStyle w:val="normaltextrun"/>
          <w:color w:val="767171"/>
          <w:spacing w:val="20"/>
          <w:lang w:val="es-ES"/>
        </w:rPr>
        <w:t>Profundizar</w:t>
      </w:r>
      <w:r w:rsidRPr="00C70A2E">
        <w:rPr>
          <w:rStyle w:val="normaltextrun"/>
          <w:color w:val="767171"/>
          <w:spacing w:val="20"/>
          <w:lang w:val="es-ES"/>
        </w:rPr>
        <w:t xml:space="preserve"> la digitalización de la gestión de los procesos de las áreas clave mediante</w:t>
      </w:r>
      <w:r>
        <w:rPr>
          <w:rStyle w:val="normaltextrun"/>
          <w:color w:val="767171"/>
          <w:spacing w:val="20"/>
          <w:lang w:val="es-ES"/>
        </w:rPr>
        <w:t xml:space="preserve"> la implementación de herramientas </w:t>
      </w:r>
      <w:r>
        <w:rPr>
          <w:rStyle w:val="normaltextrun"/>
          <w:color w:val="767171"/>
          <w:spacing w:val="20"/>
          <w:lang w:val="es-ES"/>
        </w:rPr>
        <w:lastRenderedPageBreak/>
        <w:t>como</w:t>
      </w:r>
      <w:r w:rsidRPr="00C70A2E">
        <w:rPr>
          <w:rStyle w:val="normaltextrun"/>
          <w:color w:val="767171"/>
          <w:spacing w:val="20"/>
          <w:lang w:val="es-ES"/>
        </w:rPr>
        <w:t xml:space="preserve"> un motor de procesos</w:t>
      </w:r>
      <w:r>
        <w:rPr>
          <w:rStyle w:val="normaltextrun"/>
          <w:color w:val="767171"/>
          <w:spacing w:val="20"/>
          <w:lang w:val="es-ES"/>
        </w:rPr>
        <w:t>,</w:t>
      </w:r>
      <w:r w:rsidRPr="00C70A2E">
        <w:rPr>
          <w:rStyle w:val="normaltextrun"/>
          <w:color w:val="767171"/>
          <w:spacing w:val="20"/>
          <w:lang w:val="es-ES"/>
        </w:rPr>
        <w:t xml:space="preserve"> un sistema de gestión documental</w:t>
      </w:r>
      <w:r>
        <w:rPr>
          <w:rStyle w:val="normaltextrun"/>
          <w:color w:val="767171"/>
          <w:spacing w:val="20"/>
          <w:lang w:val="es-ES"/>
        </w:rPr>
        <w:t xml:space="preserve"> y la </w:t>
      </w:r>
      <w:r w:rsidRPr="00C70A2E">
        <w:rPr>
          <w:rStyle w:val="normaltextrun"/>
          <w:color w:val="767171"/>
          <w:spacing w:val="20"/>
          <w:lang w:val="es-ES"/>
        </w:rPr>
        <w:t xml:space="preserve">expansión del </w:t>
      </w:r>
      <w:r w:rsidR="00CD7B42">
        <w:rPr>
          <w:rStyle w:val="normaltextrun"/>
          <w:color w:val="767171"/>
          <w:spacing w:val="20"/>
          <w:lang w:val="es-ES"/>
        </w:rPr>
        <w:t>sistema de planificación de recursos</w:t>
      </w:r>
      <w:r w:rsidR="00C72AEA">
        <w:rPr>
          <w:rStyle w:val="normaltextrun"/>
          <w:color w:val="767171"/>
          <w:spacing w:val="20"/>
          <w:lang w:val="es-ES"/>
        </w:rPr>
        <w:t xml:space="preserve"> empresariales</w:t>
      </w:r>
      <w:r w:rsidR="00CD7B42">
        <w:rPr>
          <w:rStyle w:val="normaltextrun"/>
          <w:color w:val="767171"/>
          <w:spacing w:val="20"/>
          <w:lang w:val="es-ES"/>
        </w:rPr>
        <w:t xml:space="preserve"> (</w:t>
      </w:r>
      <w:r w:rsidRPr="00C70A2E">
        <w:rPr>
          <w:rStyle w:val="normaltextrun"/>
          <w:color w:val="767171"/>
          <w:spacing w:val="20"/>
          <w:lang w:val="es-ES"/>
        </w:rPr>
        <w:t>ERP</w:t>
      </w:r>
      <w:r w:rsidR="00CD7B42">
        <w:rPr>
          <w:rStyle w:val="normaltextrun"/>
          <w:color w:val="767171"/>
          <w:spacing w:val="20"/>
          <w:lang w:val="es-ES"/>
        </w:rPr>
        <w:t>)</w:t>
      </w:r>
      <w:r w:rsidRPr="00C70A2E">
        <w:rPr>
          <w:rStyle w:val="normaltextrun"/>
          <w:color w:val="767171"/>
          <w:spacing w:val="20"/>
          <w:lang w:val="es-ES"/>
        </w:rPr>
        <w:t>.</w:t>
      </w:r>
    </w:p>
    <w:p w14:paraId="05D79A7E" w14:textId="217D9C63" w:rsidR="00C70A2E" w:rsidRDefault="00C72AEA" w:rsidP="00C70A2E">
      <w:pPr>
        <w:pStyle w:val="paragraph"/>
        <w:numPr>
          <w:ilvl w:val="0"/>
          <w:numId w:val="31"/>
        </w:numPr>
        <w:spacing w:after="0" w:line="360" w:lineRule="auto"/>
        <w:jc w:val="both"/>
        <w:textAlignment w:val="baseline"/>
        <w:rPr>
          <w:rStyle w:val="normaltextrun"/>
          <w:color w:val="767171"/>
          <w:spacing w:val="20"/>
          <w:lang w:val="es-ES"/>
        </w:rPr>
      </w:pPr>
      <w:r>
        <w:rPr>
          <w:rStyle w:val="normaltextrun"/>
          <w:color w:val="767171"/>
          <w:spacing w:val="20"/>
          <w:lang w:val="es-ES"/>
        </w:rPr>
        <w:t>Simplificar</w:t>
      </w:r>
      <w:r w:rsidR="00C70A2E" w:rsidRPr="00C70A2E">
        <w:rPr>
          <w:rStyle w:val="normaltextrun"/>
          <w:color w:val="767171"/>
          <w:spacing w:val="20"/>
          <w:lang w:val="es-ES"/>
        </w:rPr>
        <w:t xml:space="preserve"> el proceso de trámite de información con la Dirección Nacional de Registro de Títulos. </w:t>
      </w:r>
    </w:p>
    <w:p w14:paraId="11F21CE5" w14:textId="6A410756" w:rsidR="00B92932" w:rsidRPr="00B92932" w:rsidRDefault="00B92932" w:rsidP="003507F8">
      <w:pPr>
        <w:pStyle w:val="paragraph"/>
        <w:numPr>
          <w:ilvl w:val="0"/>
          <w:numId w:val="31"/>
        </w:numPr>
        <w:spacing w:after="0" w:line="360" w:lineRule="auto"/>
        <w:jc w:val="both"/>
        <w:textAlignment w:val="baseline"/>
        <w:rPr>
          <w:rStyle w:val="normaltextrun"/>
          <w:color w:val="767171"/>
          <w:spacing w:val="20"/>
          <w:lang w:val="es-ES"/>
        </w:rPr>
      </w:pPr>
      <w:r w:rsidRPr="00B92932">
        <w:rPr>
          <w:rStyle w:val="normaltextrun"/>
          <w:color w:val="767171"/>
          <w:spacing w:val="20"/>
          <w:lang w:val="es-ES"/>
        </w:rPr>
        <w:t>Ampliar las competencias de los colaboradores gracias a la continuación de la implementación de un plan de carrera y ruta de desarrollo para las áreas misionales</w:t>
      </w:r>
      <w:r>
        <w:rPr>
          <w:rStyle w:val="normaltextrun"/>
          <w:color w:val="767171"/>
          <w:spacing w:val="20"/>
          <w:lang w:val="es-ES"/>
        </w:rPr>
        <w:t xml:space="preserve"> y</w:t>
      </w:r>
      <w:r w:rsidRPr="00B92932">
        <w:rPr>
          <w:rStyle w:val="normaltextrun"/>
          <w:color w:val="767171"/>
          <w:spacing w:val="20"/>
          <w:lang w:val="es-ES"/>
        </w:rPr>
        <w:t xml:space="preserve"> la creación de un</w:t>
      </w:r>
      <w:r>
        <w:rPr>
          <w:rStyle w:val="normaltextrun"/>
          <w:color w:val="767171"/>
          <w:spacing w:val="20"/>
          <w:lang w:val="es-ES"/>
        </w:rPr>
        <w:t>a</w:t>
      </w:r>
      <w:r w:rsidR="000B66E0">
        <w:rPr>
          <w:rStyle w:val="normaltextrun"/>
          <w:color w:val="767171"/>
          <w:spacing w:val="20"/>
          <w:lang w:val="es-ES"/>
        </w:rPr>
        <w:t xml:space="preserve"> estructura de</w:t>
      </w:r>
      <w:r w:rsidRPr="00B92932">
        <w:rPr>
          <w:rStyle w:val="normaltextrun"/>
          <w:color w:val="767171"/>
          <w:spacing w:val="20"/>
          <w:lang w:val="es-ES"/>
        </w:rPr>
        <w:t xml:space="preserve"> formación (Escuela SB)</w:t>
      </w:r>
      <w:r>
        <w:rPr>
          <w:rStyle w:val="normaltextrun"/>
          <w:color w:val="767171"/>
          <w:spacing w:val="20"/>
          <w:lang w:val="es-ES"/>
        </w:rPr>
        <w:t>.</w:t>
      </w:r>
    </w:p>
    <w:p w14:paraId="7A7FBD47" w14:textId="22F70F83" w:rsidR="00B92932" w:rsidRPr="00B92932" w:rsidRDefault="00B92932" w:rsidP="00B92932">
      <w:pPr>
        <w:pStyle w:val="paragraph"/>
        <w:numPr>
          <w:ilvl w:val="0"/>
          <w:numId w:val="31"/>
        </w:numPr>
        <w:spacing w:after="0" w:line="360" w:lineRule="auto"/>
        <w:jc w:val="both"/>
        <w:textAlignment w:val="baseline"/>
        <w:rPr>
          <w:rStyle w:val="normaltextrun"/>
          <w:color w:val="767171"/>
          <w:spacing w:val="20"/>
          <w:lang w:val="es-ES"/>
        </w:rPr>
      </w:pPr>
      <w:r w:rsidRPr="00B92932">
        <w:rPr>
          <w:rStyle w:val="normaltextrun"/>
          <w:color w:val="767171"/>
          <w:spacing w:val="20"/>
          <w:lang w:val="es-ES"/>
        </w:rPr>
        <w:t>Contar con infraestructura institucional mejorada y fortalecida. Con una sede central más segur</w:t>
      </w:r>
      <w:r w:rsidR="00AD0D5B">
        <w:rPr>
          <w:rStyle w:val="normaltextrun"/>
          <w:color w:val="767171"/>
          <w:spacing w:val="20"/>
          <w:lang w:val="es-ES"/>
        </w:rPr>
        <w:t>a y</w:t>
      </w:r>
      <w:r w:rsidRPr="00B92932">
        <w:rPr>
          <w:rStyle w:val="normaltextrun"/>
          <w:color w:val="767171"/>
          <w:spacing w:val="20"/>
          <w:lang w:val="es-ES"/>
        </w:rPr>
        <w:t xml:space="preserve"> amigable al medio ambiente, gracias al refuerzo estructural de la planta física</w:t>
      </w:r>
      <w:r w:rsidR="000B66E0">
        <w:rPr>
          <w:rStyle w:val="normaltextrun"/>
          <w:color w:val="767171"/>
          <w:spacing w:val="20"/>
          <w:lang w:val="es-ES"/>
        </w:rPr>
        <w:t xml:space="preserve"> y a</w:t>
      </w:r>
      <w:r w:rsidRPr="00B92932">
        <w:rPr>
          <w:rStyle w:val="normaltextrun"/>
          <w:color w:val="767171"/>
          <w:spacing w:val="20"/>
          <w:lang w:val="es-ES"/>
        </w:rPr>
        <w:t xml:space="preserve"> la implementación </w:t>
      </w:r>
      <w:r w:rsidR="00AD0D5B">
        <w:rPr>
          <w:rStyle w:val="normaltextrun"/>
          <w:color w:val="767171"/>
          <w:spacing w:val="20"/>
          <w:lang w:val="es-ES"/>
        </w:rPr>
        <w:t xml:space="preserve">de </w:t>
      </w:r>
      <w:r w:rsidRPr="00B92932">
        <w:rPr>
          <w:rStyle w:val="normaltextrun"/>
          <w:color w:val="767171"/>
          <w:spacing w:val="20"/>
          <w:lang w:val="es-ES"/>
        </w:rPr>
        <w:t>paneles solares</w:t>
      </w:r>
      <w:r w:rsidR="000B66E0">
        <w:rPr>
          <w:rStyle w:val="normaltextrun"/>
          <w:color w:val="767171"/>
          <w:spacing w:val="20"/>
          <w:lang w:val="es-ES"/>
        </w:rPr>
        <w:t>.</w:t>
      </w:r>
    </w:p>
    <w:p w14:paraId="1F4F61DE" w14:textId="289D18FD" w:rsidR="00B92932" w:rsidRPr="00AD0D5B" w:rsidRDefault="00B92932" w:rsidP="00AD0D5B">
      <w:pPr>
        <w:pStyle w:val="paragraph"/>
        <w:numPr>
          <w:ilvl w:val="0"/>
          <w:numId w:val="31"/>
        </w:numPr>
        <w:spacing w:after="0" w:line="360" w:lineRule="auto"/>
        <w:jc w:val="both"/>
        <w:textAlignment w:val="baseline"/>
        <w:rPr>
          <w:rStyle w:val="normaltextrun"/>
          <w:color w:val="767171"/>
          <w:spacing w:val="20"/>
          <w:lang w:val="es-ES"/>
        </w:rPr>
      </w:pPr>
      <w:r w:rsidRPr="00B92932">
        <w:rPr>
          <w:rStyle w:val="normaltextrun"/>
          <w:color w:val="767171"/>
          <w:spacing w:val="20"/>
          <w:lang w:val="es-ES"/>
        </w:rPr>
        <w:t xml:space="preserve">Continuar la implementación del Sistema de Gestión Integrado (SGI), mediante </w:t>
      </w:r>
      <w:r w:rsidR="00AD0D5B">
        <w:rPr>
          <w:rStyle w:val="normaltextrun"/>
          <w:color w:val="767171"/>
          <w:spacing w:val="20"/>
          <w:lang w:val="es-ES"/>
        </w:rPr>
        <w:t xml:space="preserve">actividades </w:t>
      </w:r>
      <w:r w:rsidR="00E71CA6">
        <w:rPr>
          <w:rStyle w:val="normaltextrun"/>
          <w:color w:val="767171"/>
          <w:spacing w:val="20"/>
          <w:lang w:val="es-ES"/>
        </w:rPr>
        <w:t xml:space="preserve">orientadas a </w:t>
      </w:r>
      <w:r w:rsidR="00CA2A6E">
        <w:rPr>
          <w:rStyle w:val="normaltextrun"/>
          <w:color w:val="767171"/>
          <w:spacing w:val="20"/>
          <w:lang w:val="es-ES"/>
        </w:rPr>
        <w:t>certifica</w:t>
      </w:r>
      <w:r w:rsidR="00E71CA6">
        <w:rPr>
          <w:rStyle w:val="normaltextrun"/>
          <w:color w:val="767171"/>
          <w:spacing w:val="20"/>
          <w:lang w:val="es-ES"/>
        </w:rPr>
        <w:t>r procesos institucionales</w:t>
      </w:r>
      <w:r w:rsidR="00CA2A6E">
        <w:rPr>
          <w:rStyle w:val="normaltextrun"/>
          <w:color w:val="767171"/>
          <w:spacing w:val="20"/>
          <w:lang w:val="es-ES"/>
        </w:rPr>
        <w:t xml:space="preserve"> </w:t>
      </w:r>
      <w:r w:rsidR="00E71CA6">
        <w:rPr>
          <w:rStyle w:val="normaltextrun"/>
          <w:color w:val="767171"/>
          <w:spacing w:val="20"/>
          <w:lang w:val="es-ES"/>
        </w:rPr>
        <w:t xml:space="preserve">en las normas </w:t>
      </w:r>
      <w:r w:rsidRPr="00AD0D5B">
        <w:rPr>
          <w:rStyle w:val="normaltextrun"/>
          <w:color w:val="767171"/>
          <w:spacing w:val="20"/>
          <w:lang w:val="es-ES"/>
        </w:rPr>
        <w:t>ISO 37301 de Cumplimiento; ISO 22301 Continuidad de Negocio e ISO 27001 de seguridad de la información.​</w:t>
      </w:r>
    </w:p>
    <w:p w14:paraId="6D0E3923" w14:textId="3E13B6B9" w:rsidR="00B92932" w:rsidRDefault="002F0026" w:rsidP="00B92932">
      <w:pPr>
        <w:pStyle w:val="paragraph"/>
        <w:numPr>
          <w:ilvl w:val="0"/>
          <w:numId w:val="31"/>
        </w:numPr>
        <w:spacing w:after="0" w:line="360" w:lineRule="auto"/>
        <w:jc w:val="both"/>
        <w:textAlignment w:val="baseline"/>
        <w:rPr>
          <w:rStyle w:val="normaltextrun"/>
          <w:color w:val="767171"/>
          <w:spacing w:val="20"/>
          <w:lang w:val="es-ES"/>
        </w:rPr>
      </w:pPr>
      <w:r>
        <w:rPr>
          <w:rStyle w:val="normaltextrun"/>
          <w:color w:val="767171"/>
          <w:spacing w:val="20"/>
          <w:lang w:val="es-ES"/>
        </w:rPr>
        <w:t>Fomentar</w:t>
      </w:r>
      <w:r w:rsidR="00B92932" w:rsidRPr="00B92932">
        <w:rPr>
          <w:rStyle w:val="normaltextrun"/>
          <w:color w:val="767171"/>
          <w:spacing w:val="20"/>
          <w:lang w:val="es-ES"/>
        </w:rPr>
        <w:t xml:space="preserve"> la credibilidad</w:t>
      </w:r>
      <w:r w:rsidR="000B66E0">
        <w:rPr>
          <w:rStyle w:val="normaltextrun"/>
          <w:color w:val="767171"/>
          <w:spacing w:val="20"/>
          <w:lang w:val="es-ES"/>
        </w:rPr>
        <w:t xml:space="preserve"> y</w:t>
      </w:r>
      <w:r w:rsidR="00B92932" w:rsidRPr="00B92932">
        <w:rPr>
          <w:rStyle w:val="normaltextrun"/>
          <w:color w:val="767171"/>
          <w:spacing w:val="20"/>
          <w:lang w:val="es-ES"/>
        </w:rPr>
        <w:t xml:space="preserve"> confianza institucional, a través de iniciativas como la creación de una base de conocimiento en materia de derecho bancario y del sector financiero.</w:t>
      </w:r>
    </w:p>
    <w:p w14:paraId="2688EFFA" w14:textId="6D5A24B5" w:rsidR="00D91270" w:rsidRDefault="00D91270" w:rsidP="00D91270">
      <w:pPr>
        <w:pStyle w:val="paragraph"/>
        <w:numPr>
          <w:ilvl w:val="0"/>
          <w:numId w:val="31"/>
        </w:numPr>
        <w:spacing w:after="0" w:line="360" w:lineRule="auto"/>
        <w:jc w:val="both"/>
        <w:textAlignment w:val="baseline"/>
        <w:rPr>
          <w:rStyle w:val="normaltextrun"/>
          <w:color w:val="767171"/>
          <w:spacing w:val="20"/>
          <w:lang w:val="es-ES"/>
        </w:rPr>
      </w:pPr>
      <w:r w:rsidRPr="00D91270">
        <w:rPr>
          <w:rStyle w:val="normaltextrun"/>
          <w:color w:val="767171"/>
          <w:spacing w:val="20"/>
          <w:lang w:val="es-ES"/>
        </w:rPr>
        <w:t xml:space="preserve">Aumentar la cantidad de usuarios que reciben educación financiera gracias a la habilitación de una plataforma </w:t>
      </w:r>
      <w:r w:rsidR="002F0026">
        <w:rPr>
          <w:rStyle w:val="normaltextrun"/>
          <w:color w:val="767171"/>
          <w:spacing w:val="20"/>
          <w:lang w:val="es-ES"/>
        </w:rPr>
        <w:t xml:space="preserve">de formación </w:t>
      </w:r>
      <w:r w:rsidRPr="00D91270">
        <w:rPr>
          <w:rStyle w:val="normaltextrun"/>
          <w:color w:val="767171"/>
          <w:spacing w:val="20"/>
          <w:lang w:val="es-ES"/>
        </w:rPr>
        <w:t>en línea</w:t>
      </w:r>
      <w:r w:rsidR="002F0026">
        <w:rPr>
          <w:rStyle w:val="normaltextrun"/>
          <w:color w:val="767171"/>
          <w:spacing w:val="20"/>
          <w:lang w:val="es-ES"/>
        </w:rPr>
        <w:t xml:space="preserve"> para el público</w:t>
      </w:r>
      <w:r w:rsidRPr="00D91270">
        <w:rPr>
          <w:rStyle w:val="normaltextrun"/>
          <w:color w:val="767171"/>
          <w:spacing w:val="20"/>
          <w:lang w:val="es-ES"/>
        </w:rPr>
        <w:t>.</w:t>
      </w:r>
    </w:p>
    <w:p w14:paraId="7A85B640" w14:textId="119020E4" w:rsidR="00A13782" w:rsidRPr="00B10BD8" w:rsidRDefault="007D1CDC" w:rsidP="006B204A">
      <w:pPr>
        <w:pStyle w:val="paragraph"/>
        <w:numPr>
          <w:ilvl w:val="0"/>
          <w:numId w:val="31"/>
        </w:numPr>
        <w:spacing w:after="0" w:line="360" w:lineRule="auto"/>
        <w:jc w:val="both"/>
        <w:textAlignment w:val="baseline"/>
        <w:rPr>
          <w:color w:val="767171"/>
          <w:spacing w:val="20"/>
          <w:lang w:val="es-ES"/>
        </w:rPr>
      </w:pPr>
      <w:r w:rsidRPr="007D1CDC">
        <w:rPr>
          <w:rStyle w:val="normaltextrun"/>
          <w:color w:val="767171"/>
          <w:spacing w:val="20"/>
          <w:lang w:val="es-ES"/>
        </w:rPr>
        <w:t>Aumentar el porcentaje de EIF que son enteradas del alcance e implicaciones de la aplicación del nuevo régimen sancionador.</w:t>
      </w:r>
      <w:r w:rsidR="00A13782" w:rsidRPr="00B10BD8">
        <w:rPr>
          <w:rFonts w:eastAsia="Calibri"/>
        </w:rPr>
        <w:br w:type="page"/>
      </w:r>
    </w:p>
    <w:bookmarkStart w:id="110" w:name="_Toc123046930"/>
    <w:bookmarkStart w:id="111" w:name="_Toc155354630"/>
    <w:p w14:paraId="2A22F063" w14:textId="25461D6F" w:rsidR="002C3B98" w:rsidRPr="00C865B6" w:rsidRDefault="002C3B98" w:rsidP="006B204A">
      <w:pPr>
        <w:pStyle w:val="Ttulo1"/>
        <w:spacing w:before="0" w:after="160"/>
        <w:rPr>
          <w:rFonts w:cs="Times New Roman"/>
          <w:b w:val="0"/>
          <w:color w:val="auto"/>
          <w:szCs w:val="28"/>
          <w:lang w:val="es-DO"/>
        </w:rPr>
      </w:pPr>
      <w:r w:rsidRPr="00C865B6">
        <w:rPr>
          <w:rFonts w:cs="Times New Roman"/>
          <w:noProof/>
          <w:lang w:eastAsia="es-ES"/>
        </w:rPr>
        <w:lastRenderedPageBreak/>
        <mc:AlternateContent>
          <mc:Choice Requires="wps">
            <w:drawing>
              <wp:anchor distT="0" distB="0" distL="114300" distR="114300" simplePos="0" relativeHeight="251658254" behindDoc="0" locked="0" layoutInCell="1" allowOverlap="1" wp14:anchorId="75C2F229" wp14:editId="5F72D0CB">
                <wp:simplePos x="0" y="0"/>
                <wp:positionH relativeFrom="margin">
                  <wp:align>center</wp:align>
                </wp:positionH>
                <wp:positionV relativeFrom="paragraph">
                  <wp:posOffset>391160</wp:posOffset>
                </wp:positionV>
                <wp:extent cx="463550" cy="0"/>
                <wp:effectExtent l="0" t="19050" r="31750" b="19050"/>
                <wp:wrapNone/>
                <wp:docPr id="70" name="Conector recto 7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463550" cy="0"/>
                        </a:xfrm>
                        <a:prstGeom prst="line">
                          <a:avLst/>
                        </a:prstGeom>
                        <a:noFill/>
                        <a:ln w="28575" algn="ctr">
                          <a:solidFill>
                            <a:srgbClr val="EE2A24"/>
                          </a:solidFill>
                          <a:miter lim="800000"/>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arto="http://schemas.microsoft.com/office/word/2006/arto">
            <w:pict>
              <v:line w14:anchorId="14A167E3" id="Conector recto 70" o:spid="_x0000_s1026" style="position:absolute;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 from="0,30.8pt" to="36.5pt,3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" strokecolor="#ee2a24" strokeweight="2.25pt">
                <v:stroke joinstyle="miter"/>
                <w10:wrap anchorx="margin"/>
              </v:line>
            </w:pict>
          </mc:Fallback>
        </mc:AlternateContent>
      </w:r>
      <w:r w:rsidRPr="00C865B6">
        <w:rPr>
          <w:rFonts w:eastAsia="Calibri" w:cs="Times New Roman"/>
          <w:color w:val="767171"/>
          <w:szCs w:val="28"/>
          <w:lang w:val="es-DO"/>
        </w:rPr>
        <w:t>VII. ANEXOS</w:t>
      </w:r>
      <w:bookmarkEnd w:id="110"/>
      <w:bookmarkEnd w:id="111"/>
    </w:p>
    <w:p w14:paraId="225F63C2" w14:textId="781BD978" w:rsidR="008670C1" w:rsidRDefault="008670C1" w:rsidP="006B204A">
      <w:pPr>
        <w:tabs>
          <w:tab w:val="left" w:pos="6420"/>
        </w:tabs>
        <w:spacing w:line="360" w:lineRule="auto"/>
        <w:jc w:val="center"/>
        <w:rPr>
          <w:b/>
          <w:bCs/>
          <w:lang w:val="es-DO"/>
        </w:rPr>
      </w:pPr>
    </w:p>
    <w:p w14:paraId="4082D4DB" w14:textId="74038A0B" w:rsidR="008670C1" w:rsidRPr="00C865B6" w:rsidRDefault="008670C1" w:rsidP="006B204A">
      <w:pPr>
        <w:tabs>
          <w:tab w:val="left" w:pos="6420"/>
        </w:tabs>
        <w:spacing w:line="360" w:lineRule="auto"/>
        <w:jc w:val="center"/>
        <w:rPr>
          <w:b/>
          <w:bCs/>
        </w:rPr>
      </w:pPr>
      <w:r w:rsidRPr="00C865B6">
        <w:rPr>
          <w:b/>
          <w:bCs/>
          <w:lang w:val="es-DO"/>
        </w:rPr>
        <w:t xml:space="preserve">Anexo </w:t>
      </w:r>
      <w:r w:rsidR="007C66F2">
        <w:rPr>
          <w:b/>
          <w:bCs/>
          <w:lang w:val="es-DO"/>
        </w:rPr>
        <w:t>1</w:t>
      </w:r>
      <w:r w:rsidRPr="00C865B6">
        <w:rPr>
          <w:b/>
          <w:bCs/>
          <w:lang w:val="es-DO"/>
        </w:rPr>
        <w:t xml:space="preserve">. Ejecución Presupuestaria de la Superintendencia de Bancos según cuentas. </w:t>
      </w:r>
      <w:r w:rsidRPr="00C865B6">
        <w:rPr>
          <w:b/>
          <w:bCs/>
        </w:rPr>
        <w:t xml:space="preserve">Al corte </w:t>
      </w:r>
      <w:r w:rsidR="00FD4388">
        <w:rPr>
          <w:b/>
          <w:bCs/>
        </w:rPr>
        <w:t>de</w:t>
      </w:r>
      <w:r w:rsidRPr="00C865B6">
        <w:rPr>
          <w:b/>
          <w:bCs/>
        </w:rPr>
        <w:t xml:space="preserve"> </w:t>
      </w:r>
      <w:r w:rsidR="00CB7390">
        <w:rPr>
          <w:b/>
          <w:bCs/>
          <w:lang w:val="es-DO"/>
        </w:rPr>
        <w:t>noviembre</w:t>
      </w:r>
      <w:r w:rsidR="00FD4388">
        <w:rPr>
          <w:b/>
          <w:bCs/>
          <w:lang w:val="es-DO"/>
        </w:rPr>
        <w:t xml:space="preserve"> del</w:t>
      </w:r>
      <w:r w:rsidRPr="00C865B6">
        <w:rPr>
          <w:b/>
          <w:bCs/>
        </w:rPr>
        <w:t xml:space="preserve"> </w:t>
      </w:r>
      <w:r w:rsidR="00FD4388" w:rsidRPr="00202E46">
        <w:rPr>
          <w:b/>
          <w:bCs/>
          <w:lang w:val="es-DO"/>
        </w:rPr>
        <w:t>a</w:t>
      </w:r>
      <w:r w:rsidRPr="00202E46">
        <w:rPr>
          <w:b/>
          <w:bCs/>
          <w:lang w:val="es-DO"/>
        </w:rPr>
        <w:t>ño</w:t>
      </w:r>
      <w:r w:rsidRPr="00C865B6">
        <w:rPr>
          <w:b/>
          <w:bCs/>
        </w:rPr>
        <w:t xml:space="preserve"> 202</w:t>
      </w:r>
      <w:r>
        <w:rPr>
          <w:b/>
          <w:bCs/>
        </w:rPr>
        <w:t>3</w:t>
      </w:r>
    </w:p>
    <w:tbl>
      <w:tblPr>
        <w:tblW w:w="8552" w:type="dxa"/>
        <w:jc w:val="center"/>
        <w:tblCellMar>
          <w:top w:w="15" w:type="dxa"/>
          <w:bottom w:w="15" w:type="dxa"/>
        </w:tblCellMar>
        <w:tblLook w:val="04A0" w:firstRow="1" w:lastRow="0" w:firstColumn="1" w:lastColumn="0" w:noHBand="0" w:noVBand="1"/>
      </w:tblPr>
      <w:tblGrid>
        <w:gridCol w:w="3022"/>
        <w:gridCol w:w="21"/>
        <w:gridCol w:w="2017"/>
        <w:gridCol w:w="21"/>
        <w:gridCol w:w="1753"/>
        <w:gridCol w:w="82"/>
        <w:gridCol w:w="1636"/>
      </w:tblGrid>
      <w:tr w:rsidR="00452802" w:rsidRPr="00A40ED9" w14:paraId="326D720D" w14:textId="77777777" w:rsidTr="00BE0AFF">
        <w:trPr>
          <w:trHeight w:val="129"/>
          <w:jc w:val="center"/>
        </w:trPr>
        <w:tc>
          <w:tcPr>
            <w:tcW w:w="3022" w:type="dxa"/>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762CA50E" w14:textId="77777777" w:rsidR="008670C1" w:rsidRPr="005F7534" w:rsidRDefault="008670C1" w:rsidP="006B204A">
            <w:pPr>
              <w:spacing w:after="0" w:line="360" w:lineRule="auto"/>
              <w:rPr>
                <w:rFonts w:eastAsia="Times New Roman"/>
                <w:b/>
                <w:bCs/>
                <w:color w:val="FFFFFF"/>
                <w:lang w:val="es-DO"/>
              </w:rPr>
            </w:pPr>
            <w:r w:rsidRPr="005F7534">
              <w:rPr>
                <w:rFonts w:eastAsia="Times New Roman"/>
                <w:b/>
                <w:bCs/>
                <w:color w:val="FFFFFF"/>
                <w:lang w:val="es-DO"/>
              </w:rPr>
              <w:t>Remuneraciones y contribuciones</w:t>
            </w:r>
          </w:p>
        </w:tc>
        <w:tc>
          <w:tcPr>
            <w:tcW w:w="2038" w:type="dxa"/>
            <w:gridSpan w:val="2"/>
            <w:tcBorders>
              <w:top w:val="single" w:sz="8" w:space="0" w:color="auto"/>
              <w:left w:val="nil"/>
              <w:bottom w:val="single" w:sz="8" w:space="0" w:color="auto"/>
              <w:right w:val="single" w:sz="8" w:space="0" w:color="auto"/>
            </w:tcBorders>
            <w:shd w:val="clear" w:color="000000" w:fill="003876"/>
            <w:noWrap/>
            <w:vAlign w:val="center"/>
            <w:hideMark/>
          </w:tcPr>
          <w:p w14:paraId="29C4FF93" w14:textId="77777777" w:rsidR="008670C1" w:rsidRPr="005F7534" w:rsidRDefault="008670C1" w:rsidP="006B204A">
            <w:pPr>
              <w:spacing w:after="0" w:line="360" w:lineRule="auto"/>
              <w:jc w:val="center"/>
              <w:rPr>
                <w:rFonts w:eastAsia="Times New Roman"/>
                <w:b/>
                <w:bCs/>
                <w:color w:val="FFFFFF"/>
                <w:lang w:val="es-DO"/>
              </w:rPr>
            </w:pPr>
            <w:r w:rsidRPr="005F7534">
              <w:rPr>
                <w:rFonts w:eastAsia="Times New Roman"/>
                <w:b/>
                <w:bCs/>
                <w:color w:val="FFFFFF"/>
                <w:lang w:val="es-DO"/>
              </w:rPr>
              <w:t>Presupuesto</w:t>
            </w:r>
          </w:p>
        </w:tc>
        <w:tc>
          <w:tcPr>
            <w:tcW w:w="1856" w:type="dxa"/>
            <w:gridSpan w:val="3"/>
            <w:tcBorders>
              <w:top w:val="single" w:sz="8" w:space="0" w:color="auto"/>
              <w:left w:val="nil"/>
              <w:bottom w:val="single" w:sz="8" w:space="0" w:color="auto"/>
              <w:right w:val="single" w:sz="8" w:space="0" w:color="auto"/>
            </w:tcBorders>
            <w:shd w:val="clear" w:color="000000" w:fill="003876"/>
            <w:noWrap/>
            <w:vAlign w:val="center"/>
            <w:hideMark/>
          </w:tcPr>
          <w:p w14:paraId="058D7D0D" w14:textId="77777777" w:rsidR="008670C1" w:rsidRPr="005F7534" w:rsidRDefault="008670C1" w:rsidP="006B204A">
            <w:pPr>
              <w:spacing w:after="0" w:line="360" w:lineRule="auto"/>
              <w:jc w:val="center"/>
              <w:rPr>
                <w:rFonts w:eastAsia="Times New Roman"/>
                <w:b/>
                <w:bCs/>
                <w:color w:val="FFFFFF"/>
                <w:lang w:val="es-DO"/>
              </w:rPr>
            </w:pPr>
            <w:r w:rsidRPr="005F7534">
              <w:rPr>
                <w:rFonts w:eastAsia="Times New Roman"/>
                <w:b/>
                <w:bCs/>
                <w:color w:val="FFFFFF"/>
                <w:lang w:val="es-DO"/>
              </w:rPr>
              <w:t>Ejecutado</w:t>
            </w:r>
          </w:p>
        </w:tc>
        <w:tc>
          <w:tcPr>
            <w:tcW w:w="1636" w:type="dxa"/>
            <w:tcBorders>
              <w:top w:val="single" w:sz="8" w:space="0" w:color="auto"/>
              <w:left w:val="nil"/>
              <w:bottom w:val="single" w:sz="8" w:space="0" w:color="auto"/>
              <w:right w:val="single" w:sz="8" w:space="0" w:color="auto"/>
            </w:tcBorders>
            <w:shd w:val="clear" w:color="000000" w:fill="003876"/>
            <w:noWrap/>
            <w:vAlign w:val="center"/>
            <w:hideMark/>
          </w:tcPr>
          <w:p w14:paraId="20031C9D" w14:textId="77777777" w:rsidR="008670C1" w:rsidRPr="005F7534" w:rsidRDefault="008670C1" w:rsidP="006B204A">
            <w:pPr>
              <w:spacing w:after="0" w:line="360" w:lineRule="auto"/>
              <w:jc w:val="center"/>
              <w:rPr>
                <w:rFonts w:eastAsia="Times New Roman"/>
                <w:b/>
                <w:bCs/>
                <w:color w:val="FFFFFF"/>
                <w:lang w:val="es-DO"/>
              </w:rPr>
            </w:pPr>
            <w:r w:rsidRPr="005F7534">
              <w:rPr>
                <w:rFonts w:eastAsia="Times New Roman"/>
                <w:b/>
                <w:bCs/>
                <w:color w:val="FFFFFF"/>
                <w:lang w:val="es-DO"/>
              </w:rPr>
              <w:t>Balance</w:t>
            </w:r>
          </w:p>
        </w:tc>
      </w:tr>
      <w:tr w:rsidR="008670C1" w:rsidRPr="00A40ED9" w14:paraId="617A4FDF"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2BBD2D59" w14:textId="77777777" w:rsidR="008670C1" w:rsidRPr="005F7534" w:rsidRDefault="008670C1" w:rsidP="006B204A">
            <w:pPr>
              <w:spacing w:after="0" w:line="360" w:lineRule="auto"/>
              <w:rPr>
                <w:rFonts w:eastAsia="Times New Roman"/>
                <w:b/>
                <w:bCs/>
                <w:lang w:val="es-DO"/>
              </w:rPr>
            </w:pPr>
            <w:r w:rsidRPr="005F7534">
              <w:rPr>
                <w:rFonts w:eastAsia="Times New Roman"/>
                <w:b/>
                <w:bCs/>
                <w:lang w:val="es-DO"/>
              </w:rPr>
              <w:t>Remuneraciones</w:t>
            </w:r>
          </w:p>
        </w:tc>
        <w:tc>
          <w:tcPr>
            <w:tcW w:w="2038" w:type="dxa"/>
            <w:gridSpan w:val="2"/>
            <w:tcBorders>
              <w:top w:val="nil"/>
              <w:left w:val="nil"/>
              <w:bottom w:val="single" w:sz="8" w:space="0" w:color="auto"/>
              <w:right w:val="single" w:sz="8" w:space="0" w:color="auto"/>
            </w:tcBorders>
            <w:noWrap/>
            <w:vAlign w:val="center"/>
            <w:hideMark/>
          </w:tcPr>
          <w:p w14:paraId="138173E5" w14:textId="77777777" w:rsidR="008670C1" w:rsidRPr="005F7534" w:rsidRDefault="008670C1" w:rsidP="006B204A">
            <w:pPr>
              <w:spacing w:after="0" w:line="360" w:lineRule="auto"/>
              <w:jc w:val="center"/>
              <w:rPr>
                <w:rFonts w:eastAsia="Times New Roman"/>
                <w:lang w:val="es-DO"/>
              </w:rPr>
            </w:pPr>
            <w:r w:rsidRPr="005F7534">
              <w:rPr>
                <w:lang w:val="es-DO"/>
              </w:rPr>
              <w:t xml:space="preserve"> 1,555,754,120 </w:t>
            </w:r>
          </w:p>
        </w:tc>
        <w:tc>
          <w:tcPr>
            <w:tcW w:w="1856" w:type="dxa"/>
            <w:gridSpan w:val="3"/>
            <w:tcBorders>
              <w:top w:val="nil"/>
              <w:left w:val="nil"/>
              <w:bottom w:val="single" w:sz="8" w:space="0" w:color="auto"/>
              <w:right w:val="single" w:sz="8" w:space="0" w:color="auto"/>
            </w:tcBorders>
            <w:noWrap/>
            <w:vAlign w:val="center"/>
            <w:hideMark/>
          </w:tcPr>
          <w:p w14:paraId="6847D362" w14:textId="611C8C7A" w:rsidR="008670C1" w:rsidRPr="005F7534" w:rsidRDefault="00CB7390" w:rsidP="006B204A">
            <w:pPr>
              <w:spacing w:after="0" w:line="360" w:lineRule="auto"/>
              <w:jc w:val="center"/>
              <w:rPr>
                <w:rFonts w:eastAsia="Times New Roman"/>
                <w:lang w:val="es-DO"/>
              </w:rPr>
            </w:pPr>
            <w:r w:rsidRPr="00CB7390">
              <w:rPr>
                <w:lang w:val="es-DO"/>
              </w:rPr>
              <w:t>1,288,849,294</w:t>
            </w:r>
          </w:p>
        </w:tc>
        <w:tc>
          <w:tcPr>
            <w:tcW w:w="1636" w:type="dxa"/>
            <w:tcBorders>
              <w:top w:val="nil"/>
              <w:left w:val="nil"/>
              <w:bottom w:val="single" w:sz="8" w:space="0" w:color="auto"/>
              <w:right w:val="single" w:sz="8" w:space="0" w:color="auto"/>
            </w:tcBorders>
            <w:noWrap/>
            <w:vAlign w:val="center"/>
            <w:hideMark/>
          </w:tcPr>
          <w:p w14:paraId="26854379" w14:textId="41805E35" w:rsidR="008670C1" w:rsidRPr="005F7534" w:rsidRDefault="00CB7390" w:rsidP="006B204A">
            <w:pPr>
              <w:spacing w:after="0" w:line="360" w:lineRule="auto"/>
              <w:jc w:val="center"/>
              <w:rPr>
                <w:rFonts w:eastAsia="Times New Roman"/>
                <w:lang w:val="es-DO"/>
              </w:rPr>
            </w:pPr>
            <w:r w:rsidRPr="00CB7390">
              <w:rPr>
                <w:lang w:val="es-DO"/>
              </w:rPr>
              <w:t>266,904,826</w:t>
            </w:r>
          </w:p>
        </w:tc>
      </w:tr>
      <w:tr w:rsidR="008670C1" w:rsidRPr="00A40ED9" w14:paraId="7B7C3A82"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2C5712D4" w14:textId="77777777" w:rsidR="008670C1" w:rsidRPr="005F7534" w:rsidRDefault="008670C1" w:rsidP="006B204A">
            <w:pPr>
              <w:spacing w:after="0" w:line="360" w:lineRule="auto"/>
              <w:rPr>
                <w:rFonts w:eastAsia="Times New Roman"/>
                <w:b/>
                <w:bCs/>
                <w:lang w:val="es-DO"/>
              </w:rPr>
            </w:pPr>
            <w:r w:rsidRPr="005F7534">
              <w:rPr>
                <w:rFonts w:eastAsia="Times New Roman"/>
                <w:b/>
                <w:bCs/>
                <w:lang w:val="es-DO"/>
              </w:rPr>
              <w:t>Sobresueldos</w:t>
            </w:r>
          </w:p>
        </w:tc>
        <w:tc>
          <w:tcPr>
            <w:tcW w:w="2038" w:type="dxa"/>
            <w:gridSpan w:val="2"/>
            <w:tcBorders>
              <w:top w:val="nil"/>
              <w:left w:val="nil"/>
              <w:bottom w:val="single" w:sz="8" w:space="0" w:color="auto"/>
              <w:right w:val="single" w:sz="8" w:space="0" w:color="auto"/>
            </w:tcBorders>
            <w:noWrap/>
            <w:vAlign w:val="center"/>
            <w:hideMark/>
          </w:tcPr>
          <w:p w14:paraId="237A0950" w14:textId="77777777" w:rsidR="008670C1" w:rsidRPr="005F7534" w:rsidRDefault="008670C1" w:rsidP="006B204A">
            <w:pPr>
              <w:spacing w:after="0" w:line="360" w:lineRule="auto"/>
              <w:jc w:val="center"/>
              <w:rPr>
                <w:rFonts w:eastAsia="Times New Roman"/>
                <w:lang w:val="es-DO"/>
              </w:rPr>
            </w:pPr>
            <w:r w:rsidRPr="005F7534">
              <w:rPr>
                <w:lang w:val="es-DO"/>
              </w:rPr>
              <w:t xml:space="preserve"> 192,890,298 </w:t>
            </w:r>
          </w:p>
        </w:tc>
        <w:tc>
          <w:tcPr>
            <w:tcW w:w="1856" w:type="dxa"/>
            <w:gridSpan w:val="3"/>
            <w:tcBorders>
              <w:top w:val="nil"/>
              <w:left w:val="nil"/>
              <w:bottom w:val="single" w:sz="8" w:space="0" w:color="auto"/>
              <w:right w:val="single" w:sz="8" w:space="0" w:color="auto"/>
            </w:tcBorders>
            <w:noWrap/>
            <w:vAlign w:val="center"/>
            <w:hideMark/>
          </w:tcPr>
          <w:p w14:paraId="1BC401AE" w14:textId="186A678F" w:rsidR="008670C1" w:rsidRPr="005F7534" w:rsidRDefault="00CB7390" w:rsidP="006B204A">
            <w:pPr>
              <w:spacing w:after="0" w:line="360" w:lineRule="auto"/>
              <w:jc w:val="center"/>
              <w:rPr>
                <w:rFonts w:eastAsia="Times New Roman"/>
                <w:lang w:val="es-DO"/>
              </w:rPr>
            </w:pPr>
            <w:r w:rsidRPr="00CB7390">
              <w:rPr>
                <w:lang w:val="es-DO"/>
              </w:rPr>
              <w:t>162,379,303</w:t>
            </w:r>
          </w:p>
        </w:tc>
        <w:tc>
          <w:tcPr>
            <w:tcW w:w="1636" w:type="dxa"/>
            <w:tcBorders>
              <w:top w:val="nil"/>
              <w:left w:val="nil"/>
              <w:bottom w:val="single" w:sz="8" w:space="0" w:color="auto"/>
              <w:right w:val="single" w:sz="8" w:space="0" w:color="auto"/>
            </w:tcBorders>
            <w:noWrap/>
            <w:vAlign w:val="center"/>
            <w:hideMark/>
          </w:tcPr>
          <w:p w14:paraId="49812BDB" w14:textId="4EFCD8A1" w:rsidR="008670C1" w:rsidRPr="005F7534" w:rsidRDefault="00CB7390" w:rsidP="006B204A">
            <w:pPr>
              <w:spacing w:after="0" w:line="360" w:lineRule="auto"/>
              <w:jc w:val="center"/>
              <w:rPr>
                <w:rFonts w:eastAsia="Times New Roman"/>
                <w:lang w:val="es-DO"/>
              </w:rPr>
            </w:pPr>
            <w:r w:rsidRPr="00CB7390">
              <w:rPr>
                <w:lang w:val="es-DO"/>
              </w:rPr>
              <w:t>30,510,995</w:t>
            </w:r>
          </w:p>
        </w:tc>
      </w:tr>
      <w:tr w:rsidR="008670C1" w:rsidRPr="00A40ED9" w14:paraId="7F4CF5AC"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67DD9824" w14:textId="77777777" w:rsidR="008670C1" w:rsidRPr="005F7534" w:rsidRDefault="008670C1" w:rsidP="006B204A">
            <w:pPr>
              <w:spacing w:after="0" w:line="360" w:lineRule="auto"/>
              <w:rPr>
                <w:rFonts w:eastAsia="Times New Roman"/>
                <w:b/>
                <w:bCs/>
                <w:lang w:val="es-DO"/>
              </w:rPr>
            </w:pPr>
            <w:r w:rsidRPr="005F7534">
              <w:rPr>
                <w:rFonts w:eastAsia="Times New Roman"/>
                <w:b/>
                <w:bCs/>
                <w:lang w:val="es-DO"/>
              </w:rPr>
              <w:t>Dietas y gastos de representación</w:t>
            </w:r>
          </w:p>
        </w:tc>
        <w:tc>
          <w:tcPr>
            <w:tcW w:w="2038" w:type="dxa"/>
            <w:gridSpan w:val="2"/>
            <w:tcBorders>
              <w:top w:val="nil"/>
              <w:left w:val="nil"/>
              <w:bottom w:val="single" w:sz="8" w:space="0" w:color="auto"/>
              <w:right w:val="single" w:sz="8" w:space="0" w:color="auto"/>
            </w:tcBorders>
            <w:noWrap/>
            <w:vAlign w:val="center"/>
            <w:hideMark/>
          </w:tcPr>
          <w:p w14:paraId="3B22944A" w14:textId="77777777" w:rsidR="008670C1" w:rsidRPr="005F7534" w:rsidRDefault="008670C1" w:rsidP="006B204A">
            <w:pPr>
              <w:spacing w:after="0" w:line="360" w:lineRule="auto"/>
              <w:jc w:val="center"/>
              <w:rPr>
                <w:rFonts w:eastAsia="Times New Roman"/>
                <w:lang w:val="es-DO"/>
              </w:rPr>
            </w:pPr>
            <w:r w:rsidRPr="005F7534">
              <w:rPr>
                <w:lang w:val="es-DO"/>
              </w:rPr>
              <w:t xml:space="preserve"> 20,417,047 </w:t>
            </w:r>
          </w:p>
        </w:tc>
        <w:tc>
          <w:tcPr>
            <w:tcW w:w="1856" w:type="dxa"/>
            <w:gridSpan w:val="3"/>
            <w:tcBorders>
              <w:top w:val="nil"/>
              <w:left w:val="nil"/>
              <w:bottom w:val="single" w:sz="8" w:space="0" w:color="auto"/>
              <w:right w:val="single" w:sz="8" w:space="0" w:color="auto"/>
            </w:tcBorders>
            <w:noWrap/>
            <w:vAlign w:val="center"/>
            <w:hideMark/>
          </w:tcPr>
          <w:p w14:paraId="389FB459" w14:textId="561F63B2" w:rsidR="008670C1" w:rsidRPr="005F7534" w:rsidRDefault="00CB7390" w:rsidP="006B204A">
            <w:pPr>
              <w:spacing w:after="0" w:line="360" w:lineRule="auto"/>
              <w:jc w:val="center"/>
              <w:rPr>
                <w:rFonts w:eastAsia="Times New Roman"/>
                <w:lang w:val="es-DO"/>
              </w:rPr>
            </w:pPr>
            <w:r w:rsidRPr="00CB7390">
              <w:rPr>
                <w:lang w:val="es-DO"/>
              </w:rPr>
              <w:t>18,213,357</w:t>
            </w:r>
          </w:p>
        </w:tc>
        <w:tc>
          <w:tcPr>
            <w:tcW w:w="1636" w:type="dxa"/>
            <w:tcBorders>
              <w:top w:val="nil"/>
              <w:left w:val="nil"/>
              <w:bottom w:val="single" w:sz="8" w:space="0" w:color="auto"/>
              <w:right w:val="single" w:sz="8" w:space="0" w:color="auto"/>
            </w:tcBorders>
            <w:noWrap/>
            <w:vAlign w:val="center"/>
            <w:hideMark/>
          </w:tcPr>
          <w:p w14:paraId="61D68F86" w14:textId="2E38587D" w:rsidR="008670C1" w:rsidRPr="005F7534" w:rsidRDefault="00CB7390" w:rsidP="006B204A">
            <w:pPr>
              <w:spacing w:after="0" w:line="360" w:lineRule="auto"/>
              <w:jc w:val="center"/>
              <w:rPr>
                <w:rFonts w:eastAsia="Times New Roman"/>
                <w:lang w:val="es-DO"/>
              </w:rPr>
            </w:pPr>
            <w:r w:rsidRPr="00CB7390">
              <w:rPr>
                <w:lang w:val="es-DO"/>
              </w:rPr>
              <w:t>2,203,691</w:t>
            </w:r>
          </w:p>
        </w:tc>
      </w:tr>
      <w:tr w:rsidR="008670C1" w:rsidRPr="00A40ED9" w14:paraId="514D073E"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4679BA33" w14:textId="77777777" w:rsidR="008670C1" w:rsidRPr="005F7534" w:rsidRDefault="008670C1" w:rsidP="006B204A">
            <w:pPr>
              <w:spacing w:after="0" w:line="360" w:lineRule="auto"/>
              <w:rPr>
                <w:rFonts w:eastAsia="Times New Roman"/>
                <w:b/>
                <w:bCs/>
                <w:lang w:val="es-DO"/>
              </w:rPr>
            </w:pPr>
            <w:r w:rsidRPr="005F7534">
              <w:rPr>
                <w:rFonts w:eastAsia="Times New Roman"/>
                <w:b/>
                <w:bCs/>
                <w:lang w:val="es-DO"/>
              </w:rPr>
              <w:t>Gratificaciones y bonificaciones</w:t>
            </w:r>
          </w:p>
        </w:tc>
        <w:tc>
          <w:tcPr>
            <w:tcW w:w="2038" w:type="dxa"/>
            <w:gridSpan w:val="2"/>
            <w:tcBorders>
              <w:top w:val="nil"/>
              <w:left w:val="nil"/>
              <w:bottom w:val="single" w:sz="8" w:space="0" w:color="auto"/>
              <w:right w:val="single" w:sz="8" w:space="0" w:color="auto"/>
            </w:tcBorders>
            <w:noWrap/>
            <w:vAlign w:val="center"/>
            <w:hideMark/>
          </w:tcPr>
          <w:p w14:paraId="46E913F6" w14:textId="77777777" w:rsidR="008670C1" w:rsidRPr="005F7534" w:rsidRDefault="008670C1" w:rsidP="006B204A">
            <w:pPr>
              <w:spacing w:after="0" w:line="360" w:lineRule="auto"/>
              <w:jc w:val="center"/>
              <w:rPr>
                <w:rFonts w:eastAsia="Times New Roman"/>
                <w:lang w:val="es-DO"/>
              </w:rPr>
            </w:pPr>
            <w:r w:rsidRPr="005F7534">
              <w:rPr>
                <w:lang w:val="es-DO"/>
              </w:rPr>
              <w:t xml:space="preserve"> 324,641,038 </w:t>
            </w:r>
          </w:p>
        </w:tc>
        <w:tc>
          <w:tcPr>
            <w:tcW w:w="1856" w:type="dxa"/>
            <w:gridSpan w:val="3"/>
            <w:tcBorders>
              <w:top w:val="nil"/>
              <w:left w:val="nil"/>
              <w:bottom w:val="single" w:sz="8" w:space="0" w:color="auto"/>
              <w:right w:val="single" w:sz="8" w:space="0" w:color="auto"/>
            </w:tcBorders>
            <w:noWrap/>
            <w:vAlign w:val="center"/>
            <w:hideMark/>
          </w:tcPr>
          <w:p w14:paraId="76AFB19C" w14:textId="2E9C56AD" w:rsidR="008670C1" w:rsidRPr="005F7534" w:rsidRDefault="00CB7390" w:rsidP="006B204A">
            <w:pPr>
              <w:spacing w:after="0" w:line="360" w:lineRule="auto"/>
              <w:jc w:val="center"/>
              <w:rPr>
                <w:rFonts w:eastAsia="Times New Roman"/>
                <w:lang w:val="es-DO"/>
              </w:rPr>
            </w:pPr>
            <w:r w:rsidRPr="00CB7390">
              <w:rPr>
                <w:lang w:val="es-DO"/>
              </w:rPr>
              <w:t>121,147,069</w:t>
            </w:r>
          </w:p>
        </w:tc>
        <w:tc>
          <w:tcPr>
            <w:tcW w:w="1636" w:type="dxa"/>
            <w:tcBorders>
              <w:top w:val="nil"/>
              <w:left w:val="nil"/>
              <w:bottom w:val="single" w:sz="8" w:space="0" w:color="auto"/>
              <w:right w:val="single" w:sz="8" w:space="0" w:color="auto"/>
            </w:tcBorders>
            <w:noWrap/>
            <w:vAlign w:val="center"/>
            <w:hideMark/>
          </w:tcPr>
          <w:p w14:paraId="4D3DA76E" w14:textId="6F9F0792" w:rsidR="008670C1" w:rsidRPr="005F7534" w:rsidRDefault="00CB7390" w:rsidP="006B204A">
            <w:pPr>
              <w:spacing w:after="0" w:line="360" w:lineRule="auto"/>
              <w:jc w:val="center"/>
              <w:rPr>
                <w:rFonts w:eastAsia="Times New Roman"/>
                <w:lang w:val="es-DO"/>
              </w:rPr>
            </w:pPr>
            <w:r w:rsidRPr="00CB7390">
              <w:rPr>
                <w:lang w:val="es-DO"/>
              </w:rPr>
              <w:t>203,493,968</w:t>
            </w:r>
          </w:p>
        </w:tc>
      </w:tr>
      <w:tr w:rsidR="008670C1" w:rsidRPr="00A40ED9" w14:paraId="18ECB8D2"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131BBF07" w14:textId="77777777" w:rsidR="008670C1" w:rsidRPr="005F7534" w:rsidRDefault="008670C1" w:rsidP="006B204A">
            <w:pPr>
              <w:spacing w:after="0" w:line="360" w:lineRule="auto"/>
              <w:rPr>
                <w:rFonts w:eastAsia="Times New Roman"/>
                <w:b/>
                <w:bCs/>
                <w:lang w:val="es-DO"/>
              </w:rPr>
            </w:pPr>
            <w:r w:rsidRPr="005F7534">
              <w:rPr>
                <w:rFonts w:eastAsia="Times New Roman"/>
                <w:b/>
                <w:bCs/>
                <w:lang w:val="es-DO"/>
              </w:rPr>
              <w:t>Contribuciones a la seguridad social</w:t>
            </w:r>
          </w:p>
        </w:tc>
        <w:tc>
          <w:tcPr>
            <w:tcW w:w="2038" w:type="dxa"/>
            <w:gridSpan w:val="2"/>
            <w:tcBorders>
              <w:top w:val="nil"/>
              <w:left w:val="nil"/>
              <w:bottom w:val="single" w:sz="8" w:space="0" w:color="auto"/>
              <w:right w:val="single" w:sz="8" w:space="0" w:color="auto"/>
            </w:tcBorders>
            <w:noWrap/>
            <w:vAlign w:val="center"/>
            <w:hideMark/>
          </w:tcPr>
          <w:p w14:paraId="2A7C196E" w14:textId="77777777" w:rsidR="008670C1" w:rsidRPr="005F7534" w:rsidRDefault="008670C1" w:rsidP="006B204A">
            <w:pPr>
              <w:spacing w:after="0" w:line="360" w:lineRule="auto"/>
              <w:jc w:val="center"/>
              <w:rPr>
                <w:rFonts w:eastAsia="Times New Roman"/>
                <w:lang w:val="es-DO"/>
              </w:rPr>
            </w:pPr>
            <w:r w:rsidRPr="005F7534">
              <w:rPr>
                <w:lang w:val="es-DO"/>
              </w:rPr>
              <w:t xml:space="preserve"> 150,854,849 </w:t>
            </w:r>
          </w:p>
        </w:tc>
        <w:tc>
          <w:tcPr>
            <w:tcW w:w="1856" w:type="dxa"/>
            <w:gridSpan w:val="3"/>
            <w:tcBorders>
              <w:top w:val="nil"/>
              <w:left w:val="nil"/>
              <w:bottom w:val="single" w:sz="8" w:space="0" w:color="auto"/>
              <w:right w:val="single" w:sz="8" w:space="0" w:color="auto"/>
            </w:tcBorders>
            <w:noWrap/>
            <w:vAlign w:val="center"/>
            <w:hideMark/>
          </w:tcPr>
          <w:p w14:paraId="75E8590A" w14:textId="15A5F866" w:rsidR="008670C1" w:rsidRPr="005F7534" w:rsidRDefault="00CB7390" w:rsidP="006B204A">
            <w:pPr>
              <w:spacing w:after="0" w:line="360" w:lineRule="auto"/>
              <w:jc w:val="center"/>
              <w:rPr>
                <w:rFonts w:eastAsia="Times New Roman"/>
                <w:lang w:val="es-DO"/>
              </w:rPr>
            </w:pPr>
            <w:r w:rsidRPr="00CB7390">
              <w:rPr>
                <w:lang w:val="es-DO"/>
              </w:rPr>
              <w:t>139,517,072</w:t>
            </w:r>
          </w:p>
        </w:tc>
        <w:tc>
          <w:tcPr>
            <w:tcW w:w="1636" w:type="dxa"/>
            <w:tcBorders>
              <w:top w:val="nil"/>
              <w:left w:val="nil"/>
              <w:bottom w:val="single" w:sz="8" w:space="0" w:color="auto"/>
              <w:right w:val="single" w:sz="8" w:space="0" w:color="auto"/>
            </w:tcBorders>
            <w:noWrap/>
            <w:vAlign w:val="center"/>
            <w:hideMark/>
          </w:tcPr>
          <w:p w14:paraId="6DACCACB" w14:textId="6DDCF264" w:rsidR="008670C1" w:rsidRPr="005F7534" w:rsidRDefault="00CB7390" w:rsidP="006B204A">
            <w:pPr>
              <w:spacing w:after="0" w:line="360" w:lineRule="auto"/>
              <w:jc w:val="center"/>
              <w:rPr>
                <w:rFonts w:eastAsia="Times New Roman"/>
                <w:lang w:val="es-DO"/>
              </w:rPr>
            </w:pPr>
            <w:r w:rsidRPr="00CB7390">
              <w:rPr>
                <w:lang w:val="es-DO"/>
              </w:rPr>
              <w:t>11,337,778</w:t>
            </w:r>
          </w:p>
        </w:tc>
      </w:tr>
      <w:tr w:rsidR="00452802" w:rsidRPr="00A40ED9" w14:paraId="4BFA36B9" w14:textId="77777777" w:rsidTr="00BE0AFF">
        <w:trPr>
          <w:trHeight w:val="129"/>
          <w:jc w:val="center"/>
        </w:trPr>
        <w:tc>
          <w:tcPr>
            <w:tcW w:w="3022" w:type="dxa"/>
            <w:tcBorders>
              <w:top w:val="nil"/>
              <w:left w:val="single" w:sz="8" w:space="0" w:color="auto"/>
              <w:bottom w:val="single" w:sz="8" w:space="0" w:color="auto"/>
              <w:right w:val="single" w:sz="8" w:space="0" w:color="auto"/>
            </w:tcBorders>
            <w:shd w:val="clear" w:color="000000" w:fill="003876"/>
            <w:noWrap/>
            <w:vAlign w:val="center"/>
            <w:hideMark/>
          </w:tcPr>
          <w:p w14:paraId="4C7B197E" w14:textId="77777777" w:rsidR="008670C1" w:rsidRPr="005F7534" w:rsidRDefault="008670C1" w:rsidP="006B204A">
            <w:pPr>
              <w:spacing w:after="0" w:line="360" w:lineRule="auto"/>
              <w:rPr>
                <w:rFonts w:eastAsia="Times New Roman"/>
                <w:b/>
                <w:bCs/>
                <w:color w:val="FFFFFF"/>
                <w:lang w:val="es-DO"/>
              </w:rPr>
            </w:pPr>
            <w:proofErr w:type="gramStart"/>
            <w:r w:rsidRPr="005F7534">
              <w:rPr>
                <w:rFonts w:eastAsia="Times New Roman"/>
                <w:b/>
                <w:bCs/>
                <w:color w:val="FFFFFF"/>
                <w:lang w:val="es-DO"/>
              </w:rPr>
              <w:t>Total</w:t>
            </w:r>
            <w:proofErr w:type="gramEnd"/>
            <w:r w:rsidRPr="005F7534">
              <w:rPr>
                <w:rFonts w:eastAsia="Times New Roman"/>
                <w:b/>
                <w:bCs/>
                <w:color w:val="FFFFFF"/>
                <w:lang w:val="es-DO"/>
              </w:rPr>
              <w:t xml:space="preserve"> remuneraciones y contribuciones</w:t>
            </w:r>
          </w:p>
        </w:tc>
        <w:tc>
          <w:tcPr>
            <w:tcW w:w="2038" w:type="dxa"/>
            <w:gridSpan w:val="2"/>
            <w:tcBorders>
              <w:top w:val="nil"/>
              <w:left w:val="nil"/>
              <w:bottom w:val="single" w:sz="8" w:space="0" w:color="auto"/>
              <w:right w:val="single" w:sz="8" w:space="0" w:color="auto"/>
            </w:tcBorders>
            <w:shd w:val="clear" w:color="000000" w:fill="003876"/>
            <w:vAlign w:val="center"/>
            <w:hideMark/>
          </w:tcPr>
          <w:p w14:paraId="298DE25F" w14:textId="77777777" w:rsidR="008670C1" w:rsidRPr="005F7534" w:rsidRDefault="008670C1" w:rsidP="006B204A">
            <w:pPr>
              <w:spacing w:after="0" w:line="360" w:lineRule="auto"/>
              <w:jc w:val="center"/>
              <w:rPr>
                <w:rFonts w:eastAsia="Times New Roman"/>
                <w:b/>
                <w:bCs/>
                <w:color w:val="FFFFFF"/>
                <w:lang w:val="es-DO"/>
              </w:rPr>
            </w:pPr>
            <w:r w:rsidRPr="005F7534">
              <w:rPr>
                <w:rFonts w:eastAsia="Times New Roman"/>
                <w:b/>
                <w:bCs/>
                <w:color w:val="FFFFFF"/>
                <w:lang w:val="es-DO"/>
              </w:rPr>
              <w:t>2,244,557,352</w:t>
            </w:r>
          </w:p>
        </w:tc>
        <w:tc>
          <w:tcPr>
            <w:tcW w:w="1856" w:type="dxa"/>
            <w:gridSpan w:val="3"/>
            <w:tcBorders>
              <w:top w:val="nil"/>
              <w:left w:val="nil"/>
              <w:bottom w:val="single" w:sz="8" w:space="0" w:color="auto"/>
              <w:right w:val="single" w:sz="8" w:space="0" w:color="auto"/>
            </w:tcBorders>
            <w:shd w:val="clear" w:color="000000" w:fill="003876"/>
            <w:vAlign w:val="center"/>
            <w:hideMark/>
          </w:tcPr>
          <w:p w14:paraId="43322A0F" w14:textId="1DAA0D4C" w:rsidR="008670C1" w:rsidRPr="005F7534" w:rsidRDefault="00CB7390" w:rsidP="006B204A">
            <w:pPr>
              <w:spacing w:after="0" w:line="360" w:lineRule="auto"/>
              <w:jc w:val="center"/>
              <w:rPr>
                <w:rFonts w:eastAsia="Times New Roman"/>
                <w:b/>
                <w:bCs/>
                <w:color w:val="FFFFFF"/>
                <w:lang w:val="es-DO"/>
              </w:rPr>
            </w:pPr>
            <w:r w:rsidRPr="00CB7390">
              <w:rPr>
                <w:rFonts w:eastAsia="Times New Roman"/>
                <w:b/>
                <w:bCs/>
                <w:color w:val="FFFFFF"/>
                <w:lang w:val="es-DO"/>
              </w:rPr>
              <w:t>1,730,106,095</w:t>
            </w:r>
          </w:p>
        </w:tc>
        <w:tc>
          <w:tcPr>
            <w:tcW w:w="1636" w:type="dxa"/>
            <w:tcBorders>
              <w:top w:val="nil"/>
              <w:left w:val="nil"/>
              <w:bottom w:val="single" w:sz="8" w:space="0" w:color="auto"/>
              <w:right w:val="single" w:sz="8" w:space="0" w:color="auto"/>
            </w:tcBorders>
            <w:shd w:val="clear" w:color="000000" w:fill="003876"/>
            <w:noWrap/>
            <w:vAlign w:val="center"/>
            <w:hideMark/>
          </w:tcPr>
          <w:p w14:paraId="7684493A" w14:textId="7B9962BD" w:rsidR="008670C1" w:rsidRPr="005F7534" w:rsidRDefault="00CB7390" w:rsidP="006B204A">
            <w:pPr>
              <w:spacing w:after="0" w:line="360" w:lineRule="auto"/>
              <w:jc w:val="center"/>
              <w:rPr>
                <w:rFonts w:eastAsia="Times New Roman"/>
                <w:b/>
                <w:bCs/>
                <w:color w:val="FFFFFF"/>
                <w:lang w:val="es-DO"/>
              </w:rPr>
            </w:pPr>
            <w:r w:rsidRPr="00CB7390">
              <w:rPr>
                <w:rFonts w:eastAsia="Times New Roman"/>
                <w:b/>
                <w:bCs/>
                <w:color w:val="FFFFFF"/>
                <w:lang w:val="es-DO"/>
              </w:rPr>
              <w:t>514,451,258</w:t>
            </w:r>
          </w:p>
        </w:tc>
      </w:tr>
      <w:tr w:rsidR="008670C1" w:rsidRPr="00A40ED9" w14:paraId="5676049E" w14:textId="77777777" w:rsidTr="00BE0AFF">
        <w:trPr>
          <w:trHeight w:val="129"/>
          <w:jc w:val="center"/>
        </w:trPr>
        <w:tc>
          <w:tcPr>
            <w:tcW w:w="3022" w:type="dxa"/>
            <w:tcBorders>
              <w:top w:val="nil"/>
              <w:left w:val="nil"/>
              <w:bottom w:val="nil"/>
              <w:right w:val="nil"/>
            </w:tcBorders>
            <w:noWrap/>
            <w:vAlign w:val="bottom"/>
            <w:hideMark/>
          </w:tcPr>
          <w:p w14:paraId="59122C66" w14:textId="77777777" w:rsidR="008670C1" w:rsidRPr="00A40ED9" w:rsidRDefault="008670C1" w:rsidP="006B204A">
            <w:pPr>
              <w:spacing w:after="0" w:line="240" w:lineRule="auto"/>
              <w:jc w:val="center"/>
              <w:rPr>
                <w:rFonts w:eastAsia="Times New Roman"/>
                <w:b/>
                <w:bCs/>
                <w:color w:val="FFFFFF"/>
                <w:lang w:val="es-DO"/>
              </w:rPr>
            </w:pPr>
          </w:p>
        </w:tc>
        <w:tc>
          <w:tcPr>
            <w:tcW w:w="2038" w:type="dxa"/>
            <w:gridSpan w:val="2"/>
            <w:tcBorders>
              <w:top w:val="nil"/>
              <w:left w:val="nil"/>
              <w:bottom w:val="nil"/>
              <w:right w:val="nil"/>
            </w:tcBorders>
            <w:noWrap/>
            <w:vAlign w:val="bottom"/>
            <w:hideMark/>
          </w:tcPr>
          <w:p w14:paraId="293E330D" w14:textId="77777777" w:rsidR="008670C1" w:rsidRPr="00A40ED9" w:rsidRDefault="008670C1" w:rsidP="006B204A">
            <w:pPr>
              <w:spacing w:after="0" w:line="240" w:lineRule="auto"/>
              <w:rPr>
                <w:rFonts w:eastAsia="Times New Roman"/>
                <w:lang w:val="es-DO"/>
              </w:rPr>
            </w:pPr>
          </w:p>
        </w:tc>
        <w:tc>
          <w:tcPr>
            <w:tcW w:w="1856" w:type="dxa"/>
            <w:gridSpan w:val="3"/>
            <w:tcBorders>
              <w:top w:val="nil"/>
              <w:left w:val="nil"/>
              <w:bottom w:val="nil"/>
              <w:right w:val="nil"/>
            </w:tcBorders>
            <w:noWrap/>
            <w:vAlign w:val="bottom"/>
            <w:hideMark/>
          </w:tcPr>
          <w:p w14:paraId="52394613" w14:textId="77777777" w:rsidR="008670C1" w:rsidRPr="00A40ED9" w:rsidRDefault="008670C1" w:rsidP="006B204A">
            <w:pPr>
              <w:spacing w:after="0" w:line="240" w:lineRule="auto"/>
              <w:rPr>
                <w:rFonts w:eastAsia="Times New Roman"/>
                <w:lang w:val="es-DO"/>
              </w:rPr>
            </w:pPr>
          </w:p>
        </w:tc>
        <w:tc>
          <w:tcPr>
            <w:tcW w:w="1636" w:type="dxa"/>
            <w:tcBorders>
              <w:top w:val="nil"/>
              <w:left w:val="nil"/>
              <w:bottom w:val="nil"/>
              <w:right w:val="nil"/>
            </w:tcBorders>
            <w:noWrap/>
            <w:vAlign w:val="bottom"/>
            <w:hideMark/>
          </w:tcPr>
          <w:p w14:paraId="401C3F32" w14:textId="77777777" w:rsidR="008670C1" w:rsidRDefault="008670C1" w:rsidP="006B204A">
            <w:pPr>
              <w:spacing w:after="0" w:line="240" w:lineRule="auto"/>
              <w:rPr>
                <w:rFonts w:eastAsia="Times New Roman"/>
                <w:lang w:val="es-DO"/>
              </w:rPr>
            </w:pPr>
          </w:p>
          <w:p w14:paraId="7A422442" w14:textId="77777777" w:rsidR="00BE0AFF" w:rsidRPr="00A40ED9" w:rsidRDefault="00BE0AFF" w:rsidP="006B204A">
            <w:pPr>
              <w:spacing w:after="0" w:line="240" w:lineRule="auto"/>
              <w:rPr>
                <w:rFonts w:eastAsia="Times New Roman"/>
                <w:lang w:val="es-DO"/>
              </w:rPr>
            </w:pPr>
          </w:p>
        </w:tc>
      </w:tr>
      <w:tr w:rsidR="00452802" w:rsidRPr="00A40ED9" w14:paraId="6108B994" w14:textId="77777777" w:rsidTr="00BE0AFF">
        <w:trPr>
          <w:trHeight w:val="129"/>
          <w:jc w:val="center"/>
        </w:trPr>
        <w:tc>
          <w:tcPr>
            <w:tcW w:w="3022" w:type="dxa"/>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089BF8FE" w14:textId="77777777" w:rsidR="008670C1" w:rsidRPr="00A40ED9" w:rsidRDefault="008670C1" w:rsidP="006B204A">
            <w:pPr>
              <w:spacing w:after="0" w:line="360" w:lineRule="auto"/>
              <w:rPr>
                <w:rFonts w:eastAsia="Times New Roman"/>
                <w:b/>
                <w:bCs/>
                <w:color w:val="FFFFFF"/>
                <w:lang w:val="es-DO"/>
              </w:rPr>
            </w:pPr>
            <w:r w:rsidRPr="00A40ED9">
              <w:rPr>
                <w:rFonts w:eastAsia="Times New Roman"/>
                <w:b/>
                <w:bCs/>
                <w:color w:val="FFFFFF"/>
                <w:lang w:val="es-DO"/>
              </w:rPr>
              <w:t>Contratación de servicios</w:t>
            </w:r>
          </w:p>
        </w:tc>
        <w:tc>
          <w:tcPr>
            <w:tcW w:w="2038" w:type="dxa"/>
            <w:gridSpan w:val="2"/>
            <w:tcBorders>
              <w:top w:val="single" w:sz="8" w:space="0" w:color="auto"/>
              <w:left w:val="nil"/>
              <w:bottom w:val="single" w:sz="8" w:space="0" w:color="auto"/>
              <w:right w:val="single" w:sz="8" w:space="0" w:color="auto"/>
            </w:tcBorders>
            <w:shd w:val="clear" w:color="000000" w:fill="003876"/>
            <w:noWrap/>
            <w:vAlign w:val="center"/>
            <w:hideMark/>
          </w:tcPr>
          <w:p w14:paraId="62ABE8B6"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Presupuesto</w:t>
            </w:r>
          </w:p>
        </w:tc>
        <w:tc>
          <w:tcPr>
            <w:tcW w:w="1856" w:type="dxa"/>
            <w:gridSpan w:val="3"/>
            <w:tcBorders>
              <w:top w:val="single" w:sz="8" w:space="0" w:color="auto"/>
              <w:left w:val="nil"/>
              <w:bottom w:val="single" w:sz="8" w:space="0" w:color="auto"/>
              <w:right w:val="single" w:sz="8" w:space="0" w:color="auto"/>
            </w:tcBorders>
            <w:shd w:val="clear" w:color="000000" w:fill="003876"/>
            <w:noWrap/>
            <w:vAlign w:val="center"/>
            <w:hideMark/>
          </w:tcPr>
          <w:p w14:paraId="780B700C"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Ejecutado</w:t>
            </w:r>
          </w:p>
        </w:tc>
        <w:tc>
          <w:tcPr>
            <w:tcW w:w="1636" w:type="dxa"/>
            <w:tcBorders>
              <w:top w:val="single" w:sz="8" w:space="0" w:color="auto"/>
              <w:left w:val="nil"/>
              <w:bottom w:val="single" w:sz="8" w:space="0" w:color="auto"/>
              <w:right w:val="single" w:sz="8" w:space="0" w:color="auto"/>
            </w:tcBorders>
            <w:shd w:val="clear" w:color="000000" w:fill="003876"/>
            <w:noWrap/>
            <w:vAlign w:val="center"/>
            <w:hideMark/>
          </w:tcPr>
          <w:p w14:paraId="69D665B5"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Balance</w:t>
            </w:r>
          </w:p>
        </w:tc>
      </w:tr>
      <w:tr w:rsidR="008670C1" w:rsidRPr="00A40ED9" w14:paraId="2ADDC903"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26C44107"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Servicios básicos</w:t>
            </w:r>
          </w:p>
        </w:tc>
        <w:tc>
          <w:tcPr>
            <w:tcW w:w="2038" w:type="dxa"/>
            <w:gridSpan w:val="2"/>
            <w:tcBorders>
              <w:top w:val="nil"/>
              <w:left w:val="nil"/>
              <w:bottom w:val="single" w:sz="8" w:space="0" w:color="auto"/>
              <w:right w:val="single" w:sz="8" w:space="0" w:color="auto"/>
            </w:tcBorders>
            <w:noWrap/>
            <w:vAlign w:val="center"/>
            <w:hideMark/>
          </w:tcPr>
          <w:p w14:paraId="51FF7059" w14:textId="77777777" w:rsidR="008670C1" w:rsidRPr="00A40ED9" w:rsidRDefault="008670C1" w:rsidP="006B204A">
            <w:pPr>
              <w:spacing w:after="0" w:line="360" w:lineRule="auto"/>
              <w:jc w:val="center"/>
              <w:rPr>
                <w:rFonts w:eastAsia="Times New Roman"/>
                <w:lang w:val="es-DO"/>
              </w:rPr>
            </w:pPr>
            <w:r w:rsidRPr="00A40ED9">
              <w:rPr>
                <w:lang w:val="es-DO"/>
              </w:rPr>
              <w:t xml:space="preserve"> 46,454,904 </w:t>
            </w:r>
          </w:p>
        </w:tc>
        <w:tc>
          <w:tcPr>
            <w:tcW w:w="1856" w:type="dxa"/>
            <w:gridSpan w:val="3"/>
            <w:tcBorders>
              <w:top w:val="nil"/>
              <w:left w:val="nil"/>
              <w:bottom w:val="single" w:sz="8" w:space="0" w:color="auto"/>
              <w:right w:val="single" w:sz="8" w:space="0" w:color="auto"/>
            </w:tcBorders>
            <w:noWrap/>
            <w:vAlign w:val="center"/>
            <w:hideMark/>
          </w:tcPr>
          <w:p w14:paraId="4F85F91F" w14:textId="44FBF84D" w:rsidR="008670C1" w:rsidRPr="00A40ED9" w:rsidRDefault="00CB7390" w:rsidP="006B204A">
            <w:pPr>
              <w:spacing w:after="0" w:line="360" w:lineRule="auto"/>
              <w:jc w:val="center"/>
              <w:rPr>
                <w:rFonts w:eastAsia="Times New Roman"/>
                <w:lang w:val="es-DO"/>
              </w:rPr>
            </w:pPr>
            <w:r w:rsidRPr="00CB7390">
              <w:rPr>
                <w:lang w:val="es-DO"/>
              </w:rPr>
              <w:t>37,165,886</w:t>
            </w:r>
          </w:p>
        </w:tc>
        <w:tc>
          <w:tcPr>
            <w:tcW w:w="1636" w:type="dxa"/>
            <w:tcBorders>
              <w:top w:val="nil"/>
              <w:left w:val="nil"/>
              <w:bottom w:val="single" w:sz="8" w:space="0" w:color="auto"/>
              <w:right w:val="single" w:sz="8" w:space="0" w:color="auto"/>
            </w:tcBorders>
            <w:noWrap/>
            <w:vAlign w:val="center"/>
            <w:hideMark/>
          </w:tcPr>
          <w:p w14:paraId="61B2FE97" w14:textId="586CD01B" w:rsidR="008670C1" w:rsidRPr="00A40ED9" w:rsidRDefault="00CB7390" w:rsidP="006B204A">
            <w:pPr>
              <w:spacing w:after="0" w:line="360" w:lineRule="auto"/>
              <w:jc w:val="center"/>
              <w:rPr>
                <w:rFonts w:eastAsia="Times New Roman"/>
                <w:lang w:val="es-DO"/>
              </w:rPr>
            </w:pPr>
            <w:r w:rsidRPr="00CB7390">
              <w:rPr>
                <w:lang w:val="es-DO"/>
              </w:rPr>
              <w:t>9,289,018</w:t>
            </w:r>
          </w:p>
        </w:tc>
      </w:tr>
      <w:tr w:rsidR="008670C1" w:rsidRPr="00A40ED9" w14:paraId="757D1468"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19754FFC"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Publicidad, impresión y encuadernación</w:t>
            </w:r>
          </w:p>
        </w:tc>
        <w:tc>
          <w:tcPr>
            <w:tcW w:w="2038" w:type="dxa"/>
            <w:gridSpan w:val="2"/>
            <w:tcBorders>
              <w:top w:val="nil"/>
              <w:left w:val="nil"/>
              <w:bottom w:val="single" w:sz="8" w:space="0" w:color="auto"/>
              <w:right w:val="single" w:sz="8" w:space="0" w:color="auto"/>
            </w:tcBorders>
            <w:noWrap/>
            <w:vAlign w:val="center"/>
            <w:hideMark/>
          </w:tcPr>
          <w:p w14:paraId="448A2C7F" w14:textId="77777777" w:rsidR="008670C1" w:rsidRPr="00A40ED9" w:rsidRDefault="008670C1" w:rsidP="006B204A">
            <w:pPr>
              <w:spacing w:after="0" w:line="360" w:lineRule="auto"/>
              <w:jc w:val="center"/>
              <w:rPr>
                <w:rFonts w:eastAsia="Times New Roman"/>
                <w:lang w:val="es-DO"/>
              </w:rPr>
            </w:pPr>
            <w:r w:rsidRPr="00A40ED9">
              <w:rPr>
                <w:lang w:val="es-DO"/>
              </w:rPr>
              <w:t xml:space="preserve"> 72,766,017 </w:t>
            </w:r>
          </w:p>
        </w:tc>
        <w:tc>
          <w:tcPr>
            <w:tcW w:w="1856" w:type="dxa"/>
            <w:gridSpan w:val="3"/>
            <w:tcBorders>
              <w:top w:val="nil"/>
              <w:left w:val="nil"/>
              <w:bottom w:val="single" w:sz="8" w:space="0" w:color="auto"/>
              <w:right w:val="single" w:sz="8" w:space="0" w:color="auto"/>
            </w:tcBorders>
            <w:noWrap/>
            <w:vAlign w:val="center"/>
            <w:hideMark/>
          </w:tcPr>
          <w:p w14:paraId="03D9D596" w14:textId="34D88F8B" w:rsidR="008670C1" w:rsidRPr="00A40ED9" w:rsidRDefault="00CB7390" w:rsidP="006B204A">
            <w:pPr>
              <w:spacing w:after="0" w:line="360" w:lineRule="auto"/>
              <w:jc w:val="center"/>
              <w:rPr>
                <w:rFonts w:eastAsia="Times New Roman"/>
                <w:lang w:val="es-DO"/>
              </w:rPr>
            </w:pPr>
            <w:r w:rsidRPr="00CB7390">
              <w:rPr>
                <w:lang w:val="es-DO"/>
              </w:rPr>
              <w:t>63,284,689</w:t>
            </w:r>
          </w:p>
        </w:tc>
        <w:tc>
          <w:tcPr>
            <w:tcW w:w="1636" w:type="dxa"/>
            <w:tcBorders>
              <w:top w:val="nil"/>
              <w:left w:val="nil"/>
              <w:bottom w:val="single" w:sz="8" w:space="0" w:color="auto"/>
              <w:right w:val="single" w:sz="8" w:space="0" w:color="auto"/>
            </w:tcBorders>
            <w:noWrap/>
            <w:vAlign w:val="center"/>
            <w:hideMark/>
          </w:tcPr>
          <w:p w14:paraId="56E39FFA" w14:textId="45703CDF" w:rsidR="008670C1" w:rsidRPr="00A40ED9" w:rsidRDefault="00CB7390" w:rsidP="006B204A">
            <w:pPr>
              <w:spacing w:after="0" w:line="360" w:lineRule="auto"/>
              <w:jc w:val="center"/>
              <w:rPr>
                <w:rFonts w:eastAsia="Times New Roman"/>
                <w:lang w:val="es-DO"/>
              </w:rPr>
            </w:pPr>
            <w:r w:rsidRPr="00CB7390">
              <w:rPr>
                <w:lang w:val="es-DO"/>
              </w:rPr>
              <w:t>9,481,328</w:t>
            </w:r>
          </w:p>
        </w:tc>
      </w:tr>
      <w:tr w:rsidR="008670C1" w:rsidRPr="00A40ED9" w14:paraId="1673E187"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5A84CAC6"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Viáticos</w:t>
            </w:r>
          </w:p>
        </w:tc>
        <w:tc>
          <w:tcPr>
            <w:tcW w:w="2038" w:type="dxa"/>
            <w:gridSpan w:val="2"/>
            <w:tcBorders>
              <w:top w:val="nil"/>
              <w:left w:val="nil"/>
              <w:bottom w:val="single" w:sz="8" w:space="0" w:color="auto"/>
              <w:right w:val="single" w:sz="8" w:space="0" w:color="auto"/>
            </w:tcBorders>
            <w:noWrap/>
            <w:vAlign w:val="center"/>
            <w:hideMark/>
          </w:tcPr>
          <w:p w14:paraId="3363E479" w14:textId="77777777" w:rsidR="008670C1" w:rsidRPr="00A40ED9" w:rsidRDefault="008670C1" w:rsidP="006B204A">
            <w:pPr>
              <w:spacing w:after="0" w:line="360" w:lineRule="auto"/>
              <w:jc w:val="center"/>
              <w:rPr>
                <w:rFonts w:eastAsia="Times New Roman"/>
                <w:lang w:val="es-DO"/>
              </w:rPr>
            </w:pPr>
            <w:r w:rsidRPr="00A40ED9">
              <w:rPr>
                <w:lang w:val="es-DO"/>
              </w:rPr>
              <w:t xml:space="preserve"> 38,445,996 </w:t>
            </w:r>
          </w:p>
        </w:tc>
        <w:tc>
          <w:tcPr>
            <w:tcW w:w="1856" w:type="dxa"/>
            <w:gridSpan w:val="3"/>
            <w:tcBorders>
              <w:top w:val="nil"/>
              <w:left w:val="nil"/>
              <w:bottom w:val="single" w:sz="8" w:space="0" w:color="auto"/>
              <w:right w:val="single" w:sz="8" w:space="0" w:color="auto"/>
            </w:tcBorders>
            <w:noWrap/>
            <w:vAlign w:val="center"/>
            <w:hideMark/>
          </w:tcPr>
          <w:p w14:paraId="1A40C7EE" w14:textId="2515C8B7" w:rsidR="008670C1" w:rsidRPr="00A40ED9" w:rsidRDefault="00CB7390" w:rsidP="006B204A">
            <w:pPr>
              <w:spacing w:after="0" w:line="360" w:lineRule="auto"/>
              <w:jc w:val="center"/>
              <w:rPr>
                <w:rFonts w:eastAsia="Times New Roman"/>
                <w:lang w:val="es-DO"/>
              </w:rPr>
            </w:pPr>
            <w:r w:rsidRPr="00CB7390">
              <w:rPr>
                <w:lang w:val="es-DO"/>
              </w:rPr>
              <w:t>30,045,845</w:t>
            </w:r>
          </w:p>
        </w:tc>
        <w:tc>
          <w:tcPr>
            <w:tcW w:w="1636" w:type="dxa"/>
            <w:tcBorders>
              <w:top w:val="nil"/>
              <w:left w:val="nil"/>
              <w:bottom w:val="single" w:sz="8" w:space="0" w:color="auto"/>
              <w:right w:val="single" w:sz="8" w:space="0" w:color="auto"/>
            </w:tcBorders>
            <w:noWrap/>
            <w:vAlign w:val="center"/>
            <w:hideMark/>
          </w:tcPr>
          <w:p w14:paraId="4242C45C" w14:textId="077B3648" w:rsidR="008670C1" w:rsidRPr="00A40ED9" w:rsidRDefault="00CB7390" w:rsidP="006B204A">
            <w:pPr>
              <w:spacing w:after="0" w:line="360" w:lineRule="auto"/>
              <w:jc w:val="center"/>
              <w:rPr>
                <w:rFonts w:eastAsia="Times New Roman"/>
                <w:lang w:val="es-DO"/>
              </w:rPr>
            </w:pPr>
            <w:r w:rsidRPr="00CB7390">
              <w:rPr>
                <w:lang w:val="es-DO"/>
              </w:rPr>
              <w:t>8,400,151</w:t>
            </w:r>
          </w:p>
        </w:tc>
      </w:tr>
      <w:tr w:rsidR="008670C1" w:rsidRPr="00A40ED9" w14:paraId="268013FF"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769FC54B"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Transporte y almacenaje</w:t>
            </w:r>
          </w:p>
        </w:tc>
        <w:tc>
          <w:tcPr>
            <w:tcW w:w="2038" w:type="dxa"/>
            <w:gridSpan w:val="2"/>
            <w:tcBorders>
              <w:top w:val="nil"/>
              <w:left w:val="nil"/>
              <w:bottom w:val="single" w:sz="8" w:space="0" w:color="auto"/>
              <w:right w:val="single" w:sz="8" w:space="0" w:color="auto"/>
            </w:tcBorders>
            <w:noWrap/>
            <w:vAlign w:val="center"/>
            <w:hideMark/>
          </w:tcPr>
          <w:p w14:paraId="6A60B27F" w14:textId="77777777" w:rsidR="008670C1" w:rsidRPr="00A40ED9" w:rsidRDefault="008670C1" w:rsidP="006B204A">
            <w:pPr>
              <w:spacing w:after="0" w:line="360" w:lineRule="auto"/>
              <w:jc w:val="center"/>
              <w:rPr>
                <w:rFonts w:eastAsia="Times New Roman"/>
                <w:lang w:val="es-DO"/>
              </w:rPr>
            </w:pPr>
            <w:r w:rsidRPr="00A40ED9">
              <w:rPr>
                <w:lang w:val="es-DO"/>
              </w:rPr>
              <w:t xml:space="preserve"> 6,255,312 </w:t>
            </w:r>
          </w:p>
        </w:tc>
        <w:tc>
          <w:tcPr>
            <w:tcW w:w="1856" w:type="dxa"/>
            <w:gridSpan w:val="3"/>
            <w:tcBorders>
              <w:top w:val="nil"/>
              <w:left w:val="nil"/>
              <w:bottom w:val="single" w:sz="8" w:space="0" w:color="auto"/>
              <w:right w:val="single" w:sz="8" w:space="0" w:color="auto"/>
            </w:tcBorders>
            <w:noWrap/>
            <w:vAlign w:val="center"/>
            <w:hideMark/>
          </w:tcPr>
          <w:p w14:paraId="1AACB3D7" w14:textId="453D360F" w:rsidR="008670C1" w:rsidRPr="00A40ED9" w:rsidRDefault="00CB7390" w:rsidP="006B204A">
            <w:pPr>
              <w:spacing w:after="0" w:line="360" w:lineRule="auto"/>
              <w:jc w:val="center"/>
              <w:rPr>
                <w:rFonts w:eastAsia="Times New Roman"/>
                <w:lang w:val="es-DO"/>
              </w:rPr>
            </w:pPr>
            <w:r w:rsidRPr="00CB7390">
              <w:rPr>
                <w:lang w:val="es-DO"/>
              </w:rPr>
              <w:t>3,227,156</w:t>
            </w:r>
          </w:p>
        </w:tc>
        <w:tc>
          <w:tcPr>
            <w:tcW w:w="1636" w:type="dxa"/>
            <w:tcBorders>
              <w:top w:val="nil"/>
              <w:left w:val="nil"/>
              <w:bottom w:val="single" w:sz="8" w:space="0" w:color="auto"/>
              <w:right w:val="single" w:sz="8" w:space="0" w:color="auto"/>
            </w:tcBorders>
            <w:noWrap/>
            <w:vAlign w:val="center"/>
            <w:hideMark/>
          </w:tcPr>
          <w:p w14:paraId="6E7C02B0" w14:textId="1BEEB10A" w:rsidR="008670C1" w:rsidRPr="00A40ED9" w:rsidRDefault="00CB7390" w:rsidP="006B204A">
            <w:pPr>
              <w:spacing w:after="0" w:line="360" w:lineRule="auto"/>
              <w:jc w:val="center"/>
              <w:rPr>
                <w:rFonts w:eastAsia="Times New Roman"/>
                <w:lang w:val="es-DO"/>
              </w:rPr>
            </w:pPr>
            <w:r w:rsidRPr="00CB7390">
              <w:rPr>
                <w:lang w:val="es-DO"/>
              </w:rPr>
              <w:t>3,028,155</w:t>
            </w:r>
          </w:p>
        </w:tc>
      </w:tr>
      <w:tr w:rsidR="008670C1" w:rsidRPr="00A40ED9" w14:paraId="537E015F"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1A8BF36F"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Alquileres y rentas</w:t>
            </w:r>
          </w:p>
        </w:tc>
        <w:tc>
          <w:tcPr>
            <w:tcW w:w="2038" w:type="dxa"/>
            <w:gridSpan w:val="2"/>
            <w:tcBorders>
              <w:top w:val="nil"/>
              <w:left w:val="nil"/>
              <w:bottom w:val="single" w:sz="8" w:space="0" w:color="auto"/>
              <w:right w:val="single" w:sz="8" w:space="0" w:color="auto"/>
            </w:tcBorders>
            <w:noWrap/>
            <w:vAlign w:val="center"/>
            <w:hideMark/>
          </w:tcPr>
          <w:p w14:paraId="06069BFB" w14:textId="77777777" w:rsidR="008670C1" w:rsidRPr="00A40ED9" w:rsidRDefault="008670C1" w:rsidP="006B204A">
            <w:pPr>
              <w:spacing w:after="0" w:line="360" w:lineRule="auto"/>
              <w:jc w:val="center"/>
              <w:rPr>
                <w:rFonts w:eastAsia="Times New Roman"/>
                <w:lang w:val="es-DO"/>
              </w:rPr>
            </w:pPr>
            <w:r w:rsidRPr="00A40ED9">
              <w:rPr>
                <w:lang w:val="es-DO"/>
              </w:rPr>
              <w:t xml:space="preserve"> 42,011,456 </w:t>
            </w:r>
          </w:p>
        </w:tc>
        <w:tc>
          <w:tcPr>
            <w:tcW w:w="1856" w:type="dxa"/>
            <w:gridSpan w:val="3"/>
            <w:tcBorders>
              <w:top w:val="nil"/>
              <w:left w:val="nil"/>
              <w:bottom w:val="single" w:sz="8" w:space="0" w:color="auto"/>
              <w:right w:val="single" w:sz="8" w:space="0" w:color="auto"/>
            </w:tcBorders>
            <w:noWrap/>
            <w:vAlign w:val="center"/>
            <w:hideMark/>
          </w:tcPr>
          <w:p w14:paraId="469A9791" w14:textId="48189B78" w:rsidR="008670C1" w:rsidRPr="00A40ED9" w:rsidRDefault="00CB7390" w:rsidP="006B204A">
            <w:pPr>
              <w:spacing w:after="0" w:line="360" w:lineRule="auto"/>
              <w:jc w:val="center"/>
              <w:rPr>
                <w:rFonts w:eastAsia="Times New Roman"/>
                <w:lang w:val="es-DO"/>
              </w:rPr>
            </w:pPr>
            <w:r w:rsidRPr="00CB7390">
              <w:rPr>
                <w:lang w:val="es-DO"/>
              </w:rPr>
              <w:t>30,627,046</w:t>
            </w:r>
          </w:p>
        </w:tc>
        <w:tc>
          <w:tcPr>
            <w:tcW w:w="1636" w:type="dxa"/>
            <w:tcBorders>
              <w:top w:val="nil"/>
              <w:left w:val="nil"/>
              <w:bottom w:val="single" w:sz="8" w:space="0" w:color="auto"/>
              <w:right w:val="single" w:sz="8" w:space="0" w:color="auto"/>
            </w:tcBorders>
            <w:noWrap/>
            <w:vAlign w:val="center"/>
            <w:hideMark/>
          </w:tcPr>
          <w:p w14:paraId="33B57609" w14:textId="5A24ACA4" w:rsidR="008670C1" w:rsidRPr="00A40ED9" w:rsidRDefault="00CB7390" w:rsidP="006B204A">
            <w:pPr>
              <w:spacing w:after="0" w:line="360" w:lineRule="auto"/>
              <w:jc w:val="center"/>
              <w:rPr>
                <w:rFonts w:eastAsia="Times New Roman"/>
                <w:lang w:val="es-DO"/>
              </w:rPr>
            </w:pPr>
            <w:r w:rsidRPr="00CB7390">
              <w:rPr>
                <w:lang w:val="es-DO"/>
              </w:rPr>
              <w:t>11,384,409</w:t>
            </w:r>
          </w:p>
        </w:tc>
      </w:tr>
      <w:tr w:rsidR="000C6843" w:rsidRPr="00A40ED9" w14:paraId="63966F7B" w14:textId="77777777" w:rsidTr="003A11A2">
        <w:trPr>
          <w:trHeight w:val="129"/>
          <w:jc w:val="center"/>
        </w:trPr>
        <w:tc>
          <w:tcPr>
            <w:tcW w:w="3022" w:type="dxa"/>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2D895D86" w14:textId="77777777" w:rsidR="000C6843" w:rsidRPr="00A40ED9" w:rsidRDefault="000C6843" w:rsidP="003A11A2">
            <w:pPr>
              <w:spacing w:after="0" w:line="360" w:lineRule="auto"/>
              <w:rPr>
                <w:rFonts w:eastAsia="Times New Roman"/>
                <w:b/>
                <w:bCs/>
                <w:color w:val="FFFFFF"/>
                <w:lang w:val="es-DO"/>
              </w:rPr>
            </w:pPr>
            <w:r w:rsidRPr="00A40ED9">
              <w:rPr>
                <w:rFonts w:eastAsia="Times New Roman"/>
                <w:b/>
                <w:bCs/>
                <w:color w:val="FFFFFF"/>
                <w:lang w:val="es-DO"/>
              </w:rPr>
              <w:lastRenderedPageBreak/>
              <w:t>Contratación de servicios</w:t>
            </w:r>
          </w:p>
        </w:tc>
        <w:tc>
          <w:tcPr>
            <w:tcW w:w="2038" w:type="dxa"/>
            <w:gridSpan w:val="2"/>
            <w:tcBorders>
              <w:top w:val="single" w:sz="8" w:space="0" w:color="auto"/>
              <w:left w:val="nil"/>
              <w:bottom w:val="single" w:sz="8" w:space="0" w:color="auto"/>
              <w:right w:val="single" w:sz="8" w:space="0" w:color="auto"/>
            </w:tcBorders>
            <w:shd w:val="clear" w:color="000000" w:fill="003876"/>
            <w:noWrap/>
            <w:vAlign w:val="center"/>
            <w:hideMark/>
          </w:tcPr>
          <w:p w14:paraId="09D5B9D8" w14:textId="77777777" w:rsidR="000C6843" w:rsidRPr="00A40ED9" w:rsidRDefault="000C6843" w:rsidP="003A11A2">
            <w:pPr>
              <w:spacing w:after="0" w:line="360" w:lineRule="auto"/>
              <w:jc w:val="center"/>
              <w:rPr>
                <w:rFonts w:eastAsia="Times New Roman"/>
                <w:b/>
                <w:bCs/>
                <w:color w:val="FFFFFF"/>
                <w:lang w:val="es-DO"/>
              </w:rPr>
            </w:pPr>
            <w:r w:rsidRPr="00A40ED9">
              <w:rPr>
                <w:rFonts w:eastAsia="Times New Roman"/>
                <w:b/>
                <w:bCs/>
                <w:color w:val="FFFFFF"/>
                <w:lang w:val="es-DO"/>
              </w:rPr>
              <w:t>Presupuesto</w:t>
            </w:r>
          </w:p>
        </w:tc>
        <w:tc>
          <w:tcPr>
            <w:tcW w:w="1856" w:type="dxa"/>
            <w:gridSpan w:val="3"/>
            <w:tcBorders>
              <w:top w:val="single" w:sz="8" w:space="0" w:color="auto"/>
              <w:left w:val="nil"/>
              <w:bottom w:val="single" w:sz="8" w:space="0" w:color="auto"/>
              <w:right w:val="single" w:sz="8" w:space="0" w:color="auto"/>
            </w:tcBorders>
            <w:shd w:val="clear" w:color="000000" w:fill="003876"/>
            <w:noWrap/>
            <w:vAlign w:val="center"/>
            <w:hideMark/>
          </w:tcPr>
          <w:p w14:paraId="674756FA" w14:textId="77777777" w:rsidR="000C6843" w:rsidRPr="00A40ED9" w:rsidRDefault="000C6843" w:rsidP="003A11A2">
            <w:pPr>
              <w:spacing w:after="0" w:line="360" w:lineRule="auto"/>
              <w:jc w:val="center"/>
              <w:rPr>
                <w:rFonts w:eastAsia="Times New Roman"/>
                <w:b/>
                <w:bCs/>
                <w:color w:val="FFFFFF"/>
                <w:lang w:val="es-DO"/>
              </w:rPr>
            </w:pPr>
            <w:r w:rsidRPr="00A40ED9">
              <w:rPr>
                <w:rFonts w:eastAsia="Times New Roman"/>
                <w:b/>
                <w:bCs/>
                <w:color w:val="FFFFFF"/>
                <w:lang w:val="es-DO"/>
              </w:rPr>
              <w:t>Ejecutado</w:t>
            </w:r>
          </w:p>
        </w:tc>
        <w:tc>
          <w:tcPr>
            <w:tcW w:w="1636" w:type="dxa"/>
            <w:tcBorders>
              <w:top w:val="single" w:sz="8" w:space="0" w:color="auto"/>
              <w:left w:val="nil"/>
              <w:bottom w:val="single" w:sz="8" w:space="0" w:color="auto"/>
              <w:right w:val="single" w:sz="8" w:space="0" w:color="auto"/>
            </w:tcBorders>
            <w:shd w:val="clear" w:color="000000" w:fill="003876"/>
            <w:noWrap/>
            <w:vAlign w:val="center"/>
            <w:hideMark/>
          </w:tcPr>
          <w:p w14:paraId="36E0A7E9" w14:textId="77777777" w:rsidR="000C6843" w:rsidRPr="00A40ED9" w:rsidRDefault="000C6843" w:rsidP="003A11A2">
            <w:pPr>
              <w:spacing w:after="0" w:line="360" w:lineRule="auto"/>
              <w:jc w:val="center"/>
              <w:rPr>
                <w:rFonts w:eastAsia="Times New Roman"/>
                <w:b/>
                <w:bCs/>
                <w:color w:val="FFFFFF"/>
                <w:lang w:val="es-DO"/>
              </w:rPr>
            </w:pPr>
            <w:r w:rsidRPr="00A40ED9">
              <w:rPr>
                <w:rFonts w:eastAsia="Times New Roman"/>
                <w:b/>
                <w:bCs/>
                <w:color w:val="FFFFFF"/>
                <w:lang w:val="es-DO"/>
              </w:rPr>
              <w:t>Balance</w:t>
            </w:r>
          </w:p>
        </w:tc>
      </w:tr>
      <w:tr w:rsidR="008670C1" w:rsidRPr="00A40ED9" w14:paraId="16C77994"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24078C01"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Seguros</w:t>
            </w:r>
          </w:p>
        </w:tc>
        <w:tc>
          <w:tcPr>
            <w:tcW w:w="2038" w:type="dxa"/>
            <w:gridSpan w:val="2"/>
            <w:tcBorders>
              <w:top w:val="nil"/>
              <w:left w:val="nil"/>
              <w:bottom w:val="single" w:sz="8" w:space="0" w:color="auto"/>
              <w:right w:val="single" w:sz="8" w:space="0" w:color="auto"/>
            </w:tcBorders>
            <w:noWrap/>
            <w:vAlign w:val="center"/>
            <w:hideMark/>
          </w:tcPr>
          <w:p w14:paraId="5092CAD1" w14:textId="77777777" w:rsidR="008670C1" w:rsidRPr="00A40ED9" w:rsidRDefault="008670C1" w:rsidP="006B204A">
            <w:pPr>
              <w:spacing w:after="0" w:line="360" w:lineRule="auto"/>
              <w:jc w:val="center"/>
              <w:rPr>
                <w:rFonts w:eastAsia="Times New Roman"/>
                <w:lang w:val="es-DO"/>
              </w:rPr>
            </w:pPr>
            <w:r w:rsidRPr="00A40ED9">
              <w:rPr>
                <w:lang w:val="es-DO"/>
              </w:rPr>
              <w:t xml:space="preserve"> 109,490,275 </w:t>
            </w:r>
          </w:p>
        </w:tc>
        <w:tc>
          <w:tcPr>
            <w:tcW w:w="1856" w:type="dxa"/>
            <w:gridSpan w:val="3"/>
            <w:tcBorders>
              <w:top w:val="nil"/>
              <w:left w:val="nil"/>
              <w:bottom w:val="single" w:sz="8" w:space="0" w:color="auto"/>
              <w:right w:val="single" w:sz="8" w:space="0" w:color="auto"/>
            </w:tcBorders>
            <w:noWrap/>
            <w:vAlign w:val="center"/>
            <w:hideMark/>
          </w:tcPr>
          <w:p w14:paraId="2A7BA691" w14:textId="6D54BAA3" w:rsidR="008670C1" w:rsidRPr="00A40ED9" w:rsidRDefault="00CB7390" w:rsidP="006B204A">
            <w:pPr>
              <w:spacing w:after="0" w:line="360" w:lineRule="auto"/>
              <w:jc w:val="center"/>
              <w:rPr>
                <w:rFonts w:eastAsia="Times New Roman"/>
                <w:lang w:val="es-DO"/>
              </w:rPr>
            </w:pPr>
            <w:r w:rsidRPr="00CB7390">
              <w:rPr>
                <w:lang w:val="es-DO"/>
              </w:rPr>
              <w:t>90,563,343</w:t>
            </w:r>
          </w:p>
        </w:tc>
        <w:tc>
          <w:tcPr>
            <w:tcW w:w="1636" w:type="dxa"/>
            <w:tcBorders>
              <w:top w:val="nil"/>
              <w:left w:val="nil"/>
              <w:bottom w:val="single" w:sz="8" w:space="0" w:color="auto"/>
              <w:right w:val="single" w:sz="8" w:space="0" w:color="auto"/>
            </w:tcBorders>
            <w:noWrap/>
            <w:vAlign w:val="center"/>
            <w:hideMark/>
          </w:tcPr>
          <w:p w14:paraId="64B1DF11" w14:textId="546AC7C7" w:rsidR="008670C1" w:rsidRPr="00A40ED9" w:rsidRDefault="00CB7390" w:rsidP="006B204A">
            <w:pPr>
              <w:spacing w:after="0" w:line="360" w:lineRule="auto"/>
              <w:jc w:val="center"/>
              <w:rPr>
                <w:rFonts w:eastAsia="Times New Roman"/>
                <w:lang w:val="es-DO"/>
              </w:rPr>
            </w:pPr>
            <w:r w:rsidRPr="00CB7390">
              <w:rPr>
                <w:lang w:val="es-DO"/>
              </w:rPr>
              <w:t>18,926,932</w:t>
            </w:r>
          </w:p>
        </w:tc>
      </w:tr>
      <w:tr w:rsidR="008670C1" w:rsidRPr="00A40ED9" w14:paraId="26A3B3D0"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7D8FD38A"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Servicios de conservación, reparaciones menores e instalaciones temporales</w:t>
            </w:r>
          </w:p>
        </w:tc>
        <w:tc>
          <w:tcPr>
            <w:tcW w:w="2038" w:type="dxa"/>
            <w:gridSpan w:val="2"/>
            <w:tcBorders>
              <w:top w:val="nil"/>
              <w:left w:val="nil"/>
              <w:bottom w:val="single" w:sz="8" w:space="0" w:color="auto"/>
              <w:right w:val="single" w:sz="8" w:space="0" w:color="auto"/>
            </w:tcBorders>
            <w:noWrap/>
            <w:vAlign w:val="center"/>
            <w:hideMark/>
          </w:tcPr>
          <w:p w14:paraId="11B35EDB" w14:textId="77777777" w:rsidR="008670C1" w:rsidRPr="00A40ED9" w:rsidRDefault="008670C1" w:rsidP="006B204A">
            <w:pPr>
              <w:spacing w:after="0" w:line="360" w:lineRule="auto"/>
              <w:jc w:val="center"/>
              <w:rPr>
                <w:rFonts w:eastAsia="Times New Roman"/>
                <w:lang w:val="es-DO"/>
              </w:rPr>
            </w:pPr>
            <w:r w:rsidRPr="00A40ED9">
              <w:rPr>
                <w:lang w:val="es-DO"/>
              </w:rPr>
              <w:t xml:space="preserve"> 50,172,308 </w:t>
            </w:r>
          </w:p>
        </w:tc>
        <w:tc>
          <w:tcPr>
            <w:tcW w:w="1856" w:type="dxa"/>
            <w:gridSpan w:val="3"/>
            <w:tcBorders>
              <w:top w:val="nil"/>
              <w:left w:val="nil"/>
              <w:bottom w:val="single" w:sz="8" w:space="0" w:color="auto"/>
              <w:right w:val="single" w:sz="8" w:space="0" w:color="auto"/>
            </w:tcBorders>
            <w:noWrap/>
            <w:vAlign w:val="center"/>
            <w:hideMark/>
          </w:tcPr>
          <w:p w14:paraId="294AA5A4" w14:textId="01BBD450" w:rsidR="008670C1" w:rsidRPr="00A40ED9" w:rsidRDefault="00CB7390" w:rsidP="006B204A">
            <w:pPr>
              <w:spacing w:after="0" w:line="360" w:lineRule="auto"/>
              <w:jc w:val="center"/>
              <w:rPr>
                <w:rFonts w:eastAsia="Times New Roman"/>
                <w:lang w:val="es-DO"/>
              </w:rPr>
            </w:pPr>
            <w:r w:rsidRPr="00CB7390">
              <w:rPr>
                <w:lang w:val="es-DO"/>
              </w:rPr>
              <w:t>31,106,256</w:t>
            </w:r>
          </w:p>
        </w:tc>
        <w:tc>
          <w:tcPr>
            <w:tcW w:w="1636" w:type="dxa"/>
            <w:tcBorders>
              <w:top w:val="nil"/>
              <w:left w:val="nil"/>
              <w:bottom w:val="single" w:sz="8" w:space="0" w:color="auto"/>
              <w:right w:val="single" w:sz="8" w:space="0" w:color="auto"/>
            </w:tcBorders>
            <w:noWrap/>
            <w:vAlign w:val="center"/>
            <w:hideMark/>
          </w:tcPr>
          <w:p w14:paraId="2FC15341" w14:textId="16D4CD65" w:rsidR="008670C1" w:rsidRPr="00A40ED9" w:rsidRDefault="00CB7390" w:rsidP="006B204A">
            <w:pPr>
              <w:spacing w:after="0" w:line="360" w:lineRule="auto"/>
              <w:jc w:val="center"/>
              <w:rPr>
                <w:rFonts w:eastAsia="Times New Roman"/>
                <w:lang w:val="es-DO"/>
              </w:rPr>
            </w:pPr>
            <w:r w:rsidRPr="00CB7390">
              <w:rPr>
                <w:lang w:val="es-DO"/>
              </w:rPr>
              <w:t>19,066,052</w:t>
            </w:r>
          </w:p>
        </w:tc>
      </w:tr>
      <w:tr w:rsidR="008670C1" w:rsidRPr="00A40ED9" w14:paraId="0F35C393"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hideMark/>
          </w:tcPr>
          <w:p w14:paraId="71360C2D"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Otros servicios no incluidos en conceptos anteriores</w:t>
            </w:r>
          </w:p>
        </w:tc>
        <w:tc>
          <w:tcPr>
            <w:tcW w:w="2038" w:type="dxa"/>
            <w:gridSpan w:val="2"/>
            <w:tcBorders>
              <w:top w:val="nil"/>
              <w:left w:val="nil"/>
              <w:bottom w:val="single" w:sz="8" w:space="0" w:color="auto"/>
              <w:right w:val="single" w:sz="8" w:space="0" w:color="auto"/>
            </w:tcBorders>
            <w:noWrap/>
            <w:vAlign w:val="center"/>
            <w:hideMark/>
          </w:tcPr>
          <w:p w14:paraId="417DFD7A" w14:textId="77777777" w:rsidR="008670C1" w:rsidRPr="00A40ED9" w:rsidRDefault="008670C1" w:rsidP="006B204A">
            <w:pPr>
              <w:spacing w:after="0" w:line="360" w:lineRule="auto"/>
              <w:jc w:val="center"/>
              <w:rPr>
                <w:rFonts w:eastAsia="Times New Roman"/>
                <w:lang w:val="es-DO"/>
              </w:rPr>
            </w:pPr>
            <w:r w:rsidRPr="00A40ED9">
              <w:rPr>
                <w:lang w:val="es-DO"/>
              </w:rPr>
              <w:t xml:space="preserve"> 365,035,250 </w:t>
            </w:r>
          </w:p>
        </w:tc>
        <w:tc>
          <w:tcPr>
            <w:tcW w:w="1856" w:type="dxa"/>
            <w:gridSpan w:val="3"/>
            <w:tcBorders>
              <w:top w:val="nil"/>
              <w:left w:val="nil"/>
              <w:bottom w:val="single" w:sz="8" w:space="0" w:color="auto"/>
              <w:right w:val="single" w:sz="8" w:space="0" w:color="auto"/>
            </w:tcBorders>
            <w:noWrap/>
            <w:vAlign w:val="center"/>
            <w:hideMark/>
          </w:tcPr>
          <w:p w14:paraId="19721727" w14:textId="4D1D97E0" w:rsidR="008670C1" w:rsidRPr="00A40ED9" w:rsidRDefault="00CB7390" w:rsidP="006B204A">
            <w:pPr>
              <w:spacing w:after="0" w:line="360" w:lineRule="auto"/>
              <w:jc w:val="center"/>
              <w:rPr>
                <w:rFonts w:eastAsia="Times New Roman"/>
                <w:lang w:val="es-DO"/>
              </w:rPr>
            </w:pPr>
            <w:r w:rsidRPr="00CB7390">
              <w:rPr>
                <w:lang w:val="es-DO"/>
              </w:rPr>
              <w:t>252,554,450</w:t>
            </w:r>
          </w:p>
        </w:tc>
        <w:tc>
          <w:tcPr>
            <w:tcW w:w="1636" w:type="dxa"/>
            <w:tcBorders>
              <w:top w:val="nil"/>
              <w:left w:val="nil"/>
              <w:bottom w:val="single" w:sz="8" w:space="0" w:color="auto"/>
              <w:right w:val="single" w:sz="8" w:space="0" w:color="auto"/>
            </w:tcBorders>
            <w:noWrap/>
            <w:vAlign w:val="center"/>
            <w:hideMark/>
          </w:tcPr>
          <w:p w14:paraId="48EEE0E0" w14:textId="410E125A" w:rsidR="008670C1" w:rsidRPr="00A40ED9" w:rsidRDefault="00CB7390" w:rsidP="006B204A">
            <w:pPr>
              <w:spacing w:after="0" w:line="360" w:lineRule="auto"/>
              <w:jc w:val="center"/>
              <w:rPr>
                <w:rFonts w:eastAsia="Times New Roman"/>
                <w:lang w:val="es-DO"/>
              </w:rPr>
            </w:pPr>
            <w:r w:rsidRPr="00CB7390">
              <w:rPr>
                <w:lang w:val="es-DO"/>
              </w:rPr>
              <w:t>112,480,800</w:t>
            </w:r>
          </w:p>
        </w:tc>
      </w:tr>
      <w:tr w:rsidR="008670C1" w:rsidRPr="00A40ED9" w14:paraId="3108D28B" w14:textId="77777777" w:rsidTr="00BE0AFF">
        <w:trPr>
          <w:trHeight w:val="129"/>
          <w:jc w:val="center"/>
        </w:trPr>
        <w:tc>
          <w:tcPr>
            <w:tcW w:w="3022" w:type="dxa"/>
            <w:tcBorders>
              <w:top w:val="nil"/>
              <w:left w:val="single" w:sz="8" w:space="0" w:color="auto"/>
              <w:bottom w:val="single" w:sz="8" w:space="0" w:color="auto"/>
              <w:right w:val="single" w:sz="8" w:space="0" w:color="auto"/>
            </w:tcBorders>
            <w:noWrap/>
            <w:vAlign w:val="center"/>
          </w:tcPr>
          <w:p w14:paraId="1C9C9BD9" w14:textId="77777777" w:rsidR="008670C1" w:rsidRPr="00420DEE" w:rsidRDefault="008670C1" w:rsidP="006B204A">
            <w:pPr>
              <w:spacing w:after="0" w:line="360" w:lineRule="auto"/>
              <w:rPr>
                <w:rFonts w:eastAsia="Times New Roman"/>
                <w:b/>
                <w:bCs/>
                <w:lang w:val="es-DO"/>
              </w:rPr>
            </w:pPr>
            <w:r w:rsidRPr="00420DEE">
              <w:rPr>
                <w:rFonts w:eastAsia="Times New Roman"/>
                <w:b/>
                <w:bCs/>
                <w:lang w:val="es-DO"/>
              </w:rPr>
              <w:t>Otras contrataciones de servicios</w:t>
            </w:r>
          </w:p>
        </w:tc>
        <w:tc>
          <w:tcPr>
            <w:tcW w:w="2038" w:type="dxa"/>
            <w:gridSpan w:val="2"/>
            <w:tcBorders>
              <w:top w:val="nil"/>
              <w:left w:val="nil"/>
              <w:bottom w:val="single" w:sz="8" w:space="0" w:color="auto"/>
              <w:right w:val="single" w:sz="8" w:space="0" w:color="auto"/>
            </w:tcBorders>
            <w:noWrap/>
            <w:vAlign w:val="center"/>
          </w:tcPr>
          <w:p w14:paraId="3F138536" w14:textId="77777777" w:rsidR="008670C1" w:rsidRPr="00A40ED9" w:rsidRDefault="008670C1" w:rsidP="006B204A">
            <w:pPr>
              <w:spacing w:after="0" w:line="360" w:lineRule="auto"/>
              <w:jc w:val="center"/>
              <w:rPr>
                <w:lang w:val="es-DO"/>
              </w:rPr>
            </w:pPr>
            <w:r w:rsidRPr="00A40ED9">
              <w:rPr>
                <w:lang w:val="es-DO"/>
              </w:rPr>
              <w:t>14,333,315</w:t>
            </w:r>
          </w:p>
        </w:tc>
        <w:tc>
          <w:tcPr>
            <w:tcW w:w="1856" w:type="dxa"/>
            <w:gridSpan w:val="3"/>
            <w:tcBorders>
              <w:top w:val="nil"/>
              <w:left w:val="nil"/>
              <w:bottom w:val="single" w:sz="8" w:space="0" w:color="auto"/>
              <w:right w:val="single" w:sz="8" w:space="0" w:color="auto"/>
            </w:tcBorders>
            <w:noWrap/>
            <w:vAlign w:val="center"/>
          </w:tcPr>
          <w:p w14:paraId="6AEA36FD" w14:textId="4C044B66" w:rsidR="008670C1" w:rsidRPr="00A40ED9" w:rsidRDefault="00CB7390" w:rsidP="006B204A">
            <w:pPr>
              <w:spacing w:after="0" w:line="360" w:lineRule="auto"/>
              <w:jc w:val="center"/>
              <w:rPr>
                <w:rFonts w:eastAsia="Times New Roman"/>
                <w:lang w:val="es-DO"/>
              </w:rPr>
            </w:pPr>
            <w:r w:rsidRPr="00CB7390">
              <w:rPr>
                <w:lang w:val="es-DO"/>
              </w:rPr>
              <w:t>3,522,640</w:t>
            </w:r>
          </w:p>
        </w:tc>
        <w:tc>
          <w:tcPr>
            <w:tcW w:w="1636" w:type="dxa"/>
            <w:tcBorders>
              <w:top w:val="nil"/>
              <w:left w:val="nil"/>
              <w:bottom w:val="single" w:sz="8" w:space="0" w:color="auto"/>
              <w:right w:val="single" w:sz="8" w:space="0" w:color="auto"/>
            </w:tcBorders>
            <w:noWrap/>
            <w:vAlign w:val="center"/>
          </w:tcPr>
          <w:p w14:paraId="364C87F7" w14:textId="2C5E0A48" w:rsidR="008670C1" w:rsidRPr="00A40ED9" w:rsidRDefault="00CB7390" w:rsidP="006B204A">
            <w:pPr>
              <w:spacing w:after="0" w:line="360" w:lineRule="auto"/>
              <w:jc w:val="center"/>
              <w:rPr>
                <w:rFonts w:eastAsia="Times New Roman"/>
                <w:lang w:val="es-DO"/>
              </w:rPr>
            </w:pPr>
            <w:r w:rsidRPr="00CB7390">
              <w:rPr>
                <w:lang w:val="es-DO"/>
              </w:rPr>
              <w:t>10,810,675</w:t>
            </w:r>
          </w:p>
        </w:tc>
      </w:tr>
      <w:tr w:rsidR="00452802" w:rsidRPr="00A40ED9" w14:paraId="4D31A5C0" w14:textId="77777777" w:rsidTr="00BE0AFF">
        <w:trPr>
          <w:trHeight w:val="129"/>
          <w:jc w:val="center"/>
        </w:trPr>
        <w:tc>
          <w:tcPr>
            <w:tcW w:w="3022" w:type="dxa"/>
            <w:tcBorders>
              <w:top w:val="nil"/>
              <w:left w:val="single" w:sz="8" w:space="0" w:color="auto"/>
              <w:bottom w:val="single" w:sz="8" w:space="0" w:color="auto"/>
              <w:right w:val="single" w:sz="8" w:space="0" w:color="auto"/>
            </w:tcBorders>
            <w:shd w:val="clear" w:color="000000" w:fill="003876"/>
            <w:noWrap/>
            <w:vAlign w:val="center"/>
            <w:hideMark/>
          </w:tcPr>
          <w:p w14:paraId="3A81E0BC" w14:textId="77777777" w:rsidR="008670C1" w:rsidRPr="00A40ED9" w:rsidRDefault="008670C1" w:rsidP="006B204A">
            <w:pPr>
              <w:spacing w:after="0" w:line="360" w:lineRule="auto"/>
              <w:rPr>
                <w:rFonts w:eastAsia="Times New Roman"/>
                <w:b/>
                <w:bCs/>
                <w:color w:val="FFFFFF"/>
                <w:lang w:val="es-DO"/>
              </w:rPr>
            </w:pPr>
            <w:proofErr w:type="gramStart"/>
            <w:r w:rsidRPr="00A40ED9">
              <w:rPr>
                <w:rFonts w:eastAsia="Times New Roman"/>
                <w:b/>
                <w:bCs/>
                <w:color w:val="FFFFFF"/>
                <w:lang w:val="es-DO"/>
              </w:rPr>
              <w:t>Total</w:t>
            </w:r>
            <w:proofErr w:type="gramEnd"/>
            <w:r w:rsidRPr="00A40ED9">
              <w:rPr>
                <w:rFonts w:eastAsia="Times New Roman"/>
                <w:b/>
                <w:bCs/>
                <w:color w:val="FFFFFF"/>
                <w:lang w:val="es-DO"/>
              </w:rPr>
              <w:t xml:space="preserve"> contratación de servicios</w:t>
            </w:r>
          </w:p>
        </w:tc>
        <w:tc>
          <w:tcPr>
            <w:tcW w:w="2038" w:type="dxa"/>
            <w:gridSpan w:val="2"/>
            <w:tcBorders>
              <w:top w:val="nil"/>
              <w:left w:val="nil"/>
              <w:bottom w:val="single" w:sz="8" w:space="0" w:color="auto"/>
              <w:right w:val="single" w:sz="8" w:space="0" w:color="auto"/>
            </w:tcBorders>
            <w:shd w:val="clear" w:color="000000" w:fill="003876"/>
            <w:vAlign w:val="center"/>
            <w:hideMark/>
          </w:tcPr>
          <w:p w14:paraId="239755A7"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744,964,831</w:t>
            </w:r>
          </w:p>
        </w:tc>
        <w:tc>
          <w:tcPr>
            <w:tcW w:w="1856" w:type="dxa"/>
            <w:gridSpan w:val="3"/>
            <w:tcBorders>
              <w:top w:val="nil"/>
              <w:left w:val="nil"/>
              <w:bottom w:val="single" w:sz="8" w:space="0" w:color="auto"/>
              <w:right w:val="single" w:sz="8" w:space="0" w:color="auto"/>
            </w:tcBorders>
            <w:shd w:val="clear" w:color="000000" w:fill="003876"/>
            <w:vAlign w:val="center"/>
            <w:hideMark/>
          </w:tcPr>
          <w:p w14:paraId="7FBDBAD6" w14:textId="65B81EAC" w:rsidR="008670C1" w:rsidRPr="00A40ED9" w:rsidRDefault="00CB7390" w:rsidP="006B204A">
            <w:pPr>
              <w:spacing w:after="0" w:line="360" w:lineRule="auto"/>
              <w:jc w:val="center"/>
              <w:rPr>
                <w:rFonts w:eastAsia="Times New Roman"/>
                <w:b/>
                <w:bCs/>
                <w:color w:val="FFFFFF"/>
                <w:lang w:val="es-DO"/>
              </w:rPr>
            </w:pPr>
            <w:r w:rsidRPr="00CB7390">
              <w:rPr>
                <w:rFonts w:eastAsia="Times New Roman"/>
                <w:b/>
                <w:bCs/>
                <w:color w:val="FFFFFF"/>
                <w:lang w:val="es-DO"/>
              </w:rPr>
              <w:t>542,097,310</w:t>
            </w:r>
          </w:p>
        </w:tc>
        <w:tc>
          <w:tcPr>
            <w:tcW w:w="1636" w:type="dxa"/>
            <w:tcBorders>
              <w:top w:val="nil"/>
              <w:left w:val="nil"/>
              <w:bottom w:val="single" w:sz="8" w:space="0" w:color="auto"/>
              <w:right w:val="single" w:sz="8" w:space="0" w:color="auto"/>
            </w:tcBorders>
            <w:shd w:val="clear" w:color="000000" w:fill="003876"/>
            <w:noWrap/>
            <w:vAlign w:val="center"/>
            <w:hideMark/>
          </w:tcPr>
          <w:p w14:paraId="2CB59569" w14:textId="7B55C622" w:rsidR="008670C1" w:rsidRPr="00A40ED9" w:rsidRDefault="00CB7390" w:rsidP="006B204A">
            <w:pPr>
              <w:spacing w:after="0" w:line="360" w:lineRule="auto"/>
              <w:jc w:val="center"/>
              <w:rPr>
                <w:rFonts w:eastAsia="Times New Roman"/>
                <w:b/>
                <w:bCs/>
                <w:color w:val="FFFFFF"/>
                <w:lang w:val="es-DO"/>
              </w:rPr>
            </w:pPr>
            <w:r w:rsidRPr="00CB7390">
              <w:rPr>
                <w:rFonts w:eastAsia="Times New Roman"/>
                <w:b/>
                <w:bCs/>
                <w:color w:val="FFFFFF"/>
                <w:lang w:val="es-DO"/>
              </w:rPr>
              <w:t>202,867,521</w:t>
            </w:r>
          </w:p>
        </w:tc>
      </w:tr>
      <w:tr w:rsidR="008670C1" w:rsidRPr="00A40ED9" w14:paraId="66A20354" w14:textId="77777777" w:rsidTr="00BE0AFF">
        <w:trPr>
          <w:trHeight w:val="241"/>
          <w:jc w:val="center"/>
        </w:trPr>
        <w:tc>
          <w:tcPr>
            <w:tcW w:w="3043" w:type="dxa"/>
            <w:gridSpan w:val="2"/>
            <w:tcBorders>
              <w:top w:val="nil"/>
              <w:left w:val="nil"/>
              <w:bottom w:val="nil"/>
              <w:right w:val="nil"/>
            </w:tcBorders>
            <w:noWrap/>
            <w:vAlign w:val="bottom"/>
            <w:hideMark/>
          </w:tcPr>
          <w:p w14:paraId="04B621E2" w14:textId="6AD82A01" w:rsidR="008670C1" w:rsidRPr="00A40ED9" w:rsidRDefault="008670C1" w:rsidP="006B204A">
            <w:pPr>
              <w:spacing w:after="0" w:line="240" w:lineRule="auto"/>
              <w:jc w:val="center"/>
              <w:rPr>
                <w:rFonts w:eastAsia="Times New Roman"/>
                <w:b/>
                <w:bCs/>
                <w:color w:val="FFFFFF"/>
                <w:lang w:val="es-DO"/>
              </w:rPr>
            </w:pPr>
            <w:r w:rsidRPr="00A40ED9">
              <w:rPr>
                <w:lang w:val="es-DO"/>
              </w:rPr>
              <w:br w:type="page"/>
            </w:r>
          </w:p>
        </w:tc>
        <w:tc>
          <w:tcPr>
            <w:tcW w:w="2038" w:type="dxa"/>
            <w:gridSpan w:val="2"/>
            <w:tcBorders>
              <w:top w:val="nil"/>
              <w:left w:val="nil"/>
              <w:bottom w:val="nil"/>
              <w:right w:val="nil"/>
            </w:tcBorders>
            <w:noWrap/>
            <w:vAlign w:val="bottom"/>
            <w:hideMark/>
          </w:tcPr>
          <w:p w14:paraId="5A3E9FE2" w14:textId="77777777" w:rsidR="008670C1" w:rsidRPr="00A40ED9" w:rsidRDefault="008670C1" w:rsidP="006B204A">
            <w:pPr>
              <w:spacing w:after="0" w:line="240" w:lineRule="auto"/>
              <w:rPr>
                <w:rFonts w:eastAsia="Times New Roman"/>
                <w:lang w:val="es-DO"/>
              </w:rPr>
            </w:pPr>
          </w:p>
        </w:tc>
        <w:tc>
          <w:tcPr>
            <w:tcW w:w="1753" w:type="dxa"/>
            <w:tcBorders>
              <w:top w:val="nil"/>
              <w:left w:val="nil"/>
              <w:bottom w:val="nil"/>
              <w:right w:val="nil"/>
            </w:tcBorders>
            <w:noWrap/>
            <w:vAlign w:val="bottom"/>
            <w:hideMark/>
          </w:tcPr>
          <w:p w14:paraId="2F889791" w14:textId="77777777" w:rsidR="008670C1" w:rsidRPr="00A40ED9" w:rsidRDefault="008670C1" w:rsidP="006B204A">
            <w:pPr>
              <w:spacing w:after="0" w:line="240" w:lineRule="auto"/>
              <w:rPr>
                <w:rFonts w:eastAsia="Times New Roman"/>
                <w:lang w:val="es-DO"/>
              </w:rPr>
            </w:pPr>
          </w:p>
        </w:tc>
        <w:tc>
          <w:tcPr>
            <w:tcW w:w="1718" w:type="dxa"/>
            <w:gridSpan w:val="2"/>
            <w:tcBorders>
              <w:top w:val="nil"/>
              <w:left w:val="nil"/>
              <w:bottom w:val="nil"/>
              <w:right w:val="nil"/>
            </w:tcBorders>
            <w:noWrap/>
            <w:vAlign w:val="bottom"/>
            <w:hideMark/>
          </w:tcPr>
          <w:p w14:paraId="2D084C1B" w14:textId="77777777" w:rsidR="008670C1" w:rsidRDefault="008670C1" w:rsidP="006B204A">
            <w:pPr>
              <w:spacing w:after="0" w:line="240" w:lineRule="auto"/>
              <w:rPr>
                <w:rFonts w:eastAsia="Times New Roman"/>
                <w:lang w:val="es-DO"/>
              </w:rPr>
            </w:pPr>
          </w:p>
          <w:p w14:paraId="262B4FD2" w14:textId="77777777" w:rsidR="000C6843" w:rsidRPr="00A40ED9" w:rsidRDefault="000C6843" w:rsidP="006B204A">
            <w:pPr>
              <w:spacing w:after="0" w:line="240" w:lineRule="auto"/>
              <w:rPr>
                <w:rFonts w:eastAsia="Times New Roman"/>
                <w:lang w:val="es-DO"/>
              </w:rPr>
            </w:pPr>
          </w:p>
        </w:tc>
      </w:tr>
      <w:tr w:rsidR="006D1150" w:rsidRPr="00A40ED9" w14:paraId="3CFF15BF" w14:textId="77777777" w:rsidTr="00BE0AFF">
        <w:trPr>
          <w:trHeight w:val="241"/>
          <w:jc w:val="center"/>
        </w:trPr>
        <w:tc>
          <w:tcPr>
            <w:tcW w:w="3043" w:type="dxa"/>
            <w:gridSpan w:val="2"/>
            <w:tcBorders>
              <w:top w:val="nil"/>
              <w:left w:val="nil"/>
              <w:bottom w:val="nil"/>
              <w:right w:val="nil"/>
            </w:tcBorders>
            <w:noWrap/>
            <w:vAlign w:val="bottom"/>
          </w:tcPr>
          <w:p w14:paraId="6879B94D" w14:textId="77777777" w:rsidR="006D1150" w:rsidRPr="00A40ED9" w:rsidRDefault="006D1150" w:rsidP="006B204A">
            <w:pPr>
              <w:spacing w:after="0" w:line="240" w:lineRule="auto"/>
              <w:jc w:val="center"/>
              <w:rPr>
                <w:lang w:val="es-DO"/>
              </w:rPr>
            </w:pPr>
          </w:p>
        </w:tc>
        <w:tc>
          <w:tcPr>
            <w:tcW w:w="2038" w:type="dxa"/>
            <w:gridSpan w:val="2"/>
            <w:tcBorders>
              <w:top w:val="nil"/>
              <w:left w:val="nil"/>
              <w:bottom w:val="nil"/>
              <w:right w:val="nil"/>
            </w:tcBorders>
            <w:noWrap/>
            <w:vAlign w:val="bottom"/>
          </w:tcPr>
          <w:p w14:paraId="20C6A3E7" w14:textId="77777777" w:rsidR="006D1150" w:rsidRPr="00A40ED9" w:rsidRDefault="006D1150" w:rsidP="006B204A">
            <w:pPr>
              <w:spacing w:after="0" w:line="240" w:lineRule="auto"/>
              <w:rPr>
                <w:rFonts w:eastAsia="Times New Roman"/>
                <w:lang w:val="es-DO"/>
              </w:rPr>
            </w:pPr>
          </w:p>
        </w:tc>
        <w:tc>
          <w:tcPr>
            <w:tcW w:w="1753" w:type="dxa"/>
            <w:tcBorders>
              <w:top w:val="nil"/>
              <w:left w:val="nil"/>
              <w:bottom w:val="nil"/>
              <w:right w:val="nil"/>
            </w:tcBorders>
            <w:noWrap/>
            <w:vAlign w:val="bottom"/>
          </w:tcPr>
          <w:p w14:paraId="7F8AA217" w14:textId="77777777" w:rsidR="006D1150" w:rsidRPr="00A40ED9" w:rsidRDefault="006D1150" w:rsidP="006B204A">
            <w:pPr>
              <w:spacing w:after="0" w:line="240" w:lineRule="auto"/>
              <w:rPr>
                <w:rFonts w:eastAsia="Times New Roman"/>
                <w:lang w:val="es-DO"/>
              </w:rPr>
            </w:pPr>
          </w:p>
        </w:tc>
        <w:tc>
          <w:tcPr>
            <w:tcW w:w="1718" w:type="dxa"/>
            <w:gridSpan w:val="2"/>
            <w:tcBorders>
              <w:top w:val="nil"/>
              <w:left w:val="nil"/>
              <w:bottom w:val="nil"/>
              <w:right w:val="nil"/>
            </w:tcBorders>
            <w:noWrap/>
            <w:vAlign w:val="bottom"/>
          </w:tcPr>
          <w:p w14:paraId="04795002" w14:textId="77777777" w:rsidR="006D1150" w:rsidRDefault="006D1150" w:rsidP="006B204A">
            <w:pPr>
              <w:spacing w:after="0" w:line="240" w:lineRule="auto"/>
              <w:rPr>
                <w:rFonts w:eastAsia="Times New Roman"/>
                <w:lang w:val="es-DO"/>
              </w:rPr>
            </w:pPr>
          </w:p>
        </w:tc>
      </w:tr>
      <w:tr w:rsidR="00452802" w:rsidRPr="00A40ED9" w14:paraId="5F3D14B1" w14:textId="77777777" w:rsidTr="00BE0AFF">
        <w:trPr>
          <w:trHeight w:val="241"/>
          <w:jc w:val="center"/>
        </w:trPr>
        <w:tc>
          <w:tcPr>
            <w:tcW w:w="3043" w:type="dxa"/>
            <w:gridSpan w:val="2"/>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706697C3" w14:textId="77777777" w:rsidR="008670C1" w:rsidRPr="00A40ED9" w:rsidRDefault="008670C1" w:rsidP="006B204A">
            <w:pPr>
              <w:spacing w:after="0" w:line="360" w:lineRule="auto"/>
              <w:rPr>
                <w:rFonts w:eastAsia="Times New Roman"/>
                <w:b/>
                <w:bCs/>
                <w:color w:val="FFFFFF"/>
                <w:lang w:val="es-DO"/>
              </w:rPr>
            </w:pPr>
            <w:r w:rsidRPr="00A40ED9">
              <w:rPr>
                <w:rFonts w:eastAsia="Times New Roman"/>
                <w:b/>
                <w:bCs/>
                <w:color w:val="FFFFFF"/>
                <w:lang w:val="es-DO"/>
              </w:rPr>
              <w:t>Materiales y suministros</w:t>
            </w:r>
          </w:p>
        </w:tc>
        <w:tc>
          <w:tcPr>
            <w:tcW w:w="2038" w:type="dxa"/>
            <w:gridSpan w:val="2"/>
            <w:tcBorders>
              <w:top w:val="single" w:sz="8" w:space="0" w:color="auto"/>
              <w:left w:val="nil"/>
              <w:bottom w:val="single" w:sz="8" w:space="0" w:color="auto"/>
              <w:right w:val="single" w:sz="8" w:space="0" w:color="auto"/>
            </w:tcBorders>
            <w:shd w:val="clear" w:color="000000" w:fill="003876"/>
            <w:noWrap/>
            <w:vAlign w:val="center"/>
            <w:hideMark/>
          </w:tcPr>
          <w:p w14:paraId="2AD90369"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Presupuesto</w:t>
            </w:r>
          </w:p>
        </w:tc>
        <w:tc>
          <w:tcPr>
            <w:tcW w:w="1753" w:type="dxa"/>
            <w:tcBorders>
              <w:top w:val="single" w:sz="8" w:space="0" w:color="auto"/>
              <w:left w:val="nil"/>
              <w:bottom w:val="single" w:sz="8" w:space="0" w:color="auto"/>
              <w:right w:val="single" w:sz="8" w:space="0" w:color="auto"/>
            </w:tcBorders>
            <w:shd w:val="clear" w:color="000000" w:fill="003876"/>
            <w:noWrap/>
            <w:vAlign w:val="center"/>
            <w:hideMark/>
          </w:tcPr>
          <w:p w14:paraId="62649874"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Ejecutado</w:t>
            </w:r>
          </w:p>
        </w:tc>
        <w:tc>
          <w:tcPr>
            <w:tcW w:w="1718" w:type="dxa"/>
            <w:gridSpan w:val="2"/>
            <w:tcBorders>
              <w:top w:val="single" w:sz="8" w:space="0" w:color="auto"/>
              <w:left w:val="nil"/>
              <w:bottom w:val="single" w:sz="8" w:space="0" w:color="auto"/>
              <w:right w:val="single" w:sz="8" w:space="0" w:color="auto"/>
            </w:tcBorders>
            <w:shd w:val="clear" w:color="000000" w:fill="003876"/>
            <w:noWrap/>
            <w:vAlign w:val="center"/>
            <w:hideMark/>
          </w:tcPr>
          <w:p w14:paraId="483974A7"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Balance</w:t>
            </w:r>
          </w:p>
        </w:tc>
      </w:tr>
      <w:tr w:rsidR="008670C1" w:rsidRPr="00A40ED9" w14:paraId="00CD0D3A"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454FA4F7"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Alimentos y productos agroforestales</w:t>
            </w:r>
          </w:p>
        </w:tc>
        <w:tc>
          <w:tcPr>
            <w:tcW w:w="2038" w:type="dxa"/>
            <w:gridSpan w:val="2"/>
            <w:tcBorders>
              <w:top w:val="nil"/>
              <w:left w:val="nil"/>
              <w:bottom w:val="single" w:sz="8" w:space="0" w:color="auto"/>
              <w:right w:val="single" w:sz="8" w:space="0" w:color="auto"/>
            </w:tcBorders>
            <w:noWrap/>
            <w:vAlign w:val="center"/>
            <w:hideMark/>
          </w:tcPr>
          <w:p w14:paraId="1B786954" w14:textId="77777777" w:rsidR="008670C1" w:rsidRPr="00A40ED9" w:rsidRDefault="008670C1" w:rsidP="006B204A">
            <w:pPr>
              <w:spacing w:after="0" w:line="360" w:lineRule="auto"/>
              <w:jc w:val="center"/>
              <w:rPr>
                <w:rFonts w:eastAsia="Times New Roman"/>
                <w:lang w:val="es-DO"/>
              </w:rPr>
            </w:pPr>
            <w:r w:rsidRPr="00A40ED9">
              <w:rPr>
                <w:lang w:val="es-DO"/>
              </w:rPr>
              <w:t xml:space="preserve"> 22,111,056 </w:t>
            </w:r>
          </w:p>
        </w:tc>
        <w:tc>
          <w:tcPr>
            <w:tcW w:w="1753" w:type="dxa"/>
            <w:tcBorders>
              <w:top w:val="nil"/>
              <w:left w:val="nil"/>
              <w:bottom w:val="single" w:sz="8" w:space="0" w:color="auto"/>
              <w:right w:val="single" w:sz="8" w:space="0" w:color="auto"/>
            </w:tcBorders>
            <w:noWrap/>
            <w:vAlign w:val="center"/>
            <w:hideMark/>
          </w:tcPr>
          <w:p w14:paraId="756D8DEF" w14:textId="4E0B9A03" w:rsidR="008670C1" w:rsidRPr="00A40ED9" w:rsidRDefault="00CD3EDA" w:rsidP="006B204A">
            <w:pPr>
              <w:spacing w:after="0" w:line="360" w:lineRule="auto"/>
              <w:jc w:val="center"/>
              <w:rPr>
                <w:rFonts w:eastAsia="Times New Roman"/>
                <w:lang w:val="es-DO"/>
              </w:rPr>
            </w:pPr>
            <w:r w:rsidRPr="00CD3EDA">
              <w:rPr>
                <w:lang w:val="es-DO"/>
              </w:rPr>
              <w:t>13,207,935</w:t>
            </w:r>
          </w:p>
        </w:tc>
        <w:tc>
          <w:tcPr>
            <w:tcW w:w="1718" w:type="dxa"/>
            <w:gridSpan w:val="2"/>
            <w:tcBorders>
              <w:top w:val="nil"/>
              <w:left w:val="nil"/>
              <w:bottom w:val="single" w:sz="8" w:space="0" w:color="auto"/>
              <w:right w:val="single" w:sz="8" w:space="0" w:color="auto"/>
            </w:tcBorders>
            <w:noWrap/>
            <w:vAlign w:val="center"/>
            <w:hideMark/>
          </w:tcPr>
          <w:p w14:paraId="06EB028A" w14:textId="77E65A4C" w:rsidR="008670C1" w:rsidRPr="00A40ED9" w:rsidRDefault="00CD3EDA" w:rsidP="006B204A">
            <w:pPr>
              <w:spacing w:after="0" w:line="360" w:lineRule="auto"/>
              <w:jc w:val="center"/>
              <w:rPr>
                <w:rFonts w:eastAsia="Times New Roman"/>
                <w:lang w:val="es-DO"/>
              </w:rPr>
            </w:pPr>
            <w:r w:rsidRPr="00CD3EDA">
              <w:rPr>
                <w:lang w:val="es-DO"/>
              </w:rPr>
              <w:t>8,903,121</w:t>
            </w:r>
          </w:p>
        </w:tc>
      </w:tr>
      <w:tr w:rsidR="008670C1" w:rsidRPr="00A40ED9" w14:paraId="36F02FAA"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55811A2C"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Textiles y vestuarios</w:t>
            </w:r>
          </w:p>
        </w:tc>
        <w:tc>
          <w:tcPr>
            <w:tcW w:w="2038" w:type="dxa"/>
            <w:gridSpan w:val="2"/>
            <w:tcBorders>
              <w:top w:val="nil"/>
              <w:left w:val="nil"/>
              <w:bottom w:val="single" w:sz="8" w:space="0" w:color="auto"/>
              <w:right w:val="single" w:sz="8" w:space="0" w:color="auto"/>
            </w:tcBorders>
            <w:noWrap/>
            <w:vAlign w:val="center"/>
            <w:hideMark/>
          </w:tcPr>
          <w:p w14:paraId="54D5FB5A" w14:textId="77777777" w:rsidR="008670C1" w:rsidRPr="00A40ED9" w:rsidRDefault="008670C1" w:rsidP="006B204A">
            <w:pPr>
              <w:spacing w:after="0" w:line="360" w:lineRule="auto"/>
              <w:jc w:val="center"/>
              <w:rPr>
                <w:rFonts w:eastAsia="Times New Roman"/>
                <w:lang w:val="es-DO"/>
              </w:rPr>
            </w:pPr>
            <w:r w:rsidRPr="00A40ED9">
              <w:rPr>
                <w:lang w:val="es-DO"/>
              </w:rPr>
              <w:t xml:space="preserve"> 358,103 </w:t>
            </w:r>
          </w:p>
        </w:tc>
        <w:tc>
          <w:tcPr>
            <w:tcW w:w="1753" w:type="dxa"/>
            <w:tcBorders>
              <w:top w:val="nil"/>
              <w:left w:val="nil"/>
              <w:bottom w:val="single" w:sz="8" w:space="0" w:color="auto"/>
              <w:right w:val="single" w:sz="8" w:space="0" w:color="auto"/>
            </w:tcBorders>
            <w:noWrap/>
            <w:vAlign w:val="center"/>
            <w:hideMark/>
          </w:tcPr>
          <w:p w14:paraId="30188A2E" w14:textId="1D0B1C76" w:rsidR="008670C1" w:rsidRPr="00A40ED9" w:rsidRDefault="00CD3EDA" w:rsidP="006B204A">
            <w:pPr>
              <w:spacing w:after="0" w:line="360" w:lineRule="auto"/>
              <w:jc w:val="center"/>
              <w:rPr>
                <w:rFonts w:eastAsia="Times New Roman"/>
                <w:lang w:val="es-DO"/>
              </w:rPr>
            </w:pPr>
            <w:r w:rsidRPr="00CD3EDA">
              <w:rPr>
                <w:lang w:val="es-DO"/>
              </w:rPr>
              <w:t>601,256</w:t>
            </w:r>
          </w:p>
        </w:tc>
        <w:tc>
          <w:tcPr>
            <w:tcW w:w="1718" w:type="dxa"/>
            <w:gridSpan w:val="2"/>
            <w:tcBorders>
              <w:top w:val="nil"/>
              <w:left w:val="nil"/>
              <w:bottom w:val="single" w:sz="8" w:space="0" w:color="auto"/>
              <w:right w:val="single" w:sz="8" w:space="0" w:color="auto"/>
            </w:tcBorders>
            <w:noWrap/>
            <w:vAlign w:val="center"/>
            <w:hideMark/>
          </w:tcPr>
          <w:p w14:paraId="3879E26D" w14:textId="054EB5B8" w:rsidR="008670C1" w:rsidRPr="00A40ED9" w:rsidRDefault="00CD3EDA" w:rsidP="006B204A">
            <w:pPr>
              <w:spacing w:after="0" w:line="360" w:lineRule="auto"/>
              <w:jc w:val="center"/>
              <w:rPr>
                <w:rFonts w:eastAsia="Times New Roman"/>
                <w:lang w:val="es-DO"/>
              </w:rPr>
            </w:pPr>
            <w:r w:rsidRPr="00CD3EDA">
              <w:rPr>
                <w:lang w:val="es-DO"/>
              </w:rPr>
              <w:t>-243,153</w:t>
            </w:r>
          </w:p>
        </w:tc>
      </w:tr>
      <w:tr w:rsidR="008670C1" w:rsidRPr="00A40ED9" w14:paraId="407449F4"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37614BD9"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Productos de papel, cartón e impresos</w:t>
            </w:r>
          </w:p>
        </w:tc>
        <w:tc>
          <w:tcPr>
            <w:tcW w:w="2038" w:type="dxa"/>
            <w:gridSpan w:val="2"/>
            <w:tcBorders>
              <w:top w:val="nil"/>
              <w:left w:val="nil"/>
              <w:bottom w:val="single" w:sz="8" w:space="0" w:color="auto"/>
              <w:right w:val="single" w:sz="8" w:space="0" w:color="auto"/>
            </w:tcBorders>
            <w:noWrap/>
            <w:vAlign w:val="center"/>
            <w:hideMark/>
          </w:tcPr>
          <w:p w14:paraId="2AA79B6D" w14:textId="77777777" w:rsidR="008670C1" w:rsidRPr="00A40ED9" w:rsidRDefault="008670C1" w:rsidP="006B204A">
            <w:pPr>
              <w:spacing w:after="0" w:line="360" w:lineRule="auto"/>
              <w:jc w:val="center"/>
              <w:rPr>
                <w:rFonts w:eastAsia="Times New Roman"/>
                <w:lang w:val="es-DO"/>
              </w:rPr>
            </w:pPr>
            <w:r w:rsidRPr="00A40ED9">
              <w:rPr>
                <w:lang w:val="es-DO"/>
              </w:rPr>
              <w:t xml:space="preserve"> 6,222,216 </w:t>
            </w:r>
          </w:p>
        </w:tc>
        <w:tc>
          <w:tcPr>
            <w:tcW w:w="1753" w:type="dxa"/>
            <w:tcBorders>
              <w:top w:val="nil"/>
              <w:left w:val="nil"/>
              <w:bottom w:val="single" w:sz="8" w:space="0" w:color="auto"/>
              <w:right w:val="single" w:sz="8" w:space="0" w:color="auto"/>
            </w:tcBorders>
            <w:noWrap/>
            <w:vAlign w:val="center"/>
            <w:hideMark/>
          </w:tcPr>
          <w:p w14:paraId="7B026508" w14:textId="083567BB" w:rsidR="008670C1" w:rsidRPr="00A40ED9" w:rsidRDefault="00CD3EDA" w:rsidP="006B204A">
            <w:pPr>
              <w:spacing w:after="0" w:line="360" w:lineRule="auto"/>
              <w:jc w:val="center"/>
              <w:rPr>
                <w:rFonts w:eastAsia="Times New Roman"/>
                <w:lang w:val="es-DO"/>
              </w:rPr>
            </w:pPr>
            <w:r w:rsidRPr="00CD3EDA">
              <w:rPr>
                <w:lang w:val="es-DO"/>
              </w:rPr>
              <w:t>1,528,039</w:t>
            </w:r>
          </w:p>
        </w:tc>
        <w:tc>
          <w:tcPr>
            <w:tcW w:w="1718" w:type="dxa"/>
            <w:gridSpan w:val="2"/>
            <w:tcBorders>
              <w:top w:val="nil"/>
              <w:left w:val="nil"/>
              <w:bottom w:val="single" w:sz="8" w:space="0" w:color="auto"/>
              <w:right w:val="single" w:sz="8" w:space="0" w:color="auto"/>
            </w:tcBorders>
            <w:noWrap/>
            <w:vAlign w:val="center"/>
            <w:hideMark/>
          </w:tcPr>
          <w:p w14:paraId="25EAEC34" w14:textId="658CD8E5" w:rsidR="008670C1" w:rsidRPr="00A40ED9" w:rsidRDefault="00CD3EDA" w:rsidP="006B204A">
            <w:pPr>
              <w:spacing w:after="0" w:line="360" w:lineRule="auto"/>
              <w:jc w:val="center"/>
              <w:rPr>
                <w:rFonts w:eastAsia="Times New Roman"/>
                <w:lang w:val="es-DO"/>
              </w:rPr>
            </w:pPr>
            <w:r w:rsidRPr="00CD3EDA">
              <w:rPr>
                <w:lang w:val="es-DO"/>
              </w:rPr>
              <w:t>4,694,177</w:t>
            </w:r>
          </w:p>
        </w:tc>
      </w:tr>
      <w:tr w:rsidR="008670C1" w:rsidRPr="00A40ED9" w14:paraId="40CD6291"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4845DEEC"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Productos farmacéuticos</w:t>
            </w:r>
          </w:p>
        </w:tc>
        <w:tc>
          <w:tcPr>
            <w:tcW w:w="2038" w:type="dxa"/>
            <w:gridSpan w:val="2"/>
            <w:tcBorders>
              <w:top w:val="nil"/>
              <w:left w:val="nil"/>
              <w:bottom w:val="single" w:sz="8" w:space="0" w:color="auto"/>
              <w:right w:val="single" w:sz="8" w:space="0" w:color="auto"/>
            </w:tcBorders>
            <w:noWrap/>
            <w:vAlign w:val="center"/>
            <w:hideMark/>
          </w:tcPr>
          <w:p w14:paraId="3B85CFF0" w14:textId="77777777" w:rsidR="008670C1" w:rsidRPr="00A40ED9" w:rsidRDefault="008670C1" w:rsidP="006B204A">
            <w:pPr>
              <w:spacing w:after="0" w:line="360" w:lineRule="auto"/>
              <w:jc w:val="center"/>
              <w:rPr>
                <w:rFonts w:eastAsia="Times New Roman"/>
                <w:lang w:val="es-DO"/>
              </w:rPr>
            </w:pPr>
            <w:r w:rsidRPr="00A40ED9">
              <w:rPr>
                <w:lang w:val="es-DO"/>
              </w:rPr>
              <w:t xml:space="preserve"> 144,405 </w:t>
            </w:r>
          </w:p>
        </w:tc>
        <w:tc>
          <w:tcPr>
            <w:tcW w:w="1753" w:type="dxa"/>
            <w:tcBorders>
              <w:top w:val="nil"/>
              <w:left w:val="nil"/>
              <w:bottom w:val="single" w:sz="8" w:space="0" w:color="auto"/>
              <w:right w:val="single" w:sz="8" w:space="0" w:color="auto"/>
            </w:tcBorders>
            <w:noWrap/>
            <w:vAlign w:val="center"/>
            <w:hideMark/>
          </w:tcPr>
          <w:p w14:paraId="1786F99D" w14:textId="77777777" w:rsidR="008670C1" w:rsidRPr="00A40ED9" w:rsidRDefault="008670C1" w:rsidP="006B204A">
            <w:pPr>
              <w:spacing w:after="0" w:line="360" w:lineRule="auto"/>
              <w:jc w:val="center"/>
              <w:rPr>
                <w:rFonts w:eastAsia="Times New Roman"/>
                <w:lang w:val="es-DO"/>
              </w:rPr>
            </w:pPr>
            <w:r w:rsidRPr="00A40ED9">
              <w:rPr>
                <w:lang w:val="es-DO"/>
              </w:rPr>
              <w:t>94,755</w:t>
            </w:r>
          </w:p>
        </w:tc>
        <w:tc>
          <w:tcPr>
            <w:tcW w:w="1718" w:type="dxa"/>
            <w:gridSpan w:val="2"/>
            <w:tcBorders>
              <w:top w:val="nil"/>
              <w:left w:val="nil"/>
              <w:bottom w:val="single" w:sz="8" w:space="0" w:color="auto"/>
              <w:right w:val="single" w:sz="8" w:space="0" w:color="auto"/>
            </w:tcBorders>
            <w:noWrap/>
            <w:vAlign w:val="center"/>
            <w:hideMark/>
          </w:tcPr>
          <w:p w14:paraId="3022C431" w14:textId="77777777" w:rsidR="008670C1" w:rsidRPr="00A40ED9" w:rsidRDefault="008670C1" w:rsidP="006B204A">
            <w:pPr>
              <w:spacing w:after="0" w:line="360" w:lineRule="auto"/>
              <w:jc w:val="center"/>
              <w:rPr>
                <w:rFonts w:eastAsia="Times New Roman"/>
                <w:lang w:val="es-DO"/>
              </w:rPr>
            </w:pPr>
            <w:r w:rsidRPr="00A40ED9">
              <w:rPr>
                <w:lang w:val="es-DO"/>
              </w:rPr>
              <w:t>49,650</w:t>
            </w:r>
          </w:p>
        </w:tc>
      </w:tr>
      <w:tr w:rsidR="008670C1" w:rsidRPr="00A40ED9" w14:paraId="533EC6AB"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224B3B8E"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Productos de cuero, caucho y plástico</w:t>
            </w:r>
          </w:p>
        </w:tc>
        <w:tc>
          <w:tcPr>
            <w:tcW w:w="2038" w:type="dxa"/>
            <w:gridSpan w:val="2"/>
            <w:tcBorders>
              <w:top w:val="nil"/>
              <w:left w:val="nil"/>
              <w:bottom w:val="single" w:sz="8" w:space="0" w:color="auto"/>
              <w:right w:val="single" w:sz="8" w:space="0" w:color="auto"/>
            </w:tcBorders>
            <w:noWrap/>
            <w:vAlign w:val="center"/>
            <w:hideMark/>
          </w:tcPr>
          <w:p w14:paraId="3B38791F" w14:textId="77777777" w:rsidR="008670C1" w:rsidRPr="00A40ED9" w:rsidRDefault="008670C1" w:rsidP="006B204A">
            <w:pPr>
              <w:spacing w:after="0" w:line="360" w:lineRule="auto"/>
              <w:jc w:val="center"/>
              <w:rPr>
                <w:rFonts w:eastAsia="Times New Roman"/>
                <w:lang w:val="es-DO"/>
              </w:rPr>
            </w:pPr>
            <w:r w:rsidRPr="00A40ED9">
              <w:rPr>
                <w:lang w:val="es-DO"/>
              </w:rPr>
              <w:t xml:space="preserve"> 85,588 </w:t>
            </w:r>
          </w:p>
        </w:tc>
        <w:tc>
          <w:tcPr>
            <w:tcW w:w="1753" w:type="dxa"/>
            <w:tcBorders>
              <w:top w:val="nil"/>
              <w:left w:val="nil"/>
              <w:bottom w:val="single" w:sz="8" w:space="0" w:color="auto"/>
              <w:right w:val="single" w:sz="8" w:space="0" w:color="auto"/>
            </w:tcBorders>
            <w:noWrap/>
            <w:vAlign w:val="center"/>
            <w:hideMark/>
          </w:tcPr>
          <w:p w14:paraId="008B7F7E" w14:textId="77777777" w:rsidR="008670C1" w:rsidRPr="00A40ED9" w:rsidRDefault="008670C1" w:rsidP="006B204A">
            <w:pPr>
              <w:spacing w:after="0" w:line="360" w:lineRule="auto"/>
              <w:jc w:val="center"/>
              <w:rPr>
                <w:rFonts w:eastAsia="Times New Roman"/>
                <w:lang w:val="es-DO"/>
              </w:rPr>
            </w:pPr>
            <w:r w:rsidRPr="00A40ED9">
              <w:rPr>
                <w:lang w:val="es-DO"/>
              </w:rPr>
              <w:t>208,789</w:t>
            </w:r>
          </w:p>
        </w:tc>
        <w:tc>
          <w:tcPr>
            <w:tcW w:w="1718" w:type="dxa"/>
            <w:gridSpan w:val="2"/>
            <w:tcBorders>
              <w:top w:val="nil"/>
              <w:left w:val="nil"/>
              <w:bottom w:val="single" w:sz="8" w:space="0" w:color="auto"/>
              <w:right w:val="single" w:sz="8" w:space="0" w:color="auto"/>
            </w:tcBorders>
            <w:noWrap/>
            <w:vAlign w:val="center"/>
            <w:hideMark/>
          </w:tcPr>
          <w:p w14:paraId="02A6C777" w14:textId="77777777" w:rsidR="008670C1" w:rsidRPr="00A40ED9" w:rsidRDefault="008670C1" w:rsidP="006B204A">
            <w:pPr>
              <w:spacing w:after="0" w:line="360" w:lineRule="auto"/>
              <w:jc w:val="center"/>
              <w:rPr>
                <w:rFonts w:eastAsia="Times New Roman"/>
                <w:lang w:val="es-DO"/>
              </w:rPr>
            </w:pPr>
            <w:r w:rsidRPr="00A40ED9">
              <w:rPr>
                <w:lang w:val="es-DO"/>
              </w:rPr>
              <w:t>-123,201</w:t>
            </w:r>
          </w:p>
        </w:tc>
      </w:tr>
      <w:tr w:rsidR="000C6843" w:rsidRPr="00A40ED9" w14:paraId="024CA0FA" w14:textId="77777777" w:rsidTr="003A11A2">
        <w:trPr>
          <w:trHeight w:val="241"/>
          <w:jc w:val="center"/>
        </w:trPr>
        <w:tc>
          <w:tcPr>
            <w:tcW w:w="3043" w:type="dxa"/>
            <w:gridSpan w:val="2"/>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3B6E0D34" w14:textId="77777777" w:rsidR="000C6843" w:rsidRPr="00A40ED9" w:rsidRDefault="000C6843" w:rsidP="003A11A2">
            <w:pPr>
              <w:spacing w:after="0" w:line="360" w:lineRule="auto"/>
              <w:rPr>
                <w:rFonts w:eastAsia="Times New Roman"/>
                <w:b/>
                <w:bCs/>
                <w:color w:val="FFFFFF"/>
                <w:lang w:val="es-DO"/>
              </w:rPr>
            </w:pPr>
            <w:r w:rsidRPr="00A40ED9">
              <w:rPr>
                <w:rFonts w:eastAsia="Times New Roman"/>
                <w:b/>
                <w:bCs/>
                <w:color w:val="FFFFFF"/>
                <w:lang w:val="es-DO"/>
              </w:rPr>
              <w:lastRenderedPageBreak/>
              <w:t>Materiales y suministros</w:t>
            </w:r>
          </w:p>
        </w:tc>
        <w:tc>
          <w:tcPr>
            <w:tcW w:w="2038" w:type="dxa"/>
            <w:gridSpan w:val="2"/>
            <w:tcBorders>
              <w:top w:val="single" w:sz="8" w:space="0" w:color="auto"/>
              <w:left w:val="nil"/>
              <w:bottom w:val="single" w:sz="8" w:space="0" w:color="auto"/>
              <w:right w:val="single" w:sz="8" w:space="0" w:color="auto"/>
            </w:tcBorders>
            <w:shd w:val="clear" w:color="000000" w:fill="003876"/>
            <w:noWrap/>
            <w:vAlign w:val="center"/>
            <w:hideMark/>
          </w:tcPr>
          <w:p w14:paraId="07FD60F5" w14:textId="77777777" w:rsidR="000C6843" w:rsidRPr="00A40ED9" w:rsidRDefault="000C6843" w:rsidP="003A11A2">
            <w:pPr>
              <w:spacing w:after="0" w:line="360" w:lineRule="auto"/>
              <w:jc w:val="center"/>
              <w:rPr>
                <w:rFonts w:eastAsia="Times New Roman"/>
                <w:b/>
                <w:bCs/>
                <w:color w:val="FFFFFF"/>
                <w:lang w:val="es-DO"/>
              </w:rPr>
            </w:pPr>
            <w:r w:rsidRPr="00A40ED9">
              <w:rPr>
                <w:rFonts w:eastAsia="Times New Roman"/>
                <w:b/>
                <w:bCs/>
                <w:color w:val="FFFFFF"/>
                <w:lang w:val="es-DO"/>
              </w:rPr>
              <w:t>Presupuesto</w:t>
            </w:r>
          </w:p>
        </w:tc>
        <w:tc>
          <w:tcPr>
            <w:tcW w:w="1753" w:type="dxa"/>
            <w:tcBorders>
              <w:top w:val="single" w:sz="8" w:space="0" w:color="auto"/>
              <w:left w:val="nil"/>
              <w:bottom w:val="single" w:sz="8" w:space="0" w:color="auto"/>
              <w:right w:val="single" w:sz="8" w:space="0" w:color="auto"/>
            </w:tcBorders>
            <w:shd w:val="clear" w:color="000000" w:fill="003876"/>
            <w:noWrap/>
            <w:vAlign w:val="center"/>
            <w:hideMark/>
          </w:tcPr>
          <w:p w14:paraId="1E7D3B0C" w14:textId="77777777" w:rsidR="000C6843" w:rsidRPr="00A40ED9" w:rsidRDefault="000C6843" w:rsidP="003A11A2">
            <w:pPr>
              <w:spacing w:after="0" w:line="360" w:lineRule="auto"/>
              <w:jc w:val="center"/>
              <w:rPr>
                <w:rFonts w:eastAsia="Times New Roman"/>
                <w:b/>
                <w:bCs/>
                <w:color w:val="FFFFFF"/>
                <w:lang w:val="es-DO"/>
              </w:rPr>
            </w:pPr>
            <w:r w:rsidRPr="00A40ED9">
              <w:rPr>
                <w:rFonts w:eastAsia="Times New Roman"/>
                <w:b/>
                <w:bCs/>
                <w:color w:val="FFFFFF"/>
                <w:lang w:val="es-DO"/>
              </w:rPr>
              <w:t>Ejecutado</w:t>
            </w:r>
          </w:p>
        </w:tc>
        <w:tc>
          <w:tcPr>
            <w:tcW w:w="1718" w:type="dxa"/>
            <w:gridSpan w:val="2"/>
            <w:tcBorders>
              <w:top w:val="single" w:sz="8" w:space="0" w:color="auto"/>
              <w:left w:val="nil"/>
              <w:bottom w:val="single" w:sz="8" w:space="0" w:color="auto"/>
              <w:right w:val="single" w:sz="8" w:space="0" w:color="auto"/>
            </w:tcBorders>
            <w:shd w:val="clear" w:color="000000" w:fill="003876"/>
            <w:noWrap/>
            <w:vAlign w:val="center"/>
            <w:hideMark/>
          </w:tcPr>
          <w:p w14:paraId="454EFCFF" w14:textId="77777777" w:rsidR="000C6843" w:rsidRPr="00A40ED9" w:rsidRDefault="000C6843" w:rsidP="003A11A2">
            <w:pPr>
              <w:spacing w:after="0" w:line="360" w:lineRule="auto"/>
              <w:jc w:val="center"/>
              <w:rPr>
                <w:rFonts w:eastAsia="Times New Roman"/>
                <w:b/>
                <w:bCs/>
                <w:color w:val="FFFFFF"/>
                <w:lang w:val="es-DO"/>
              </w:rPr>
            </w:pPr>
            <w:r w:rsidRPr="00A40ED9">
              <w:rPr>
                <w:rFonts w:eastAsia="Times New Roman"/>
                <w:b/>
                <w:bCs/>
                <w:color w:val="FFFFFF"/>
                <w:lang w:val="es-DO"/>
              </w:rPr>
              <w:t>Balance</w:t>
            </w:r>
          </w:p>
        </w:tc>
      </w:tr>
      <w:tr w:rsidR="008670C1" w:rsidRPr="00A40ED9" w14:paraId="7D1682D7"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2A587A6E"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Productos de minerales, metálicos y no metálicos</w:t>
            </w:r>
          </w:p>
        </w:tc>
        <w:tc>
          <w:tcPr>
            <w:tcW w:w="2038" w:type="dxa"/>
            <w:gridSpan w:val="2"/>
            <w:tcBorders>
              <w:top w:val="nil"/>
              <w:left w:val="nil"/>
              <w:bottom w:val="single" w:sz="8" w:space="0" w:color="auto"/>
              <w:right w:val="single" w:sz="8" w:space="0" w:color="auto"/>
            </w:tcBorders>
            <w:noWrap/>
            <w:vAlign w:val="center"/>
            <w:hideMark/>
          </w:tcPr>
          <w:p w14:paraId="1F5D9332" w14:textId="77777777" w:rsidR="008670C1" w:rsidRPr="00A40ED9" w:rsidRDefault="008670C1" w:rsidP="006B204A">
            <w:pPr>
              <w:spacing w:after="0" w:line="360" w:lineRule="auto"/>
              <w:jc w:val="center"/>
              <w:rPr>
                <w:rFonts w:eastAsia="Times New Roman"/>
                <w:lang w:val="es-DO"/>
              </w:rPr>
            </w:pPr>
            <w:r w:rsidRPr="00A40ED9">
              <w:rPr>
                <w:lang w:val="es-DO"/>
              </w:rPr>
              <w:t xml:space="preserve"> 783,821 </w:t>
            </w:r>
          </w:p>
        </w:tc>
        <w:tc>
          <w:tcPr>
            <w:tcW w:w="1753" w:type="dxa"/>
            <w:tcBorders>
              <w:top w:val="nil"/>
              <w:left w:val="nil"/>
              <w:bottom w:val="single" w:sz="8" w:space="0" w:color="auto"/>
              <w:right w:val="single" w:sz="8" w:space="0" w:color="auto"/>
            </w:tcBorders>
            <w:noWrap/>
            <w:vAlign w:val="center"/>
            <w:hideMark/>
          </w:tcPr>
          <w:p w14:paraId="63E4B8B5" w14:textId="0598FB81" w:rsidR="008670C1" w:rsidRPr="00A40ED9" w:rsidRDefault="00CD3EDA" w:rsidP="006B204A">
            <w:pPr>
              <w:spacing w:after="0" w:line="360" w:lineRule="auto"/>
              <w:jc w:val="center"/>
              <w:rPr>
                <w:rFonts w:eastAsia="Times New Roman"/>
                <w:lang w:val="es-DO"/>
              </w:rPr>
            </w:pPr>
            <w:r w:rsidRPr="00CD3EDA">
              <w:rPr>
                <w:lang w:val="es-DO"/>
              </w:rPr>
              <w:t>136,427</w:t>
            </w:r>
          </w:p>
        </w:tc>
        <w:tc>
          <w:tcPr>
            <w:tcW w:w="1718" w:type="dxa"/>
            <w:gridSpan w:val="2"/>
            <w:tcBorders>
              <w:top w:val="nil"/>
              <w:left w:val="nil"/>
              <w:bottom w:val="single" w:sz="8" w:space="0" w:color="auto"/>
              <w:right w:val="single" w:sz="8" w:space="0" w:color="auto"/>
            </w:tcBorders>
            <w:noWrap/>
            <w:vAlign w:val="center"/>
            <w:hideMark/>
          </w:tcPr>
          <w:p w14:paraId="588EE5E6" w14:textId="2FE779E7" w:rsidR="008670C1" w:rsidRPr="00A40ED9" w:rsidRDefault="00CD3EDA" w:rsidP="006B204A">
            <w:pPr>
              <w:spacing w:after="0" w:line="360" w:lineRule="auto"/>
              <w:jc w:val="center"/>
              <w:rPr>
                <w:rFonts w:eastAsia="Times New Roman"/>
                <w:lang w:val="es-DO"/>
              </w:rPr>
            </w:pPr>
            <w:r w:rsidRPr="00CD3EDA">
              <w:rPr>
                <w:lang w:val="es-DO"/>
              </w:rPr>
              <w:t>647,394</w:t>
            </w:r>
          </w:p>
        </w:tc>
      </w:tr>
      <w:tr w:rsidR="008670C1" w:rsidRPr="00A40ED9" w14:paraId="2B0080F4"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63A66D96"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Combustibles, lubricantes, productos químicos y conexos</w:t>
            </w:r>
          </w:p>
        </w:tc>
        <w:tc>
          <w:tcPr>
            <w:tcW w:w="2038" w:type="dxa"/>
            <w:gridSpan w:val="2"/>
            <w:tcBorders>
              <w:top w:val="nil"/>
              <w:left w:val="nil"/>
              <w:bottom w:val="single" w:sz="8" w:space="0" w:color="auto"/>
              <w:right w:val="single" w:sz="8" w:space="0" w:color="auto"/>
            </w:tcBorders>
            <w:noWrap/>
            <w:vAlign w:val="center"/>
            <w:hideMark/>
          </w:tcPr>
          <w:p w14:paraId="02C6FA86" w14:textId="77777777" w:rsidR="008670C1" w:rsidRPr="00A40ED9" w:rsidRDefault="008670C1" w:rsidP="006B204A">
            <w:pPr>
              <w:spacing w:after="0" w:line="360" w:lineRule="auto"/>
              <w:jc w:val="center"/>
              <w:rPr>
                <w:rFonts w:eastAsia="Times New Roman"/>
                <w:lang w:val="es-DO"/>
              </w:rPr>
            </w:pPr>
            <w:r w:rsidRPr="00A40ED9">
              <w:rPr>
                <w:lang w:val="es-DO"/>
              </w:rPr>
              <w:t xml:space="preserve"> 4,392,092 </w:t>
            </w:r>
          </w:p>
        </w:tc>
        <w:tc>
          <w:tcPr>
            <w:tcW w:w="1753" w:type="dxa"/>
            <w:tcBorders>
              <w:top w:val="nil"/>
              <w:left w:val="nil"/>
              <w:bottom w:val="single" w:sz="8" w:space="0" w:color="auto"/>
              <w:right w:val="single" w:sz="8" w:space="0" w:color="auto"/>
            </w:tcBorders>
            <w:noWrap/>
            <w:vAlign w:val="center"/>
            <w:hideMark/>
          </w:tcPr>
          <w:p w14:paraId="268590CB" w14:textId="5AD4041C" w:rsidR="008670C1" w:rsidRPr="00A40ED9" w:rsidRDefault="00CD3EDA" w:rsidP="006B204A">
            <w:pPr>
              <w:spacing w:after="0" w:line="360" w:lineRule="auto"/>
              <w:jc w:val="center"/>
              <w:rPr>
                <w:rFonts w:eastAsia="Times New Roman"/>
                <w:lang w:val="es-DO"/>
              </w:rPr>
            </w:pPr>
            <w:r w:rsidRPr="00CD3EDA">
              <w:rPr>
                <w:lang w:val="es-DO"/>
              </w:rPr>
              <w:t>3,132,733</w:t>
            </w:r>
          </w:p>
        </w:tc>
        <w:tc>
          <w:tcPr>
            <w:tcW w:w="1718" w:type="dxa"/>
            <w:gridSpan w:val="2"/>
            <w:tcBorders>
              <w:top w:val="nil"/>
              <w:left w:val="nil"/>
              <w:bottom w:val="single" w:sz="8" w:space="0" w:color="auto"/>
              <w:right w:val="single" w:sz="8" w:space="0" w:color="auto"/>
            </w:tcBorders>
            <w:noWrap/>
            <w:vAlign w:val="center"/>
            <w:hideMark/>
          </w:tcPr>
          <w:p w14:paraId="6D10725E" w14:textId="6171383E" w:rsidR="008670C1" w:rsidRPr="00A40ED9" w:rsidRDefault="00CD3EDA" w:rsidP="006B204A">
            <w:pPr>
              <w:spacing w:after="0" w:line="360" w:lineRule="auto"/>
              <w:jc w:val="center"/>
              <w:rPr>
                <w:rFonts w:eastAsia="Times New Roman"/>
                <w:lang w:val="es-DO"/>
              </w:rPr>
            </w:pPr>
            <w:r w:rsidRPr="00CD3EDA">
              <w:rPr>
                <w:lang w:val="es-DO"/>
              </w:rPr>
              <w:t>1,259,359</w:t>
            </w:r>
          </w:p>
        </w:tc>
      </w:tr>
      <w:tr w:rsidR="00CD3EDA" w:rsidRPr="00A40ED9" w14:paraId="6C16AED0"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4D5FCD68"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t>Gastos que se asignarán durante el ejercicio (art. 32 y 33 ley 423</w:t>
            </w:r>
          </w:p>
        </w:tc>
        <w:tc>
          <w:tcPr>
            <w:tcW w:w="2038" w:type="dxa"/>
            <w:gridSpan w:val="2"/>
            <w:tcBorders>
              <w:top w:val="nil"/>
              <w:left w:val="nil"/>
              <w:bottom w:val="single" w:sz="8" w:space="0" w:color="auto"/>
              <w:right w:val="single" w:sz="8" w:space="0" w:color="auto"/>
            </w:tcBorders>
            <w:noWrap/>
            <w:vAlign w:val="center"/>
            <w:hideMark/>
          </w:tcPr>
          <w:p w14:paraId="6F57F488" w14:textId="77777777"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753" w:type="dxa"/>
            <w:tcBorders>
              <w:top w:val="nil"/>
              <w:left w:val="nil"/>
              <w:bottom w:val="single" w:sz="8" w:space="0" w:color="auto"/>
              <w:right w:val="single" w:sz="8" w:space="0" w:color="auto"/>
            </w:tcBorders>
            <w:noWrap/>
            <w:vAlign w:val="center"/>
            <w:hideMark/>
          </w:tcPr>
          <w:p w14:paraId="1C4CF8E0" w14:textId="53D7702E"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718" w:type="dxa"/>
            <w:gridSpan w:val="2"/>
            <w:tcBorders>
              <w:top w:val="nil"/>
              <w:left w:val="nil"/>
              <w:bottom w:val="single" w:sz="8" w:space="0" w:color="auto"/>
              <w:right w:val="single" w:sz="8" w:space="0" w:color="auto"/>
            </w:tcBorders>
            <w:noWrap/>
            <w:vAlign w:val="center"/>
            <w:hideMark/>
          </w:tcPr>
          <w:p w14:paraId="4FF45967" w14:textId="5383AFEF" w:rsidR="00CD3EDA" w:rsidRPr="00A40ED9" w:rsidRDefault="00CD3EDA" w:rsidP="00CD3EDA">
            <w:pPr>
              <w:spacing w:after="0" w:line="360" w:lineRule="auto"/>
              <w:jc w:val="center"/>
              <w:rPr>
                <w:rFonts w:eastAsia="Times New Roman"/>
                <w:lang w:val="es-DO"/>
              </w:rPr>
            </w:pPr>
            <w:r w:rsidRPr="00A40ED9">
              <w:rPr>
                <w:lang w:val="es-DO"/>
              </w:rPr>
              <w:t xml:space="preserve"> -   </w:t>
            </w:r>
          </w:p>
        </w:tc>
      </w:tr>
      <w:tr w:rsidR="008670C1" w:rsidRPr="00A40ED9" w14:paraId="60FAC272"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noWrap/>
            <w:vAlign w:val="center"/>
            <w:hideMark/>
          </w:tcPr>
          <w:p w14:paraId="3D3D5F11"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Productos y útiles varios</w:t>
            </w:r>
          </w:p>
        </w:tc>
        <w:tc>
          <w:tcPr>
            <w:tcW w:w="2038" w:type="dxa"/>
            <w:gridSpan w:val="2"/>
            <w:tcBorders>
              <w:top w:val="nil"/>
              <w:left w:val="nil"/>
              <w:bottom w:val="single" w:sz="8" w:space="0" w:color="auto"/>
              <w:right w:val="single" w:sz="8" w:space="0" w:color="auto"/>
            </w:tcBorders>
            <w:noWrap/>
            <w:vAlign w:val="center"/>
            <w:hideMark/>
          </w:tcPr>
          <w:p w14:paraId="7674F29A" w14:textId="77777777" w:rsidR="008670C1" w:rsidRPr="00A40ED9" w:rsidRDefault="008670C1" w:rsidP="006B204A">
            <w:pPr>
              <w:spacing w:after="0" w:line="360" w:lineRule="auto"/>
              <w:jc w:val="center"/>
              <w:rPr>
                <w:rFonts w:eastAsia="Times New Roman"/>
                <w:lang w:val="es-DO"/>
              </w:rPr>
            </w:pPr>
            <w:r w:rsidRPr="00A40ED9">
              <w:rPr>
                <w:lang w:val="es-DO"/>
              </w:rPr>
              <w:t xml:space="preserve"> 16,503,471 </w:t>
            </w:r>
          </w:p>
        </w:tc>
        <w:tc>
          <w:tcPr>
            <w:tcW w:w="1753" w:type="dxa"/>
            <w:tcBorders>
              <w:top w:val="nil"/>
              <w:left w:val="nil"/>
              <w:bottom w:val="single" w:sz="8" w:space="0" w:color="auto"/>
              <w:right w:val="single" w:sz="8" w:space="0" w:color="auto"/>
            </w:tcBorders>
            <w:noWrap/>
            <w:vAlign w:val="center"/>
            <w:hideMark/>
          </w:tcPr>
          <w:p w14:paraId="7F8BFF91" w14:textId="73B39243" w:rsidR="008670C1" w:rsidRPr="00A40ED9" w:rsidRDefault="00CD3EDA" w:rsidP="006B204A">
            <w:pPr>
              <w:spacing w:after="0" w:line="360" w:lineRule="auto"/>
              <w:jc w:val="center"/>
              <w:rPr>
                <w:rFonts w:eastAsia="Times New Roman"/>
                <w:lang w:val="es-DO"/>
              </w:rPr>
            </w:pPr>
            <w:r w:rsidRPr="00CD3EDA">
              <w:rPr>
                <w:lang w:val="es-DO"/>
              </w:rPr>
              <w:t>6,896,391</w:t>
            </w:r>
          </w:p>
        </w:tc>
        <w:tc>
          <w:tcPr>
            <w:tcW w:w="1718" w:type="dxa"/>
            <w:gridSpan w:val="2"/>
            <w:tcBorders>
              <w:top w:val="nil"/>
              <w:left w:val="nil"/>
              <w:bottom w:val="single" w:sz="8" w:space="0" w:color="auto"/>
              <w:right w:val="single" w:sz="8" w:space="0" w:color="auto"/>
            </w:tcBorders>
            <w:noWrap/>
            <w:vAlign w:val="center"/>
            <w:hideMark/>
          </w:tcPr>
          <w:p w14:paraId="38D8672C" w14:textId="54542509" w:rsidR="008670C1" w:rsidRPr="00A40ED9" w:rsidRDefault="00CD3EDA" w:rsidP="006B204A">
            <w:pPr>
              <w:spacing w:after="0" w:line="360" w:lineRule="auto"/>
              <w:jc w:val="center"/>
              <w:rPr>
                <w:rFonts w:eastAsia="Times New Roman"/>
                <w:lang w:val="es-DO"/>
              </w:rPr>
            </w:pPr>
            <w:r w:rsidRPr="00CD3EDA">
              <w:rPr>
                <w:lang w:val="es-DO"/>
              </w:rPr>
              <w:t>9,607,080</w:t>
            </w:r>
          </w:p>
        </w:tc>
      </w:tr>
      <w:tr w:rsidR="00165C93" w:rsidRPr="00A40ED9" w14:paraId="7D935946" w14:textId="77777777" w:rsidTr="00BE0AFF">
        <w:trPr>
          <w:trHeight w:val="241"/>
          <w:jc w:val="center"/>
        </w:trPr>
        <w:tc>
          <w:tcPr>
            <w:tcW w:w="3043" w:type="dxa"/>
            <w:gridSpan w:val="2"/>
            <w:tcBorders>
              <w:top w:val="nil"/>
              <w:left w:val="single" w:sz="8" w:space="0" w:color="auto"/>
              <w:bottom w:val="single" w:sz="8" w:space="0" w:color="auto"/>
              <w:right w:val="single" w:sz="8" w:space="0" w:color="auto"/>
            </w:tcBorders>
            <w:shd w:val="clear" w:color="000000" w:fill="003876"/>
            <w:noWrap/>
            <w:vAlign w:val="center"/>
            <w:hideMark/>
          </w:tcPr>
          <w:p w14:paraId="0F0289DA" w14:textId="77777777" w:rsidR="008670C1" w:rsidRPr="00A40ED9" w:rsidRDefault="008670C1" w:rsidP="006B204A">
            <w:pPr>
              <w:spacing w:after="0" w:line="360" w:lineRule="auto"/>
              <w:rPr>
                <w:rFonts w:eastAsia="Times New Roman"/>
                <w:b/>
                <w:bCs/>
                <w:color w:val="FFFFFF"/>
                <w:lang w:val="es-DO"/>
              </w:rPr>
            </w:pPr>
            <w:proofErr w:type="gramStart"/>
            <w:r w:rsidRPr="00A40ED9">
              <w:rPr>
                <w:rFonts w:eastAsia="Times New Roman"/>
                <w:b/>
                <w:bCs/>
                <w:color w:val="FFFFFF"/>
                <w:lang w:val="es-DO"/>
              </w:rPr>
              <w:t>Total</w:t>
            </w:r>
            <w:proofErr w:type="gramEnd"/>
            <w:r w:rsidRPr="00A40ED9">
              <w:rPr>
                <w:rFonts w:eastAsia="Times New Roman"/>
                <w:b/>
                <w:bCs/>
                <w:color w:val="FFFFFF"/>
                <w:lang w:val="es-DO"/>
              </w:rPr>
              <w:t xml:space="preserve"> materiales y suministros</w:t>
            </w:r>
          </w:p>
        </w:tc>
        <w:tc>
          <w:tcPr>
            <w:tcW w:w="2038" w:type="dxa"/>
            <w:gridSpan w:val="2"/>
            <w:tcBorders>
              <w:top w:val="nil"/>
              <w:left w:val="nil"/>
              <w:bottom w:val="single" w:sz="8" w:space="0" w:color="auto"/>
              <w:right w:val="single" w:sz="8" w:space="0" w:color="auto"/>
            </w:tcBorders>
            <w:shd w:val="clear" w:color="000000" w:fill="003876"/>
            <w:vAlign w:val="center"/>
            <w:hideMark/>
          </w:tcPr>
          <w:p w14:paraId="6F6F1C07"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50,600,753</w:t>
            </w:r>
          </w:p>
        </w:tc>
        <w:tc>
          <w:tcPr>
            <w:tcW w:w="1753" w:type="dxa"/>
            <w:tcBorders>
              <w:top w:val="nil"/>
              <w:left w:val="nil"/>
              <w:bottom w:val="single" w:sz="8" w:space="0" w:color="auto"/>
              <w:right w:val="single" w:sz="8" w:space="0" w:color="auto"/>
            </w:tcBorders>
            <w:shd w:val="clear" w:color="000000" w:fill="003876"/>
            <w:vAlign w:val="center"/>
            <w:hideMark/>
          </w:tcPr>
          <w:p w14:paraId="14931C5A" w14:textId="62685D0A" w:rsidR="008670C1" w:rsidRPr="00A40ED9"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25,806,326</w:t>
            </w:r>
          </w:p>
        </w:tc>
        <w:tc>
          <w:tcPr>
            <w:tcW w:w="1718" w:type="dxa"/>
            <w:gridSpan w:val="2"/>
            <w:tcBorders>
              <w:top w:val="nil"/>
              <w:left w:val="nil"/>
              <w:bottom w:val="single" w:sz="8" w:space="0" w:color="auto"/>
              <w:right w:val="single" w:sz="8" w:space="0" w:color="auto"/>
            </w:tcBorders>
            <w:shd w:val="clear" w:color="000000" w:fill="003876"/>
            <w:noWrap/>
            <w:vAlign w:val="center"/>
            <w:hideMark/>
          </w:tcPr>
          <w:p w14:paraId="6AB35A12" w14:textId="6D0F0DC4" w:rsidR="008670C1" w:rsidRPr="00A40ED9"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24,794,427</w:t>
            </w:r>
          </w:p>
        </w:tc>
      </w:tr>
    </w:tbl>
    <w:p w14:paraId="18D4D27C" w14:textId="77777777" w:rsidR="008670C1" w:rsidRPr="00A40ED9" w:rsidRDefault="008670C1" w:rsidP="006B204A">
      <w:pPr>
        <w:rPr>
          <w:lang w:val="es-DO"/>
        </w:rPr>
      </w:pPr>
    </w:p>
    <w:tbl>
      <w:tblPr>
        <w:tblW w:w="8793" w:type="dxa"/>
        <w:jc w:val="center"/>
        <w:tblCellMar>
          <w:top w:w="15" w:type="dxa"/>
          <w:bottom w:w="15" w:type="dxa"/>
        </w:tblCellMar>
        <w:tblLook w:val="04A0" w:firstRow="1" w:lastRow="0" w:firstColumn="1" w:lastColumn="0" w:noHBand="0" w:noVBand="1"/>
      </w:tblPr>
      <w:tblGrid>
        <w:gridCol w:w="3043"/>
        <w:gridCol w:w="2038"/>
        <w:gridCol w:w="1856"/>
        <w:gridCol w:w="1856"/>
      </w:tblGrid>
      <w:tr w:rsidR="008670C1" w:rsidRPr="00A40ED9" w14:paraId="02D16124" w14:textId="77777777" w:rsidTr="00CD3EDA">
        <w:trPr>
          <w:trHeight w:val="241"/>
          <w:tblHeader/>
          <w:jc w:val="center"/>
        </w:trPr>
        <w:tc>
          <w:tcPr>
            <w:tcW w:w="3043" w:type="dxa"/>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385AD901" w14:textId="77777777" w:rsidR="008670C1" w:rsidRPr="00A40ED9" w:rsidRDefault="008670C1" w:rsidP="006B204A">
            <w:pPr>
              <w:spacing w:after="0" w:line="360" w:lineRule="auto"/>
              <w:rPr>
                <w:rFonts w:eastAsia="Times New Roman"/>
                <w:b/>
                <w:bCs/>
                <w:color w:val="FFFFFF"/>
                <w:lang w:val="es-DO"/>
              </w:rPr>
            </w:pPr>
            <w:r w:rsidRPr="00A40ED9">
              <w:rPr>
                <w:rFonts w:eastAsia="Times New Roman"/>
                <w:b/>
                <w:bCs/>
                <w:color w:val="FFFFFF"/>
                <w:lang w:val="es-DO"/>
              </w:rPr>
              <w:t>Transferencias corrientes</w:t>
            </w:r>
          </w:p>
        </w:tc>
        <w:tc>
          <w:tcPr>
            <w:tcW w:w="2038" w:type="dxa"/>
            <w:tcBorders>
              <w:top w:val="single" w:sz="8" w:space="0" w:color="auto"/>
              <w:left w:val="nil"/>
              <w:bottom w:val="single" w:sz="8" w:space="0" w:color="auto"/>
              <w:right w:val="single" w:sz="8" w:space="0" w:color="auto"/>
            </w:tcBorders>
            <w:shd w:val="clear" w:color="000000" w:fill="003876"/>
            <w:noWrap/>
            <w:vAlign w:val="center"/>
            <w:hideMark/>
          </w:tcPr>
          <w:p w14:paraId="1043CDA3"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Presupuesto</w:t>
            </w:r>
          </w:p>
        </w:tc>
        <w:tc>
          <w:tcPr>
            <w:tcW w:w="1856" w:type="dxa"/>
            <w:tcBorders>
              <w:top w:val="single" w:sz="8" w:space="0" w:color="auto"/>
              <w:left w:val="nil"/>
              <w:bottom w:val="single" w:sz="8" w:space="0" w:color="auto"/>
              <w:right w:val="single" w:sz="8" w:space="0" w:color="auto"/>
            </w:tcBorders>
            <w:shd w:val="clear" w:color="000000" w:fill="003876"/>
            <w:noWrap/>
            <w:vAlign w:val="center"/>
            <w:hideMark/>
          </w:tcPr>
          <w:p w14:paraId="1434AAA1"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Ejecutado</w:t>
            </w:r>
          </w:p>
        </w:tc>
        <w:tc>
          <w:tcPr>
            <w:tcW w:w="1856" w:type="dxa"/>
            <w:tcBorders>
              <w:top w:val="single" w:sz="8" w:space="0" w:color="auto"/>
              <w:left w:val="nil"/>
              <w:bottom w:val="single" w:sz="8" w:space="0" w:color="auto"/>
              <w:right w:val="single" w:sz="8" w:space="0" w:color="auto"/>
            </w:tcBorders>
            <w:shd w:val="clear" w:color="000000" w:fill="003876"/>
            <w:noWrap/>
            <w:vAlign w:val="center"/>
            <w:hideMark/>
          </w:tcPr>
          <w:p w14:paraId="43828FBF" w14:textId="77777777" w:rsidR="008670C1" w:rsidRPr="00A40ED9" w:rsidRDefault="008670C1" w:rsidP="006B204A">
            <w:pPr>
              <w:spacing w:after="0" w:line="360" w:lineRule="auto"/>
              <w:jc w:val="center"/>
              <w:rPr>
                <w:rFonts w:eastAsia="Times New Roman"/>
                <w:b/>
                <w:bCs/>
                <w:color w:val="FFFFFF"/>
                <w:lang w:val="es-DO"/>
              </w:rPr>
            </w:pPr>
            <w:r w:rsidRPr="00A40ED9">
              <w:rPr>
                <w:rFonts w:eastAsia="Times New Roman"/>
                <w:b/>
                <w:bCs/>
                <w:color w:val="FFFFFF"/>
                <w:lang w:val="es-DO"/>
              </w:rPr>
              <w:t>Balance</w:t>
            </w:r>
          </w:p>
        </w:tc>
      </w:tr>
      <w:tr w:rsidR="008670C1" w:rsidRPr="00A40ED9" w14:paraId="71760CFA"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358851E2"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Transferencias corrientes al sector privado</w:t>
            </w:r>
          </w:p>
        </w:tc>
        <w:tc>
          <w:tcPr>
            <w:tcW w:w="2038" w:type="dxa"/>
            <w:tcBorders>
              <w:top w:val="nil"/>
              <w:left w:val="nil"/>
              <w:bottom w:val="single" w:sz="8" w:space="0" w:color="auto"/>
              <w:right w:val="single" w:sz="8" w:space="0" w:color="auto"/>
            </w:tcBorders>
            <w:noWrap/>
            <w:vAlign w:val="center"/>
            <w:hideMark/>
          </w:tcPr>
          <w:p w14:paraId="49BA2099" w14:textId="77777777" w:rsidR="008670C1" w:rsidRPr="00A40ED9" w:rsidRDefault="008670C1" w:rsidP="006B204A">
            <w:pPr>
              <w:spacing w:after="0" w:line="360" w:lineRule="auto"/>
              <w:jc w:val="center"/>
              <w:rPr>
                <w:rFonts w:eastAsia="Times New Roman"/>
                <w:lang w:val="es-DO"/>
              </w:rPr>
            </w:pPr>
            <w:r w:rsidRPr="00A40ED9">
              <w:rPr>
                <w:lang w:val="es-DO"/>
              </w:rPr>
              <w:t xml:space="preserve"> 387,120,427 </w:t>
            </w:r>
          </w:p>
        </w:tc>
        <w:tc>
          <w:tcPr>
            <w:tcW w:w="1856" w:type="dxa"/>
            <w:tcBorders>
              <w:top w:val="nil"/>
              <w:left w:val="nil"/>
              <w:bottom w:val="single" w:sz="8" w:space="0" w:color="auto"/>
              <w:right w:val="single" w:sz="8" w:space="0" w:color="auto"/>
            </w:tcBorders>
            <w:noWrap/>
            <w:vAlign w:val="center"/>
            <w:hideMark/>
          </w:tcPr>
          <w:p w14:paraId="048161BB" w14:textId="75CA90D8" w:rsidR="008670C1" w:rsidRPr="00A40ED9" w:rsidRDefault="00CD3EDA" w:rsidP="006B204A">
            <w:pPr>
              <w:spacing w:after="0" w:line="360" w:lineRule="auto"/>
              <w:jc w:val="center"/>
              <w:rPr>
                <w:rFonts w:eastAsia="Times New Roman"/>
                <w:lang w:val="es-DO"/>
              </w:rPr>
            </w:pPr>
            <w:r w:rsidRPr="00CD3EDA">
              <w:rPr>
                <w:lang w:val="es-DO"/>
              </w:rPr>
              <w:t>304,325,938</w:t>
            </w:r>
          </w:p>
        </w:tc>
        <w:tc>
          <w:tcPr>
            <w:tcW w:w="1856" w:type="dxa"/>
            <w:tcBorders>
              <w:top w:val="nil"/>
              <w:left w:val="nil"/>
              <w:bottom w:val="single" w:sz="8" w:space="0" w:color="auto"/>
              <w:right w:val="single" w:sz="8" w:space="0" w:color="auto"/>
            </w:tcBorders>
            <w:noWrap/>
            <w:vAlign w:val="center"/>
            <w:hideMark/>
          </w:tcPr>
          <w:p w14:paraId="728EF5BB" w14:textId="528B53DA" w:rsidR="008670C1" w:rsidRPr="00A40ED9" w:rsidRDefault="00CD3EDA" w:rsidP="006B204A">
            <w:pPr>
              <w:spacing w:after="0" w:line="360" w:lineRule="auto"/>
              <w:jc w:val="center"/>
              <w:rPr>
                <w:rFonts w:eastAsia="Times New Roman"/>
                <w:lang w:val="es-DO"/>
              </w:rPr>
            </w:pPr>
            <w:r w:rsidRPr="00CD3EDA">
              <w:rPr>
                <w:lang w:val="es-DO"/>
              </w:rPr>
              <w:t>82,794,489</w:t>
            </w:r>
          </w:p>
        </w:tc>
      </w:tr>
      <w:tr w:rsidR="008670C1" w:rsidRPr="00A40ED9" w14:paraId="6ABDCEAE"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58DCD15F"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Transferencias corrientes al gobierno general nacional</w:t>
            </w:r>
          </w:p>
        </w:tc>
        <w:tc>
          <w:tcPr>
            <w:tcW w:w="2038" w:type="dxa"/>
            <w:tcBorders>
              <w:top w:val="nil"/>
              <w:left w:val="nil"/>
              <w:bottom w:val="single" w:sz="8" w:space="0" w:color="auto"/>
              <w:right w:val="single" w:sz="8" w:space="0" w:color="auto"/>
            </w:tcBorders>
            <w:noWrap/>
            <w:vAlign w:val="center"/>
            <w:hideMark/>
          </w:tcPr>
          <w:p w14:paraId="2A5921C6" w14:textId="77777777" w:rsidR="008670C1" w:rsidRPr="00A40ED9" w:rsidRDefault="008670C1" w:rsidP="006B204A">
            <w:pPr>
              <w:spacing w:after="0" w:line="360" w:lineRule="auto"/>
              <w:jc w:val="center"/>
              <w:rPr>
                <w:rFonts w:eastAsia="Times New Roman"/>
                <w:lang w:val="es-DO"/>
              </w:rPr>
            </w:pPr>
            <w:r w:rsidRPr="00A40ED9">
              <w:rPr>
                <w:lang w:val="es-DO"/>
              </w:rPr>
              <w:t xml:space="preserve"> 2,013,598,544 </w:t>
            </w:r>
          </w:p>
        </w:tc>
        <w:tc>
          <w:tcPr>
            <w:tcW w:w="1856" w:type="dxa"/>
            <w:tcBorders>
              <w:top w:val="nil"/>
              <w:left w:val="nil"/>
              <w:bottom w:val="single" w:sz="8" w:space="0" w:color="auto"/>
              <w:right w:val="single" w:sz="8" w:space="0" w:color="auto"/>
            </w:tcBorders>
            <w:noWrap/>
            <w:vAlign w:val="center"/>
            <w:hideMark/>
          </w:tcPr>
          <w:p w14:paraId="387170DD" w14:textId="199E497E" w:rsidR="008670C1" w:rsidRPr="00A40ED9" w:rsidRDefault="00CD3EDA" w:rsidP="006B204A">
            <w:pPr>
              <w:spacing w:after="0" w:line="360" w:lineRule="auto"/>
              <w:jc w:val="center"/>
              <w:rPr>
                <w:rFonts w:eastAsia="Times New Roman"/>
                <w:lang w:val="es-DO"/>
              </w:rPr>
            </w:pPr>
            <w:r w:rsidRPr="00CD3EDA">
              <w:rPr>
                <w:lang w:val="es-DO"/>
              </w:rPr>
              <w:t>2,001,148,000</w:t>
            </w:r>
          </w:p>
        </w:tc>
        <w:tc>
          <w:tcPr>
            <w:tcW w:w="1856" w:type="dxa"/>
            <w:tcBorders>
              <w:top w:val="nil"/>
              <w:left w:val="nil"/>
              <w:bottom w:val="single" w:sz="8" w:space="0" w:color="auto"/>
              <w:right w:val="single" w:sz="8" w:space="0" w:color="auto"/>
            </w:tcBorders>
            <w:noWrap/>
            <w:vAlign w:val="center"/>
            <w:hideMark/>
          </w:tcPr>
          <w:p w14:paraId="73039025" w14:textId="538B8F8D" w:rsidR="008670C1" w:rsidRPr="00A40ED9" w:rsidRDefault="00CD3EDA" w:rsidP="006B204A">
            <w:pPr>
              <w:spacing w:after="0" w:line="360" w:lineRule="auto"/>
              <w:jc w:val="center"/>
              <w:rPr>
                <w:rFonts w:eastAsia="Times New Roman"/>
                <w:lang w:val="es-DO"/>
              </w:rPr>
            </w:pPr>
            <w:r w:rsidRPr="00CD3EDA">
              <w:rPr>
                <w:lang w:val="es-DO"/>
              </w:rPr>
              <w:t>12,450,544</w:t>
            </w:r>
          </w:p>
        </w:tc>
      </w:tr>
      <w:tr w:rsidR="00CD3EDA" w:rsidRPr="00A40ED9" w14:paraId="6BB9F0AE"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0EAED124"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t>Transferencias corrientes a gobiernos generales locales</w:t>
            </w:r>
          </w:p>
        </w:tc>
        <w:tc>
          <w:tcPr>
            <w:tcW w:w="2038" w:type="dxa"/>
            <w:tcBorders>
              <w:top w:val="nil"/>
              <w:left w:val="nil"/>
              <w:bottom w:val="single" w:sz="8" w:space="0" w:color="auto"/>
              <w:right w:val="single" w:sz="8" w:space="0" w:color="auto"/>
            </w:tcBorders>
            <w:noWrap/>
            <w:vAlign w:val="center"/>
            <w:hideMark/>
          </w:tcPr>
          <w:p w14:paraId="639A0314" w14:textId="77777777"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26750E87" w14:textId="3E61C2F0"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73BB18F9" w14:textId="0181B131" w:rsidR="00CD3EDA" w:rsidRPr="00A40ED9" w:rsidRDefault="00CD3EDA" w:rsidP="00CD3EDA">
            <w:pPr>
              <w:spacing w:after="0" w:line="360" w:lineRule="auto"/>
              <w:jc w:val="center"/>
              <w:rPr>
                <w:rFonts w:eastAsia="Times New Roman"/>
                <w:lang w:val="es-DO"/>
              </w:rPr>
            </w:pPr>
            <w:r w:rsidRPr="00A40ED9">
              <w:rPr>
                <w:lang w:val="es-DO"/>
              </w:rPr>
              <w:t xml:space="preserve"> -   </w:t>
            </w:r>
          </w:p>
        </w:tc>
      </w:tr>
      <w:tr w:rsidR="00CD3EDA" w:rsidRPr="00A40ED9" w14:paraId="0CE99AFA"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57533686"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lastRenderedPageBreak/>
              <w:t>Transferencias corrientes a empresas públicas no financieras</w:t>
            </w:r>
          </w:p>
        </w:tc>
        <w:tc>
          <w:tcPr>
            <w:tcW w:w="2038" w:type="dxa"/>
            <w:tcBorders>
              <w:top w:val="nil"/>
              <w:left w:val="nil"/>
              <w:bottom w:val="single" w:sz="8" w:space="0" w:color="auto"/>
              <w:right w:val="single" w:sz="8" w:space="0" w:color="auto"/>
            </w:tcBorders>
            <w:noWrap/>
            <w:vAlign w:val="center"/>
            <w:hideMark/>
          </w:tcPr>
          <w:p w14:paraId="2E5FA180" w14:textId="77777777"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25C377C7" w14:textId="1E60ED83"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56D6E3AF" w14:textId="69A7A046" w:rsidR="00CD3EDA" w:rsidRPr="00A40ED9" w:rsidRDefault="00CD3EDA" w:rsidP="00CD3EDA">
            <w:pPr>
              <w:spacing w:after="0" w:line="360" w:lineRule="auto"/>
              <w:jc w:val="center"/>
              <w:rPr>
                <w:rFonts w:eastAsia="Times New Roman"/>
                <w:lang w:val="es-DO"/>
              </w:rPr>
            </w:pPr>
            <w:r w:rsidRPr="00A40ED9">
              <w:rPr>
                <w:lang w:val="es-DO"/>
              </w:rPr>
              <w:t xml:space="preserve"> -   </w:t>
            </w:r>
          </w:p>
        </w:tc>
      </w:tr>
      <w:tr w:rsidR="00CD3EDA" w:rsidRPr="00A40ED9" w14:paraId="2E1A6730"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78EB1998"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t>Transferencias corrientes a instituciones públicas financieras</w:t>
            </w:r>
          </w:p>
        </w:tc>
        <w:tc>
          <w:tcPr>
            <w:tcW w:w="2038" w:type="dxa"/>
            <w:tcBorders>
              <w:top w:val="nil"/>
              <w:left w:val="nil"/>
              <w:bottom w:val="single" w:sz="8" w:space="0" w:color="auto"/>
              <w:right w:val="single" w:sz="8" w:space="0" w:color="auto"/>
            </w:tcBorders>
            <w:noWrap/>
            <w:vAlign w:val="center"/>
            <w:hideMark/>
          </w:tcPr>
          <w:p w14:paraId="6E41E5EF" w14:textId="77777777"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711EFCA1" w14:textId="0550B525"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4CCEA19A" w14:textId="2794CF45" w:rsidR="00CD3EDA" w:rsidRPr="00A40ED9" w:rsidRDefault="00CD3EDA" w:rsidP="00CD3EDA">
            <w:pPr>
              <w:spacing w:after="0" w:line="360" w:lineRule="auto"/>
              <w:jc w:val="center"/>
              <w:rPr>
                <w:rFonts w:eastAsia="Times New Roman"/>
                <w:lang w:val="es-DO"/>
              </w:rPr>
            </w:pPr>
            <w:r w:rsidRPr="00A40ED9">
              <w:rPr>
                <w:lang w:val="es-DO"/>
              </w:rPr>
              <w:t xml:space="preserve"> -   </w:t>
            </w:r>
          </w:p>
        </w:tc>
      </w:tr>
      <w:tr w:rsidR="00CD3EDA" w:rsidRPr="00A40ED9" w14:paraId="7CADE193"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45F578E6"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t>Subvenciones</w:t>
            </w:r>
          </w:p>
        </w:tc>
        <w:tc>
          <w:tcPr>
            <w:tcW w:w="2038" w:type="dxa"/>
            <w:tcBorders>
              <w:top w:val="nil"/>
              <w:left w:val="nil"/>
              <w:bottom w:val="single" w:sz="8" w:space="0" w:color="auto"/>
              <w:right w:val="single" w:sz="8" w:space="0" w:color="auto"/>
            </w:tcBorders>
            <w:noWrap/>
            <w:vAlign w:val="center"/>
            <w:hideMark/>
          </w:tcPr>
          <w:p w14:paraId="752BEEEF" w14:textId="77777777"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317A4FCB" w14:textId="71E718D8"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3C53FA16" w14:textId="4021699B" w:rsidR="00CD3EDA" w:rsidRPr="00A40ED9" w:rsidRDefault="00CD3EDA" w:rsidP="00CD3EDA">
            <w:pPr>
              <w:spacing w:after="0" w:line="360" w:lineRule="auto"/>
              <w:jc w:val="center"/>
              <w:rPr>
                <w:rFonts w:eastAsia="Times New Roman"/>
                <w:lang w:val="es-DO"/>
              </w:rPr>
            </w:pPr>
            <w:r w:rsidRPr="00A40ED9">
              <w:rPr>
                <w:lang w:val="es-DO"/>
              </w:rPr>
              <w:t xml:space="preserve"> -   </w:t>
            </w:r>
          </w:p>
        </w:tc>
      </w:tr>
      <w:tr w:rsidR="00CD3EDA" w:rsidRPr="00A40ED9" w14:paraId="18D98230"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35B3BE76"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t>Transferencias corrientes al sector externo</w:t>
            </w:r>
          </w:p>
        </w:tc>
        <w:tc>
          <w:tcPr>
            <w:tcW w:w="2038" w:type="dxa"/>
            <w:tcBorders>
              <w:top w:val="nil"/>
              <w:left w:val="nil"/>
              <w:bottom w:val="single" w:sz="8" w:space="0" w:color="auto"/>
              <w:right w:val="single" w:sz="8" w:space="0" w:color="auto"/>
            </w:tcBorders>
            <w:noWrap/>
            <w:vAlign w:val="center"/>
            <w:hideMark/>
          </w:tcPr>
          <w:p w14:paraId="4B9E8AA9" w14:textId="77777777" w:rsidR="00CD3EDA" w:rsidRPr="00A40ED9" w:rsidRDefault="00CD3EDA" w:rsidP="00CD3EDA">
            <w:pPr>
              <w:spacing w:after="0" w:line="360" w:lineRule="auto"/>
              <w:jc w:val="center"/>
              <w:rPr>
                <w:rFonts w:eastAsia="Times New Roman"/>
                <w:lang w:val="es-DO"/>
              </w:rPr>
            </w:pPr>
            <w:r w:rsidRPr="00A40ED9">
              <w:rPr>
                <w:lang w:val="es-DO"/>
              </w:rPr>
              <w:t xml:space="preserve"> 4,806,580 </w:t>
            </w:r>
          </w:p>
        </w:tc>
        <w:tc>
          <w:tcPr>
            <w:tcW w:w="1856" w:type="dxa"/>
            <w:tcBorders>
              <w:top w:val="nil"/>
              <w:left w:val="nil"/>
              <w:bottom w:val="single" w:sz="8" w:space="0" w:color="auto"/>
              <w:right w:val="single" w:sz="8" w:space="0" w:color="auto"/>
            </w:tcBorders>
            <w:noWrap/>
            <w:vAlign w:val="center"/>
            <w:hideMark/>
          </w:tcPr>
          <w:p w14:paraId="1C3A4E69" w14:textId="150E1EAC"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03DEE3E5" w14:textId="77777777" w:rsidR="00CD3EDA" w:rsidRPr="00A40ED9" w:rsidRDefault="00CD3EDA" w:rsidP="00CD3EDA">
            <w:pPr>
              <w:spacing w:after="0" w:line="360" w:lineRule="auto"/>
              <w:jc w:val="center"/>
              <w:rPr>
                <w:rFonts w:eastAsia="Times New Roman"/>
                <w:lang w:val="es-DO"/>
              </w:rPr>
            </w:pPr>
            <w:r w:rsidRPr="00A40ED9">
              <w:rPr>
                <w:lang w:val="es-DO"/>
              </w:rPr>
              <w:t>4,806,580</w:t>
            </w:r>
          </w:p>
        </w:tc>
      </w:tr>
      <w:tr w:rsidR="00CD3EDA" w:rsidRPr="00A40ED9" w14:paraId="2982A30C" w14:textId="77777777" w:rsidTr="00CD3EDA">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6B64358A"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t>Transferencias corrientes a otras instituciones públicas</w:t>
            </w:r>
          </w:p>
        </w:tc>
        <w:tc>
          <w:tcPr>
            <w:tcW w:w="2038" w:type="dxa"/>
            <w:tcBorders>
              <w:top w:val="nil"/>
              <w:left w:val="nil"/>
              <w:bottom w:val="single" w:sz="8" w:space="0" w:color="auto"/>
              <w:right w:val="single" w:sz="8" w:space="0" w:color="auto"/>
            </w:tcBorders>
            <w:noWrap/>
            <w:vAlign w:val="center"/>
            <w:hideMark/>
          </w:tcPr>
          <w:p w14:paraId="7E66E19F" w14:textId="77777777"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4BEA7F95" w14:textId="081A66FA" w:rsidR="00CD3EDA" w:rsidRPr="00A40ED9" w:rsidRDefault="00CD3EDA" w:rsidP="00CD3EDA">
            <w:pPr>
              <w:spacing w:after="0" w:line="360" w:lineRule="auto"/>
              <w:jc w:val="center"/>
              <w:rPr>
                <w:rFonts w:eastAsia="Times New Roman"/>
                <w:lang w:val="es-DO"/>
              </w:rPr>
            </w:pPr>
            <w:r w:rsidRPr="00A40ED9">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7E2D437A" w14:textId="722F6D1C" w:rsidR="00CD3EDA" w:rsidRPr="00A40ED9" w:rsidRDefault="00CD3EDA" w:rsidP="00CD3EDA">
            <w:pPr>
              <w:spacing w:after="0" w:line="360" w:lineRule="auto"/>
              <w:jc w:val="center"/>
              <w:rPr>
                <w:rFonts w:eastAsia="Times New Roman"/>
                <w:lang w:val="es-DO"/>
              </w:rPr>
            </w:pPr>
            <w:r w:rsidRPr="00A40ED9">
              <w:rPr>
                <w:lang w:val="es-DO"/>
              </w:rPr>
              <w:t xml:space="preserve"> -   </w:t>
            </w:r>
          </w:p>
        </w:tc>
      </w:tr>
      <w:tr w:rsidR="00CD3EDA" w:rsidRPr="00A40ED9" w14:paraId="038C0367" w14:textId="77777777" w:rsidTr="00CD3EDA">
        <w:trPr>
          <w:trHeight w:val="241"/>
          <w:jc w:val="center"/>
        </w:trPr>
        <w:tc>
          <w:tcPr>
            <w:tcW w:w="3043" w:type="dxa"/>
            <w:tcBorders>
              <w:top w:val="nil"/>
              <w:left w:val="single" w:sz="8" w:space="0" w:color="auto"/>
              <w:bottom w:val="single" w:sz="8" w:space="0" w:color="auto"/>
              <w:right w:val="single" w:sz="8" w:space="0" w:color="auto"/>
            </w:tcBorders>
            <w:shd w:val="clear" w:color="000000" w:fill="003876"/>
            <w:noWrap/>
            <w:vAlign w:val="center"/>
            <w:hideMark/>
          </w:tcPr>
          <w:p w14:paraId="13B5C36D" w14:textId="77777777" w:rsidR="00CD3EDA" w:rsidRPr="00A40ED9" w:rsidRDefault="00CD3EDA" w:rsidP="00CD3EDA">
            <w:pPr>
              <w:spacing w:after="0" w:line="360" w:lineRule="auto"/>
              <w:rPr>
                <w:rFonts w:eastAsia="Times New Roman"/>
                <w:b/>
                <w:bCs/>
                <w:color w:val="FFFFFF"/>
                <w:lang w:val="es-DO"/>
              </w:rPr>
            </w:pPr>
            <w:proofErr w:type="gramStart"/>
            <w:r w:rsidRPr="00A40ED9">
              <w:rPr>
                <w:rFonts w:eastAsia="Times New Roman"/>
                <w:b/>
                <w:bCs/>
                <w:color w:val="FFFFFF"/>
                <w:lang w:val="es-DO"/>
              </w:rPr>
              <w:t>Total</w:t>
            </w:r>
            <w:proofErr w:type="gramEnd"/>
            <w:r w:rsidRPr="00A40ED9">
              <w:rPr>
                <w:rFonts w:eastAsia="Times New Roman"/>
                <w:b/>
                <w:bCs/>
                <w:color w:val="FFFFFF"/>
                <w:lang w:val="es-DO"/>
              </w:rPr>
              <w:t xml:space="preserve"> transferencias corrientes</w:t>
            </w:r>
          </w:p>
        </w:tc>
        <w:tc>
          <w:tcPr>
            <w:tcW w:w="2038" w:type="dxa"/>
            <w:tcBorders>
              <w:top w:val="nil"/>
              <w:left w:val="nil"/>
              <w:bottom w:val="single" w:sz="8" w:space="0" w:color="auto"/>
              <w:right w:val="single" w:sz="8" w:space="0" w:color="auto"/>
            </w:tcBorders>
            <w:shd w:val="clear" w:color="000000" w:fill="003876"/>
            <w:vAlign w:val="center"/>
            <w:hideMark/>
          </w:tcPr>
          <w:p w14:paraId="3F16EBB0" w14:textId="77777777" w:rsidR="00CD3EDA" w:rsidRPr="00A40ED9" w:rsidRDefault="00CD3EDA" w:rsidP="00CD3EDA">
            <w:pPr>
              <w:spacing w:after="0" w:line="360" w:lineRule="auto"/>
              <w:jc w:val="center"/>
              <w:rPr>
                <w:rFonts w:eastAsia="Times New Roman"/>
                <w:b/>
                <w:bCs/>
                <w:color w:val="FFFFFF"/>
                <w:lang w:val="es-DO"/>
              </w:rPr>
            </w:pPr>
            <w:r w:rsidRPr="00A40ED9">
              <w:rPr>
                <w:rFonts w:eastAsia="Times New Roman"/>
                <w:b/>
                <w:bCs/>
                <w:color w:val="FFFFFF"/>
                <w:lang w:val="es-DO"/>
              </w:rPr>
              <w:t>2,405,525,551</w:t>
            </w:r>
          </w:p>
        </w:tc>
        <w:tc>
          <w:tcPr>
            <w:tcW w:w="1856" w:type="dxa"/>
            <w:tcBorders>
              <w:top w:val="nil"/>
              <w:left w:val="nil"/>
              <w:bottom w:val="single" w:sz="8" w:space="0" w:color="auto"/>
              <w:right w:val="single" w:sz="8" w:space="0" w:color="auto"/>
            </w:tcBorders>
            <w:shd w:val="clear" w:color="000000" w:fill="003876"/>
            <w:vAlign w:val="center"/>
            <w:hideMark/>
          </w:tcPr>
          <w:p w14:paraId="6D5C9687" w14:textId="08C9CC5D" w:rsidR="00CD3EDA" w:rsidRPr="00A40ED9" w:rsidRDefault="00CD3EDA" w:rsidP="00CD3EDA">
            <w:pPr>
              <w:spacing w:after="0" w:line="360" w:lineRule="auto"/>
              <w:rPr>
                <w:rFonts w:eastAsia="Times New Roman"/>
                <w:b/>
                <w:bCs/>
                <w:color w:val="FFFFFF"/>
                <w:lang w:val="es-DO"/>
              </w:rPr>
            </w:pPr>
            <w:r w:rsidRPr="00CD3EDA">
              <w:rPr>
                <w:rFonts w:eastAsia="Times New Roman"/>
                <w:b/>
                <w:bCs/>
                <w:color w:val="FFFFFF"/>
                <w:lang w:val="es-DO"/>
              </w:rPr>
              <w:t>2,305,473,938</w:t>
            </w:r>
          </w:p>
        </w:tc>
        <w:tc>
          <w:tcPr>
            <w:tcW w:w="1856" w:type="dxa"/>
            <w:tcBorders>
              <w:top w:val="nil"/>
              <w:left w:val="nil"/>
              <w:bottom w:val="single" w:sz="8" w:space="0" w:color="auto"/>
              <w:right w:val="single" w:sz="8" w:space="0" w:color="auto"/>
            </w:tcBorders>
            <w:shd w:val="clear" w:color="000000" w:fill="003876"/>
            <w:noWrap/>
            <w:vAlign w:val="center"/>
            <w:hideMark/>
          </w:tcPr>
          <w:p w14:paraId="14079FD9" w14:textId="72BAED33" w:rsidR="00CD3EDA" w:rsidRPr="00A40ED9" w:rsidRDefault="00CD3EDA" w:rsidP="00CD3EDA">
            <w:pPr>
              <w:spacing w:after="0" w:line="360" w:lineRule="auto"/>
              <w:jc w:val="center"/>
              <w:rPr>
                <w:rFonts w:eastAsia="Times New Roman"/>
                <w:b/>
                <w:bCs/>
                <w:color w:val="FFFFFF"/>
                <w:lang w:val="es-DO"/>
              </w:rPr>
            </w:pPr>
            <w:r w:rsidRPr="00CD3EDA">
              <w:rPr>
                <w:rFonts w:eastAsia="Times New Roman"/>
                <w:b/>
                <w:bCs/>
                <w:color w:val="FFFFFF"/>
                <w:lang w:val="es-DO"/>
              </w:rPr>
              <w:t>100,051,613</w:t>
            </w:r>
          </w:p>
        </w:tc>
      </w:tr>
    </w:tbl>
    <w:p w14:paraId="07EBDD19" w14:textId="0AB0388E" w:rsidR="008670C1" w:rsidRPr="00A40ED9" w:rsidRDefault="008670C1" w:rsidP="006B204A">
      <w:pPr>
        <w:rPr>
          <w:lang w:val="es-DO"/>
        </w:rPr>
      </w:pPr>
    </w:p>
    <w:tbl>
      <w:tblPr>
        <w:tblW w:w="8793" w:type="dxa"/>
        <w:jc w:val="center"/>
        <w:tblCellMar>
          <w:top w:w="15" w:type="dxa"/>
          <w:bottom w:w="15" w:type="dxa"/>
        </w:tblCellMar>
        <w:tblLook w:val="04A0" w:firstRow="1" w:lastRow="0" w:firstColumn="1" w:lastColumn="0" w:noHBand="0" w:noVBand="1"/>
      </w:tblPr>
      <w:tblGrid>
        <w:gridCol w:w="3043"/>
        <w:gridCol w:w="2038"/>
        <w:gridCol w:w="1856"/>
        <w:gridCol w:w="1856"/>
      </w:tblGrid>
      <w:tr w:rsidR="008670C1" w:rsidRPr="00A40ED9" w14:paraId="216077F0" w14:textId="77777777" w:rsidTr="00D13CD3">
        <w:trPr>
          <w:trHeight w:val="241"/>
          <w:tblHeader/>
          <w:jc w:val="center"/>
        </w:trPr>
        <w:tc>
          <w:tcPr>
            <w:tcW w:w="3043" w:type="dxa"/>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7F12BB79" w14:textId="77777777" w:rsidR="008670C1" w:rsidRPr="004F5553" w:rsidRDefault="008670C1" w:rsidP="006B204A">
            <w:pPr>
              <w:spacing w:after="0" w:line="360" w:lineRule="auto"/>
              <w:rPr>
                <w:rFonts w:eastAsia="Times New Roman"/>
                <w:b/>
                <w:bCs/>
                <w:color w:val="FFFFFF"/>
                <w:lang w:val="es-DO"/>
              </w:rPr>
            </w:pPr>
            <w:r w:rsidRPr="004F5553">
              <w:rPr>
                <w:rFonts w:eastAsia="Times New Roman"/>
                <w:b/>
                <w:bCs/>
                <w:color w:val="FFFFFF"/>
                <w:lang w:val="es-DO"/>
              </w:rPr>
              <w:t>Bienes muebles, inmuebles e intangibles</w:t>
            </w:r>
          </w:p>
        </w:tc>
        <w:tc>
          <w:tcPr>
            <w:tcW w:w="2038" w:type="dxa"/>
            <w:tcBorders>
              <w:top w:val="single" w:sz="8" w:space="0" w:color="auto"/>
              <w:left w:val="nil"/>
              <w:bottom w:val="single" w:sz="8" w:space="0" w:color="auto"/>
              <w:right w:val="single" w:sz="8" w:space="0" w:color="auto"/>
            </w:tcBorders>
            <w:shd w:val="clear" w:color="000000" w:fill="003876"/>
            <w:noWrap/>
            <w:vAlign w:val="center"/>
            <w:hideMark/>
          </w:tcPr>
          <w:p w14:paraId="0CAF0CF8" w14:textId="77777777" w:rsidR="008670C1" w:rsidRPr="004F5553" w:rsidRDefault="008670C1" w:rsidP="006B204A">
            <w:pPr>
              <w:spacing w:after="0" w:line="360" w:lineRule="auto"/>
              <w:rPr>
                <w:rFonts w:eastAsia="Times New Roman"/>
                <w:b/>
                <w:bCs/>
                <w:color w:val="FFFFFF"/>
                <w:lang w:val="es-DO"/>
              </w:rPr>
            </w:pPr>
            <w:r w:rsidRPr="004F5553">
              <w:rPr>
                <w:rFonts w:eastAsia="Times New Roman"/>
                <w:b/>
                <w:bCs/>
                <w:color w:val="FFFFFF"/>
                <w:lang w:val="es-DO"/>
              </w:rPr>
              <w:t xml:space="preserve">Presupuesto </w:t>
            </w:r>
          </w:p>
        </w:tc>
        <w:tc>
          <w:tcPr>
            <w:tcW w:w="1856" w:type="dxa"/>
            <w:tcBorders>
              <w:top w:val="single" w:sz="8" w:space="0" w:color="auto"/>
              <w:left w:val="nil"/>
              <w:bottom w:val="single" w:sz="8" w:space="0" w:color="auto"/>
              <w:right w:val="single" w:sz="8" w:space="0" w:color="auto"/>
            </w:tcBorders>
            <w:shd w:val="clear" w:color="000000" w:fill="003876"/>
            <w:noWrap/>
            <w:vAlign w:val="center"/>
            <w:hideMark/>
          </w:tcPr>
          <w:p w14:paraId="32912AE2"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 xml:space="preserve">Ejecutado </w:t>
            </w:r>
          </w:p>
        </w:tc>
        <w:tc>
          <w:tcPr>
            <w:tcW w:w="1856" w:type="dxa"/>
            <w:tcBorders>
              <w:top w:val="single" w:sz="8" w:space="0" w:color="auto"/>
              <w:left w:val="nil"/>
              <w:bottom w:val="single" w:sz="8" w:space="0" w:color="auto"/>
              <w:right w:val="single" w:sz="8" w:space="0" w:color="auto"/>
            </w:tcBorders>
            <w:shd w:val="clear" w:color="000000" w:fill="003876"/>
            <w:noWrap/>
            <w:vAlign w:val="center"/>
            <w:hideMark/>
          </w:tcPr>
          <w:p w14:paraId="06270110"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 xml:space="preserve"> balance </w:t>
            </w:r>
          </w:p>
        </w:tc>
      </w:tr>
      <w:tr w:rsidR="00CD3EDA" w:rsidRPr="00A40ED9" w14:paraId="03A34F33" w14:textId="77777777" w:rsidTr="00FC40B6">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0CE603B7" w14:textId="77777777" w:rsidR="00CD3EDA" w:rsidRPr="004F5553" w:rsidRDefault="00CD3EDA" w:rsidP="00CD3EDA">
            <w:pPr>
              <w:spacing w:after="0" w:line="360" w:lineRule="auto"/>
              <w:rPr>
                <w:rFonts w:eastAsia="Times New Roman"/>
                <w:b/>
                <w:bCs/>
                <w:lang w:val="es-DO"/>
              </w:rPr>
            </w:pPr>
            <w:r w:rsidRPr="004F5553">
              <w:rPr>
                <w:rFonts w:eastAsia="Times New Roman"/>
                <w:b/>
                <w:bCs/>
                <w:lang w:val="es-DO"/>
              </w:rPr>
              <w:t>Mobiliario y equipo</w:t>
            </w:r>
          </w:p>
        </w:tc>
        <w:tc>
          <w:tcPr>
            <w:tcW w:w="2038" w:type="dxa"/>
            <w:tcBorders>
              <w:top w:val="nil"/>
              <w:left w:val="nil"/>
              <w:bottom w:val="single" w:sz="8" w:space="0" w:color="auto"/>
              <w:right w:val="single" w:sz="8" w:space="0" w:color="auto"/>
            </w:tcBorders>
            <w:noWrap/>
            <w:vAlign w:val="center"/>
            <w:hideMark/>
          </w:tcPr>
          <w:p w14:paraId="6F292891" w14:textId="77777777" w:rsidR="00CD3EDA" w:rsidRPr="004F5553" w:rsidRDefault="00CD3EDA" w:rsidP="00CD3EDA">
            <w:pPr>
              <w:spacing w:after="0" w:line="360" w:lineRule="auto"/>
              <w:jc w:val="center"/>
              <w:rPr>
                <w:rFonts w:eastAsia="Times New Roman"/>
                <w:lang w:val="es-DO"/>
              </w:rPr>
            </w:pPr>
            <w:r w:rsidRPr="004F5553">
              <w:rPr>
                <w:lang w:val="es-DO"/>
              </w:rPr>
              <w:t xml:space="preserve"> 48,441,613 </w:t>
            </w:r>
          </w:p>
        </w:tc>
        <w:tc>
          <w:tcPr>
            <w:tcW w:w="1856" w:type="dxa"/>
            <w:tcBorders>
              <w:top w:val="nil"/>
              <w:left w:val="nil"/>
              <w:bottom w:val="single" w:sz="8" w:space="0" w:color="auto"/>
              <w:right w:val="single" w:sz="8" w:space="0" w:color="auto"/>
            </w:tcBorders>
            <w:noWrap/>
            <w:hideMark/>
          </w:tcPr>
          <w:p w14:paraId="19063F82" w14:textId="7F8DD034" w:rsidR="00CD3EDA" w:rsidRPr="004F5553" w:rsidRDefault="00CD3EDA" w:rsidP="00CD3EDA">
            <w:pPr>
              <w:spacing w:after="0" w:line="360" w:lineRule="auto"/>
              <w:jc w:val="center"/>
              <w:rPr>
                <w:rFonts w:eastAsia="Times New Roman"/>
                <w:lang w:val="es-DO"/>
              </w:rPr>
            </w:pPr>
            <w:r w:rsidRPr="007F7BF7">
              <w:t>12,319,442</w:t>
            </w:r>
          </w:p>
        </w:tc>
        <w:tc>
          <w:tcPr>
            <w:tcW w:w="1856" w:type="dxa"/>
            <w:tcBorders>
              <w:top w:val="nil"/>
              <w:left w:val="nil"/>
              <w:bottom w:val="single" w:sz="8" w:space="0" w:color="auto"/>
              <w:right w:val="single" w:sz="8" w:space="0" w:color="auto"/>
            </w:tcBorders>
            <w:noWrap/>
            <w:hideMark/>
          </w:tcPr>
          <w:p w14:paraId="1FBF2962" w14:textId="0DA8FBED" w:rsidR="00CD3EDA" w:rsidRPr="004F5553" w:rsidRDefault="00CD3EDA" w:rsidP="00CD3EDA">
            <w:pPr>
              <w:spacing w:after="0" w:line="360" w:lineRule="auto"/>
              <w:jc w:val="center"/>
              <w:rPr>
                <w:rFonts w:eastAsia="Times New Roman"/>
                <w:lang w:val="es-DO"/>
              </w:rPr>
            </w:pPr>
            <w:r w:rsidRPr="007F7BF7">
              <w:t>36,122,170</w:t>
            </w:r>
          </w:p>
        </w:tc>
      </w:tr>
      <w:tr w:rsidR="008670C1" w:rsidRPr="00A40ED9" w14:paraId="13FF33A3"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2B220CA7"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Mobiliario y equipo audiovisual, recreativo y educacional</w:t>
            </w:r>
          </w:p>
        </w:tc>
        <w:tc>
          <w:tcPr>
            <w:tcW w:w="2038" w:type="dxa"/>
            <w:tcBorders>
              <w:top w:val="nil"/>
              <w:left w:val="nil"/>
              <w:bottom w:val="single" w:sz="8" w:space="0" w:color="auto"/>
              <w:right w:val="single" w:sz="8" w:space="0" w:color="auto"/>
            </w:tcBorders>
            <w:noWrap/>
            <w:vAlign w:val="center"/>
            <w:hideMark/>
          </w:tcPr>
          <w:p w14:paraId="544C3430" w14:textId="77777777" w:rsidR="008670C1" w:rsidRPr="004F5553" w:rsidRDefault="008670C1" w:rsidP="006B204A">
            <w:pPr>
              <w:spacing w:after="0" w:line="360" w:lineRule="auto"/>
              <w:jc w:val="center"/>
              <w:rPr>
                <w:rFonts w:eastAsia="Times New Roman"/>
                <w:lang w:val="es-DO"/>
              </w:rPr>
            </w:pPr>
            <w:r w:rsidRPr="004F5553">
              <w:rPr>
                <w:lang w:val="es-DO"/>
              </w:rPr>
              <w:t xml:space="preserve"> 2,975,000 </w:t>
            </w:r>
          </w:p>
        </w:tc>
        <w:tc>
          <w:tcPr>
            <w:tcW w:w="1856" w:type="dxa"/>
            <w:tcBorders>
              <w:top w:val="nil"/>
              <w:left w:val="nil"/>
              <w:bottom w:val="single" w:sz="8" w:space="0" w:color="auto"/>
              <w:right w:val="single" w:sz="8" w:space="0" w:color="auto"/>
            </w:tcBorders>
            <w:noWrap/>
            <w:vAlign w:val="center"/>
            <w:hideMark/>
          </w:tcPr>
          <w:p w14:paraId="0A7B0742" w14:textId="3DE0A9A3" w:rsidR="008670C1" w:rsidRPr="004F5553" w:rsidRDefault="00CD3EDA" w:rsidP="006B204A">
            <w:pPr>
              <w:spacing w:after="0" w:line="360" w:lineRule="auto"/>
              <w:jc w:val="center"/>
              <w:rPr>
                <w:rFonts w:eastAsia="Times New Roman"/>
                <w:lang w:val="es-DO"/>
              </w:rPr>
            </w:pPr>
            <w:r w:rsidRPr="00CD3EDA">
              <w:rPr>
                <w:lang w:val="es-DO"/>
              </w:rPr>
              <w:t>320,084</w:t>
            </w:r>
          </w:p>
        </w:tc>
        <w:tc>
          <w:tcPr>
            <w:tcW w:w="1856" w:type="dxa"/>
            <w:tcBorders>
              <w:top w:val="nil"/>
              <w:left w:val="nil"/>
              <w:bottom w:val="single" w:sz="8" w:space="0" w:color="auto"/>
              <w:right w:val="single" w:sz="8" w:space="0" w:color="auto"/>
            </w:tcBorders>
            <w:noWrap/>
            <w:vAlign w:val="center"/>
            <w:hideMark/>
          </w:tcPr>
          <w:p w14:paraId="2CD21F15" w14:textId="0881EF37" w:rsidR="008670C1" w:rsidRPr="004F5553" w:rsidRDefault="00CD3EDA" w:rsidP="006B204A">
            <w:pPr>
              <w:spacing w:after="0" w:line="360" w:lineRule="auto"/>
              <w:jc w:val="center"/>
              <w:rPr>
                <w:rFonts w:eastAsia="Times New Roman"/>
                <w:lang w:val="es-DO"/>
              </w:rPr>
            </w:pPr>
            <w:r w:rsidRPr="00CD3EDA">
              <w:rPr>
                <w:lang w:val="es-DO"/>
              </w:rPr>
              <w:t>2,654,916</w:t>
            </w:r>
          </w:p>
        </w:tc>
      </w:tr>
      <w:tr w:rsidR="008670C1" w:rsidRPr="00A40ED9" w14:paraId="7BF4DE9F"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406CA0DF"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Equipo e instrumental, científico y laboratorio</w:t>
            </w:r>
          </w:p>
        </w:tc>
        <w:tc>
          <w:tcPr>
            <w:tcW w:w="2038" w:type="dxa"/>
            <w:tcBorders>
              <w:top w:val="nil"/>
              <w:left w:val="nil"/>
              <w:bottom w:val="single" w:sz="8" w:space="0" w:color="auto"/>
              <w:right w:val="single" w:sz="8" w:space="0" w:color="auto"/>
            </w:tcBorders>
            <w:noWrap/>
            <w:vAlign w:val="center"/>
            <w:hideMark/>
          </w:tcPr>
          <w:p w14:paraId="22646EBE" w14:textId="77777777" w:rsidR="008670C1" w:rsidRPr="004F5553" w:rsidRDefault="008670C1" w:rsidP="006B204A">
            <w:pPr>
              <w:spacing w:after="0" w:line="360" w:lineRule="auto"/>
              <w:jc w:val="center"/>
              <w:rPr>
                <w:rFonts w:eastAsia="Times New Roman"/>
                <w:lang w:val="es-DO"/>
              </w:rPr>
            </w:pPr>
            <w:r w:rsidRPr="004F5553">
              <w:rPr>
                <w:lang w:val="es-DO"/>
              </w:rPr>
              <w:t xml:space="preserve"> 60,400 </w:t>
            </w:r>
          </w:p>
        </w:tc>
        <w:tc>
          <w:tcPr>
            <w:tcW w:w="1856" w:type="dxa"/>
            <w:tcBorders>
              <w:top w:val="nil"/>
              <w:left w:val="nil"/>
              <w:bottom w:val="single" w:sz="8" w:space="0" w:color="auto"/>
              <w:right w:val="single" w:sz="8" w:space="0" w:color="auto"/>
            </w:tcBorders>
            <w:noWrap/>
            <w:vAlign w:val="center"/>
            <w:hideMark/>
          </w:tcPr>
          <w:p w14:paraId="01F93FCD" w14:textId="77777777" w:rsidR="008670C1" w:rsidRPr="004F5553" w:rsidRDefault="008670C1" w:rsidP="006B204A">
            <w:pPr>
              <w:spacing w:after="0" w:line="360" w:lineRule="auto"/>
              <w:jc w:val="center"/>
              <w:rPr>
                <w:rFonts w:eastAsia="Times New Roman"/>
                <w:lang w:val="es-DO"/>
              </w:rPr>
            </w:pPr>
            <w:r w:rsidRPr="004F5553">
              <w:rPr>
                <w:lang w:val="es-DO"/>
              </w:rPr>
              <w:t>28,500</w:t>
            </w:r>
          </w:p>
        </w:tc>
        <w:tc>
          <w:tcPr>
            <w:tcW w:w="1856" w:type="dxa"/>
            <w:tcBorders>
              <w:top w:val="nil"/>
              <w:left w:val="nil"/>
              <w:bottom w:val="single" w:sz="8" w:space="0" w:color="auto"/>
              <w:right w:val="single" w:sz="8" w:space="0" w:color="auto"/>
            </w:tcBorders>
            <w:noWrap/>
            <w:vAlign w:val="center"/>
            <w:hideMark/>
          </w:tcPr>
          <w:p w14:paraId="5211479B" w14:textId="77777777" w:rsidR="008670C1" w:rsidRPr="004F5553" w:rsidRDefault="008670C1" w:rsidP="006B204A">
            <w:pPr>
              <w:spacing w:after="0" w:line="360" w:lineRule="auto"/>
              <w:jc w:val="center"/>
              <w:rPr>
                <w:rFonts w:eastAsia="Times New Roman"/>
                <w:lang w:val="es-DO"/>
              </w:rPr>
            </w:pPr>
            <w:r w:rsidRPr="004F5553">
              <w:rPr>
                <w:lang w:val="es-DO"/>
              </w:rPr>
              <w:t>31,900</w:t>
            </w:r>
          </w:p>
        </w:tc>
      </w:tr>
      <w:tr w:rsidR="008670C1" w:rsidRPr="00A40ED9" w14:paraId="31B7EF91"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7C0D7E62"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lastRenderedPageBreak/>
              <w:t>Vehículos y equipo de transporte, tracción y elevación</w:t>
            </w:r>
          </w:p>
        </w:tc>
        <w:tc>
          <w:tcPr>
            <w:tcW w:w="2038" w:type="dxa"/>
            <w:tcBorders>
              <w:top w:val="nil"/>
              <w:left w:val="nil"/>
              <w:bottom w:val="single" w:sz="8" w:space="0" w:color="auto"/>
              <w:right w:val="single" w:sz="8" w:space="0" w:color="auto"/>
            </w:tcBorders>
            <w:noWrap/>
            <w:vAlign w:val="center"/>
            <w:hideMark/>
          </w:tcPr>
          <w:p w14:paraId="2CB662EC" w14:textId="77777777" w:rsidR="008670C1" w:rsidRPr="004F5553" w:rsidRDefault="008670C1" w:rsidP="006B204A">
            <w:pPr>
              <w:spacing w:after="0" w:line="360" w:lineRule="auto"/>
              <w:jc w:val="center"/>
              <w:rPr>
                <w:rFonts w:eastAsia="Times New Roman"/>
                <w:lang w:val="es-DO"/>
              </w:rPr>
            </w:pPr>
            <w:r w:rsidRPr="004F5553">
              <w:rPr>
                <w:lang w:val="es-DO"/>
              </w:rPr>
              <w:t xml:space="preserve"> 11,474,050 </w:t>
            </w:r>
          </w:p>
        </w:tc>
        <w:tc>
          <w:tcPr>
            <w:tcW w:w="1856" w:type="dxa"/>
            <w:tcBorders>
              <w:top w:val="nil"/>
              <w:left w:val="nil"/>
              <w:bottom w:val="single" w:sz="8" w:space="0" w:color="auto"/>
              <w:right w:val="single" w:sz="8" w:space="0" w:color="auto"/>
            </w:tcBorders>
            <w:noWrap/>
            <w:vAlign w:val="center"/>
            <w:hideMark/>
          </w:tcPr>
          <w:p w14:paraId="6BFDD22C" w14:textId="77777777" w:rsidR="008670C1" w:rsidRPr="004F5553" w:rsidRDefault="008670C1" w:rsidP="006B204A">
            <w:pPr>
              <w:spacing w:after="0" w:line="360" w:lineRule="auto"/>
              <w:jc w:val="center"/>
              <w:rPr>
                <w:rFonts w:eastAsia="Times New Roman"/>
                <w:lang w:val="es-DO"/>
              </w:rPr>
            </w:pPr>
            <w:r w:rsidRPr="004F5553">
              <w:rPr>
                <w:lang w:val="es-DO"/>
              </w:rPr>
              <w:t>75,258</w:t>
            </w:r>
          </w:p>
        </w:tc>
        <w:tc>
          <w:tcPr>
            <w:tcW w:w="1856" w:type="dxa"/>
            <w:tcBorders>
              <w:top w:val="nil"/>
              <w:left w:val="nil"/>
              <w:bottom w:val="single" w:sz="8" w:space="0" w:color="auto"/>
              <w:right w:val="single" w:sz="8" w:space="0" w:color="auto"/>
            </w:tcBorders>
            <w:noWrap/>
            <w:vAlign w:val="center"/>
            <w:hideMark/>
          </w:tcPr>
          <w:p w14:paraId="0374C50B" w14:textId="77777777" w:rsidR="008670C1" w:rsidRPr="004F5553" w:rsidRDefault="008670C1" w:rsidP="006B204A">
            <w:pPr>
              <w:spacing w:after="0" w:line="360" w:lineRule="auto"/>
              <w:jc w:val="center"/>
              <w:rPr>
                <w:rFonts w:eastAsia="Times New Roman"/>
                <w:lang w:val="es-DO"/>
              </w:rPr>
            </w:pPr>
            <w:r w:rsidRPr="004F5553">
              <w:rPr>
                <w:lang w:val="es-DO"/>
              </w:rPr>
              <w:t>11,398,792</w:t>
            </w:r>
          </w:p>
        </w:tc>
      </w:tr>
      <w:tr w:rsidR="008670C1" w:rsidRPr="00A40ED9" w14:paraId="357F128E"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786E6CD5"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Maquinaria, otros equipos y herramientas</w:t>
            </w:r>
          </w:p>
        </w:tc>
        <w:tc>
          <w:tcPr>
            <w:tcW w:w="2038" w:type="dxa"/>
            <w:tcBorders>
              <w:top w:val="nil"/>
              <w:left w:val="nil"/>
              <w:bottom w:val="single" w:sz="8" w:space="0" w:color="auto"/>
              <w:right w:val="single" w:sz="8" w:space="0" w:color="auto"/>
            </w:tcBorders>
            <w:noWrap/>
            <w:vAlign w:val="center"/>
            <w:hideMark/>
          </w:tcPr>
          <w:p w14:paraId="3F521B71" w14:textId="77777777" w:rsidR="008670C1" w:rsidRPr="004F5553" w:rsidRDefault="008670C1" w:rsidP="006B204A">
            <w:pPr>
              <w:spacing w:after="0" w:line="360" w:lineRule="auto"/>
              <w:jc w:val="center"/>
              <w:rPr>
                <w:rFonts w:eastAsia="Times New Roman"/>
                <w:lang w:val="es-DO"/>
              </w:rPr>
            </w:pPr>
            <w:r w:rsidRPr="004F5553">
              <w:rPr>
                <w:lang w:val="es-DO"/>
              </w:rPr>
              <w:t xml:space="preserve"> 57,422,157 </w:t>
            </w:r>
          </w:p>
        </w:tc>
        <w:tc>
          <w:tcPr>
            <w:tcW w:w="1856" w:type="dxa"/>
            <w:tcBorders>
              <w:top w:val="nil"/>
              <w:left w:val="nil"/>
              <w:bottom w:val="single" w:sz="8" w:space="0" w:color="auto"/>
              <w:right w:val="single" w:sz="8" w:space="0" w:color="auto"/>
            </w:tcBorders>
            <w:noWrap/>
            <w:vAlign w:val="center"/>
            <w:hideMark/>
          </w:tcPr>
          <w:p w14:paraId="4BF3A5D3" w14:textId="61BB2AFB" w:rsidR="008670C1" w:rsidRPr="004F5553" w:rsidRDefault="00CD3EDA" w:rsidP="006B204A">
            <w:pPr>
              <w:spacing w:after="0" w:line="360" w:lineRule="auto"/>
              <w:jc w:val="center"/>
              <w:rPr>
                <w:rFonts w:eastAsia="Times New Roman"/>
                <w:lang w:val="es-DO"/>
              </w:rPr>
            </w:pPr>
            <w:r w:rsidRPr="00CD3EDA">
              <w:rPr>
                <w:lang w:val="es-DO"/>
              </w:rPr>
              <w:t>28,683,669</w:t>
            </w:r>
          </w:p>
        </w:tc>
        <w:tc>
          <w:tcPr>
            <w:tcW w:w="1856" w:type="dxa"/>
            <w:tcBorders>
              <w:top w:val="nil"/>
              <w:left w:val="nil"/>
              <w:bottom w:val="single" w:sz="8" w:space="0" w:color="auto"/>
              <w:right w:val="single" w:sz="8" w:space="0" w:color="auto"/>
            </w:tcBorders>
            <w:noWrap/>
            <w:vAlign w:val="center"/>
            <w:hideMark/>
          </w:tcPr>
          <w:p w14:paraId="5D2D7F72" w14:textId="7F5BF8C3" w:rsidR="008670C1" w:rsidRPr="004F5553" w:rsidRDefault="00CD3EDA" w:rsidP="006B204A">
            <w:pPr>
              <w:spacing w:after="0" w:line="360" w:lineRule="auto"/>
              <w:jc w:val="center"/>
              <w:rPr>
                <w:rFonts w:eastAsia="Times New Roman"/>
                <w:lang w:val="es-DO"/>
              </w:rPr>
            </w:pPr>
            <w:r w:rsidRPr="00CD3EDA">
              <w:rPr>
                <w:lang w:val="es-DO"/>
              </w:rPr>
              <w:t>28,738,489</w:t>
            </w:r>
          </w:p>
        </w:tc>
      </w:tr>
      <w:tr w:rsidR="008670C1" w:rsidRPr="00A40ED9" w14:paraId="402EA2CE"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66F798C4"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Equipos de defensa y seguridad</w:t>
            </w:r>
          </w:p>
        </w:tc>
        <w:tc>
          <w:tcPr>
            <w:tcW w:w="2038" w:type="dxa"/>
            <w:tcBorders>
              <w:top w:val="nil"/>
              <w:left w:val="nil"/>
              <w:bottom w:val="single" w:sz="8" w:space="0" w:color="auto"/>
              <w:right w:val="single" w:sz="8" w:space="0" w:color="auto"/>
            </w:tcBorders>
            <w:noWrap/>
            <w:vAlign w:val="center"/>
            <w:hideMark/>
          </w:tcPr>
          <w:p w14:paraId="43AC8679" w14:textId="77777777" w:rsidR="008670C1" w:rsidRPr="004F5553" w:rsidRDefault="008670C1" w:rsidP="006B204A">
            <w:pPr>
              <w:spacing w:after="0" w:line="360" w:lineRule="auto"/>
              <w:jc w:val="center"/>
              <w:rPr>
                <w:rFonts w:eastAsia="Times New Roman"/>
                <w:lang w:val="es-DO"/>
              </w:rPr>
            </w:pPr>
            <w:r w:rsidRPr="004F5553">
              <w:rPr>
                <w:lang w:val="es-DO"/>
              </w:rPr>
              <w:t xml:space="preserve"> 47,279,921 </w:t>
            </w:r>
          </w:p>
        </w:tc>
        <w:tc>
          <w:tcPr>
            <w:tcW w:w="1856" w:type="dxa"/>
            <w:tcBorders>
              <w:top w:val="nil"/>
              <w:left w:val="nil"/>
              <w:bottom w:val="single" w:sz="8" w:space="0" w:color="auto"/>
              <w:right w:val="single" w:sz="8" w:space="0" w:color="auto"/>
            </w:tcBorders>
            <w:noWrap/>
            <w:vAlign w:val="center"/>
            <w:hideMark/>
          </w:tcPr>
          <w:p w14:paraId="4CAF9FAE" w14:textId="474BB4F2" w:rsidR="008670C1" w:rsidRPr="004F5553" w:rsidRDefault="00CD3EDA" w:rsidP="006B204A">
            <w:pPr>
              <w:spacing w:after="0" w:line="360" w:lineRule="auto"/>
              <w:jc w:val="center"/>
              <w:rPr>
                <w:rFonts w:eastAsia="Times New Roman"/>
                <w:lang w:val="es-DO"/>
              </w:rPr>
            </w:pPr>
            <w:r w:rsidRPr="00CD3EDA">
              <w:rPr>
                <w:lang w:val="es-DO"/>
              </w:rPr>
              <w:t>5,583,326</w:t>
            </w:r>
          </w:p>
        </w:tc>
        <w:tc>
          <w:tcPr>
            <w:tcW w:w="1856" w:type="dxa"/>
            <w:tcBorders>
              <w:top w:val="nil"/>
              <w:left w:val="nil"/>
              <w:bottom w:val="single" w:sz="8" w:space="0" w:color="auto"/>
              <w:right w:val="single" w:sz="8" w:space="0" w:color="auto"/>
            </w:tcBorders>
            <w:noWrap/>
            <w:vAlign w:val="center"/>
            <w:hideMark/>
          </w:tcPr>
          <w:p w14:paraId="088DBA3E" w14:textId="0DBAEA92" w:rsidR="008670C1" w:rsidRPr="004F5553" w:rsidRDefault="00CD3EDA" w:rsidP="006B204A">
            <w:pPr>
              <w:spacing w:after="0" w:line="360" w:lineRule="auto"/>
              <w:jc w:val="center"/>
              <w:rPr>
                <w:rFonts w:eastAsia="Times New Roman"/>
                <w:lang w:val="es-DO"/>
              </w:rPr>
            </w:pPr>
            <w:r w:rsidRPr="00CD3EDA">
              <w:rPr>
                <w:lang w:val="es-DO"/>
              </w:rPr>
              <w:t>41,696,595</w:t>
            </w:r>
          </w:p>
        </w:tc>
      </w:tr>
      <w:tr w:rsidR="008670C1" w:rsidRPr="00A40ED9" w14:paraId="567ADE85"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5828A136"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Activos biológicos</w:t>
            </w:r>
          </w:p>
        </w:tc>
        <w:tc>
          <w:tcPr>
            <w:tcW w:w="2038" w:type="dxa"/>
            <w:tcBorders>
              <w:top w:val="nil"/>
              <w:left w:val="nil"/>
              <w:bottom w:val="single" w:sz="8" w:space="0" w:color="auto"/>
              <w:right w:val="single" w:sz="8" w:space="0" w:color="auto"/>
            </w:tcBorders>
            <w:noWrap/>
            <w:vAlign w:val="center"/>
            <w:hideMark/>
          </w:tcPr>
          <w:p w14:paraId="29BD6F6F" w14:textId="77777777" w:rsidR="008670C1" w:rsidRPr="004F5553" w:rsidRDefault="008670C1" w:rsidP="006B204A">
            <w:pPr>
              <w:spacing w:after="0" w:line="360" w:lineRule="auto"/>
              <w:jc w:val="center"/>
              <w:rPr>
                <w:rFonts w:eastAsia="Times New Roman"/>
                <w:lang w:val="es-DO"/>
              </w:rPr>
            </w:pPr>
            <w:r w:rsidRPr="004F5553">
              <w:rPr>
                <w:lang w:val="es-DO"/>
              </w:rPr>
              <w:t xml:space="preserve"> -   </w:t>
            </w:r>
          </w:p>
        </w:tc>
        <w:tc>
          <w:tcPr>
            <w:tcW w:w="1856" w:type="dxa"/>
            <w:tcBorders>
              <w:top w:val="nil"/>
              <w:left w:val="nil"/>
              <w:bottom w:val="single" w:sz="8" w:space="0" w:color="auto"/>
              <w:right w:val="single" w:sz="8" w:space="0" w:color="auto"/>
            </w:tcBorders>
            <w:noWrap/>
            <w:vAlign w:val="center"/>
            <w:hideMark/>
          </w:tcPr>
          <w:p w14:paraId="6368AE7E" w14:textId="00414DEA" w:rsidR="008670C1" w:rsidRPr="004F5553" w:rsidRDefault="00CD3EDA" w:rsidP="006B204A">
            <w:pPr>
              <w:spacing w:after="0" w:line="360" w:lineRule="auto"/>
              <w:jc w:val="center"/>
              <w:rPr>
                <w:rFonts w:eastAsia="Times New Roman"/>
                <w:lang w:val="es-DO"/>
              </w:rPr>
            </w:pPr>
            <w:r w:rsidRPr="004F5553">
              <w:rPr>
                <w:lang w:val="es-DO"/>
              </w:rPr>
              <w:t>-</w:t>
            </w:r>
          </w:p>
        </w:tc>
        <w:tc>
          <w:tcPr>
            <w:tcW w:w="1856" w:type="dxa"/>
            <w:tcBorders>
              <w:top w:val="nil"/>
              <w:left w:val="nil"/>
              <w:bottom w:val="single" w:sz="8" w:space="0" w:color="auto"/>
              <w:right w:val="single" w:sz="8" w:space="0" w:color="auto"/>
            </w:tcBorders>
            <w:noWrap/>
            <w:vAlign w:val="center"/>
            <w:hideMark/>
          </w:tcPr>
          <w:p w14:paraId="41FB0851" w14:textId="6CAAA6FF" w:rsidR="008670C1" w:rsidRPr="004F5553" w:rsidRDefault="00CD3EDA" w:rsidP="006B204A">
            <w:pPr>
              <w:spacing w:after="0" w:line="360" w:lineRule="auto"/>
              <w:jc w:val="center"/>
              <w:rPr>
                <w:rFonts w:eastAsia="Times New Roman"/>
                <w:lang w:val="es-DO"/>
              </w:rPr>
            </w:pPr>
            <w:r w:rsidRPr="004F5553">
              <w:rPr>
                <w:lang w:val="es-DO"/>
              </w:rPr>
              <w:t>-</w:t>
            </w:r>
          </w:p>
        </w:tc>
      </w:tr>
      <w:tr w:rsidR="008670C1" w:rsidRPr="00A40ED9" w14:paraId="51C49F61"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42B77F04" w14:textId="77777777" w:rsidR="008670C1" w:rsidRPr="004F5553" w:rsidRDefault="008670C1" w:rsidP="006B204A">
            <w:pPr>
              <w:spacing w:after="0" w:line="360" w:lineRule="auto"/>
              <w:rPr>
                <w:rFonts w:eastAsia="Times New Roman"/>
                <w:b/>
                <w:bCs/>
                <w:lang w:val="es-DO"/>
              </w:rPr>
            </w:pPr>
            <w:r w:rsidRPr="004F5553">
              <w:rPr>
                <w:rFonts w:eastAsia="Times New Roman"/>
                <w:b/>
                <w:bCs/>
                <w:lang w:val="es-DO"/>
              </w:rPr>
              <w:t>Bienes intangibles</w:t>
            </w:r>
          </w:p>
        </w:tc>
        <w:tc>
          <w:tcPr>
            <w:tcW w:w="2038" w:type="dxa"/>
            <w:tcBorders>
              <w:top w:val="nil"/>
              <w:left w:val="nil"/>
              <w:bottom w:val="single" w:sz="8" w:space="0" w:color="auto"/>
              <w:right w:val="single" w:sz="8" w:space="0" w:color="auto"/>
            </w:tcBorders>
            <w:noWrap/>
            <w:vAlign w:val="center"/>
            <w:hideMark/>
          </w:tcPr>
          <w:p w14:paraId="1490891C" w14:textId="77777777" w:rsidR="008670C1" w:rsidRPr="004F5553" w:rsidRDefault="008670C1" w:rsidP="006B204A">
            <w:pPr>
              <w:spacing w:after="0" w:line="360" w:lineRule="auto"/>
              <w:jc w:val="center"/>
              <w:rPr>
                <w:rFonts w:eastAsia="Times New Roman"/>
                <w:lang w:val="es-DO"/>
              </w:rPr>
            </w:pPr>
            <w:r w:rsidRPr="004F5553">
              <w:rPr>
                <w:lang w:val="es-DO"/>
              </w:rPr>
              <w:t xml:space="preserve"> 298,955,476 </w:t>
            </w:r>
          </w:p>
        </w:tc>
        <w:tc>
          <w:tcPr>
            <w:tcW w:w="1856" w:type="dxa"/>
            <w:tcBorders>
              <w:top w:val="nil"/>
              <w:left w:val="nil"/>
              <w:bottom w:val="single" w:sz="8" w:space="0" w:color="auto"/>
              <w:right w:val="single" w:sz="8" w:space="0" w:color="auto"/>
            </w:tcBorders>
            <w:noWrap/>
            <w:vAlign w:val="center"/>
            <w:hideMark/>
          </w:tcPr>
          <w:p w14:paraId="07E8A3AF" w14:textId="1D4D87F6" w:rsidR="008670C1" w:rsidRPr="004F5553" w:rsidRDefault="00CD3EDA" w:rsidP="006B204A">
            <w:pPr>
              <w:spacing w:after="0" w:line="360" w:lineRule="auto"/>
              <w:jc w:val="center"/>
              <w:rPr>
                <w:rFonts w:eastAsia="Times New Roman"/>
                <w:lang w:val="es-DO"/>
              </w:rPr>
            </w:pPr>
            <w:r w:rsidRPr="00CD3EDA">
              <w:rPr>
                <w:lang w:val="es-DO"/>
              </w:rPr>
              <w:t>158,022,030</w:t>
            </w:r>
          </w:p>
        </w:tc>
        <w:tc>
          <w:tcPr>
            <w:tcW w:w="1856" w:type="dxa"/>
            <w:tcBorders>
              <w:top w:val="nil"/>
              <w:left w:val="nil"/>
              <w:bottom w:val="single" w:sz="8" w:space="0" w:color="auto"/>
              <w:right w:val="single" w:sz="8" w:space="0" w:color="auto"/>
            </w:tcBorders>
            <w:noWrap/>
            <w:vAlign w:val="center"/>
            <w:hideMark/>
          </w:tcPr>
          <w:p w14:paraId="02DC2002" w14:textId="3AFD7588" w:rsidR="008670C1" w:rsidRPr="004F5553" w:rsidRDefault="00CD3EDA" w:rsidP="006B204A">
            <w:pPr>
              <w:spacing w:after="0" w:line="360" w:lineRule="auto"/>
              <w:jc w:val="center"/>
              <w:rPr>
                <w:rFonts w:eastAsia="Times New Roman"/>
                <w:lang w:val="es-DO"/>
              </w:rPr>
            </w:pPr>
            <w:r w:rsidRPr="00CD3EDA">
              <w:rPr>
                <w:lang w:val="es-DO"/>
              </w:rPr>
              <w:t>140,933,446</w:t>
            </w:r>
          </w:p>
        </w:tc>
      </w:tr>
      <w:tr w:rsidR="008670C1" w:rsidRPr="00A40ED9" w14:paraId="53C838C7" w14:textId="77777777" w:rsidTr="00D13CD3">
        <w:trPr>
          <w:trHeight w:val="241"/>
          <w:jc w:val="center"/>
        </w:trPr>
        <w:tc>
          <w:tcPr>
            <w:tcW w:w="3043" w:type="dxa"/>
            <w:tcBorders>
              <w:top w:val="nil"/>
              <w:left w:val="single" w:sz="8" w:space="0" w:color="auto"/>
              <w:bottom w:val="single" w:sz="8" w:space="0" w:color="auto"/>
              <w:right w:val="single" w:sz="8" w:space="0" w:color="auto"/>
            </w:tcBorders>
            <w:shd w:val="clear" w:color="000000" w:fill="003876"/>
            <w:noWrap/>
            <w:vAlign w:val="center"/>
            <w:hideMark/>
          </w:tcPr>
          <w:p w14:paraId="7F231DFC" w14:textId="77777777" w:rsidR="008670C1" w:rsidRPr="004F5553" w:rsidRDefault="008670C1" w:rsidP="006B204A">
            <w:pPr>
              <w:spacing w:after="0" w:line="360" w:lineRule="auto"/>
              <w:rPr>
                <w:rFonts w:eastAsia="Times New Roman"/>
                <w:b/>
                <w:bCs/>
                <w:color w:val="FFFFFF"/>
                <w:lang w:val="es-DO"/>
              </w:rPr>
            </w:pPr>
            <w:proofErr w:type="gramStart"/>
            <w:r w:rsidRPr="004F5553">
              <w:rPr>
                <w:rFonts w:eastAsia="Times New Roman"/>
                <w:b/>
                <w:bCs/>
                <w:color w:val="FFFFFF"/>
                <w:lang w:val="es-DO"/>
              </w:rPr>
              <w:t>Total</w:t>
            </w:r>
            <w:proofErr w:type="gramEnd"/>
            <w:r w:rsidRPr="004F5553">
              <w:rPr>
                <w:rFonts w:eastAsia="Times New Roman"/>
                <w:b/>
                <w:bCs/>
                <w:color w:val="FFFFFF"/>
                <w:lang w:val="es-DO"/>
              </w:rPr>
              <w:t xml:space="preserve"> bienes muebles, inmuebles e intangibles</w:t>
            </w:r>
          </w:p>
        </w:tc>
        <w:tc>
          <w:tcPr>
            <w:tcW w:w="2038" w:type="dxa"/>
            <w:tcBorders>
              <w:top w:val="nil"/>
              <w:left w:val="nil"/>
              <w:bottom w:val="single" w:sz="8" w:space="0" w:color="auto"/>
              <w:right w:val="single" w:sz="8" w:space="0" w:color="auto"/>
            </w:tcBorders>
            <w:shd w:val="clear" w:color="000000" w:fill="003876"/>
            <w:vAlign w:val="center"/>
            <w:hideMark/>
          </w:tcPr>
          <w:p w14:paraId="014243E9"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466,608,616</w:t>
            </w:r>
          </w:p>
        </w:tc>
        <w:tc>
          <w:tcPr>
            <w:tcW w:w="1856" w:type="dxa"/>
            <w:tcBorders>
              <w:top w:val="nil"/>
              <w:left w:val="nil"/>
              <w:bottom w:val="single" w:sz="8" w:space="0" w:color="auto"/>
              <w:right w:val="single" w:sz="8" w:space="0" w:color="auto"/>
            </w:tcBorders>
            <w:shd w:val="clear" w:color="000000" w:fill="003876"/>
            <w:vAlign w:val="center"/>
            <w:hideMark/>
          </w:tcPr>
          <w:p w14:paraId="663402C1" w14:textId="670908EF" w:rsidR="008670C1" w:rsidRPr="004F5553"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205,032,310</w:t>
            </w:r>
          </w:p>
        </w:tc>
        <w:tc>
          <w:tcPr>
            <w:tcW w:w="1856" w:type="dxa"/>
            <w:tcBorders>
              <w:top w:val="nil"/>
              <w:left w:val="nil"/>
              <w:bottom w:val="single" w:sz="8" w:space="0" w:color="auto"/>
              <w:right w:val="single" w:sz="8" w:space="0" w:color="auto"/>
            </w:tcBorders>
            <w:shd w:val="clear" w:color="000000" w:fill="003876"/>
            <w:noWrap/>
            <w:vAlign w:val="center"/>
            <w:hideMark/>
          </w:tcPr>
          <w:p w14:paraId="745AA065" w14:textId="20E30EF2" w:rsidR="008670C1" w:rsidRPr="004F5553"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261,576,307</w:t>
            </w:r>
          </w:p>
        </w:tc>
      </w:tr>
      <w:tr w:rsidR="008670C1" w:rsidRPr="00A40ED9" w14:paraId="6D9AC6A3" w14:textId="77777777" w:rsidTr="00D13CD3">
        <w:trPr>
          <w:trHeight w:val="241"/>
          <w:jc w:val="center"/>
        </w:trPr>
        <w:tc>
          <w:tcPr>
            <w:tcW w:w="3043" w:type="dxa"/>
            <w:tcBorders>
              <w:top w:val="nil"/>
              <w:left w:val="nil"/>
              <w:bottom w:val="nil"/>
              <w:right w:val="nil"/>
            </w:tcBorders>
            <w:noWrap/>
            <w:vAlign w:val="bottom"/>
            <w:hideMark/>
          </w:tcPr>
          <w:p w14:paraId="43370E53" w14:textId="77777777" w:rsidR="008670C1" w:rsidRPr="004F5553" w:rsidRDefault="008670C1" w:rsidP="006B204A">
            <w:pPr>
              <w:spacing w:after="0" w:line="360" w:lineRule="auto"/>
              <w:jc w:val="center"/>
              <w:rPr>
                <w:rFonts w:eastAsia="Times New Roman"/>
                <w:b/>
                <w:bCs/>
                <w:color w:val="FFFFFF"/>
                <w:lang w:val="es-DO"/>
              </w:rPr>
            </w:pPr>
          </w:p>
        </w:tc>
        <w:tc>
          <w:tcPr>
            <w:tcW w:w="2038" w:type="dxa"/>
            <w:tcBorders>
              <w:top w:val="nil"/>
              <w:left w:val="nil"/>
              <w:bottom w:val="nil"/>
              <w:right w:val="nil"/>
            </w:tcBorders>
            <w:noWrap/>
            <w:vAlign w:val="bottom"/>
            <w:hideMark/>
          </w:tcPr>
          <w:p w14:paraId="322D4C70" w14:textId="77777777" w:rsidR="008670C1" w:rsidRPr="004F5553" w:rsidRDefault="008670C1" w:rsidP="006B204A">
            <w:pPr>
              <w:spacing w:after="0" w:line="360" w:lineRule="auto"/>
              <w:rPr>
                <w:rFonts w:eastAsia="Times New Roman"/>
                <w:lang w:val="es-DO"/>
              </w:rPr>
            </w:pPr>
          </w:p>
        </w:tc>
        <w:tc>
          <w:tcPr>
            <w:tcW w:w="1856" w:type="dxa"/>
            <w:tcBorders>
              <w:top w:val="nil"/>
              <w:left w:val="nil"/>
              <w:bottom w:val="nil"/>
              <w:right w:val="nil"/>
            </w:tcBorders>
            <w:noWrap/>
            <w:vAlign w:val="bottom"/>
            <w:hideMark/>
          </w:tcPr>
          <w:p w14:paraId="0EDA26B4" w14:textId="77777777" w:rsidR="008670C1" w:rsidRPr="004F5553" w:rsidRDefault="008670C1" w:rsidP="006B204A">
            <w:pPr>
              <w:spacing w:after="0" w:line="360" w:lineRule="auto"/>
              <w:rPr>
                <w:rFonts w:eastAsia="Times New Roman"/>
                <w:lang w:val="es-DO"/>
              </w:rPr>
            </w:pPr>
          </w:p>
        </w:tc>
        <w:tc>
          <w:tcPr>
            <w:tcW w:w="1856" w:type="dxa"/>
            <w:tcBorders>
              <w:top w:val="nil"/>
              <w:left w:val="nil"/>
              <w:bottom w:val="nil"/>
              <w:right w:val="nil"/>
            </w:tcBorders>
            <w:noWrap/>
            <w:vAlign w:val="bottom"/>
            <w:hideMark/>
          </w:tcPr>
          <w:p w14:paraId="620B7BD7" w14:textId="77777777" w:rsidR="008670C1" w:rsidRPr="004F5553" w:rsidRDefault="008670C1" w:rsidP="006B204A">
            <w:pPr>
              <w:spacing w:after="0" w:line="360" w:lineRule="auto"/>
              <w:rPr>
                <w:rFonts w:eastAsia="Times New Roman"/>
                <w:lang w:val="es-DO"/>
              </w:rPr>
            </w:pPr>
          </w:p>
        </w:tc>
      </w:tr>
      <w:tr w:rsidR="008670C1" w:rsidRPr="00A40ED9" w14:paraId="16C2CA57" w14:textId="77777777" w:rsidTr="00D13CD3">
        <w:trPr>
          <w:trHeight w:val="241"/>
          <w:jc w:val="center"/>
        </w:trPr>
        <w:tc>
          <w:tcPr>
            <w:tcW w:w="3043" w:type="dxa"/>
            <w:tcBorders>
              <w:top w:val="single" w:sz="8" w:space="0" w:color="auto"/>
              <w:left w:val="single" w:sz="8" w:space="0" w:color="auto"/>
              <w:bottom w:val="single" w:sz="8" w:space="0" w:color="auto"/>
              <w:right w:val="single" w:sz="8" w:space="0" w:color="auto"/>
            </w:tcBorders>
            <w:shd w:val="clear" w:color="000000" w:fill="003876"/>
            <w:noWrap/>
            <w:vAlign w:val="center"/>
            <w:hideMark/>
          </w:tcPr>
          <w:p w14:paraId="65C34BC1" w14:textId="77777777" w:rsidR="008670C1" w:rsidRPr="004F5553" w:rsidRDefault="008670C1" w:rsidP="006B204A">
            <w:pPr>
              <w:spacing w:after="0" w:line="360" w:lineRule="auto"/>
              <w:rPr>
                <w:rFonts w:eastAsia="Times New Roman"/>
                <w:b/>
                <w:bCs/>
                <w:color w:val="FFFFFF"/>
                <w:lang w:val="es-DO"/>
              </w:rPr>
            </w:pPr>
            <w:r w:rsidRPr="004F5553">
              <w:rPr>
                <w:rFonts w:eastAsia="Times New Roman"/>
                <w:b/>
                <w:bCs/>
                <w:color w:val="FFFFFF"/>
                <w:lang w:val="es-DO"/>
              </w:rPr>
              <w:t>Obras</w:t>
            </w:r>
          </w:p>
        </w:tc>
        <w:tc>
          <w:tcPr>
            <w:tcW w:w="2038" w:type="dxa"/>
            <w:tcBorders>
              <w:top w:val="single" w:sz="8" w:space="0" w:color="auto"/>
              <w:left w:val="nil"/>
              <w:bottom w:val="single" w:sz="8" w:space="0" w:color="auto"/>
              <w:right w:val="single" w:sz="8" w:space="0" w:color="auto"/>
            </w:tcBorders>
            <w:shd w:val="clear" w:color="000000" w:fill="003876"/>
            <w:noWrap/>
            <w:vAlign w:val="center"/>
            <w:hideMark/>
          </w:tcPr>
          <w:p w14:paraId="103E24BA"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Presupuesto</w:t>
            </w:r>
          </w:p>
        </w:tc>
        <w:tc>
          <w:tcPr>
            <w:tcW w:w="1856" w:type="dxa"/>
            <w:tcBorders>
              <w:top w:val="single" w:sz="8" w:space="0" w:color="auto"/>
              <w:left w:val="nil"/>
              <w:bottom w:val="single" w:sz="8" w:space="0" w:color="auto"/>
              <w:right w:val="single" w:sz="8" w:space="0" w:color="auto"/>
            </w:tcBorders>
            <w:shd w:val="clear" w:color="000000" w:fill="003876"/>
            <w:noWrap/>
            <w:vAlign w:val="center"/>
            <w:hideMark/>
          </w:tcPr>
          <w:p w14:paraId="3B139F7B"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Ejecutado</w:t>
            </w:r>
          </w:p>
        </w:tc>
        <w:tc>
          <w:tcPr>
            <w:tcW w:w="1856" w:type="dxa"/>
            <w:tcBorders>
              <w:top w:val="single" w:sz="8" w:space="0" w:color="auto"/>
              <w:left w:val="nil"/>
              <w:bottom w:val="single" w:sz="8" w:space="0" w:color="auto"/>
              <w:right w:val="single" w:sz="8" w:space="0" w:color="auto"/>
            </w:tcBorders>
            <w:shd w:val="clear" w:color="000000" w:fill="003876"/>
            <w:noWrap/>
            <w:vAlign w:val="center"/>
            <w:hideMark/>
          </w:tcPr>
          <w:p w14:paraId="7AD9F617"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Balance</w:t>
            </w:r>
          </w:p>
        </w:tc>
      </w:tr>
      <w:tr w:rsidR="008670C1" w:rsidRPr="00A40ED9" w14:paraId="17EA5C29" w14:textId="77777777" w:rsidTr="00D13CD3">
        <w:trPr>
          <w:trHeight w:val="241"/>
          <w:jc w:val="center"/>
        </w:trPr>
        <w:tc>
          <w:tcPr>
            <w:tcW w:w="3043" w:type="dxa"/>
            <w:tcBorders>
              <w:top w:val="nil"/>
              <w:left w:val="single" w:sz="8" w:space="0" w:color="auto"/>
              <w:bottom w:val="single" w:sz="8" w:space="0" w:color="auto"/>
              <w:right w:val="single" w:sz="8" w:space="0" w:color="auto"/>
            </w:tcBorders>
            <w:noWrap/>
            <w:vAlign w:val="center"/>
            <w:hideMark/>
          </w:tcPr>
          <w:p w14:paraId="49D93A5B" w14:textId="77777777" w:rsidR="008670C1" w:rsidRPr="004F5553" w:rsidRDefault="008670C1" w:rsidP="006B204A">
            <w:pPr>
              <w:spacing w:after="0" w:line="360" w:lineRule="auto"/>
              <w:rPr>
                <w:rFonts w:eastAsia="Times New Roman"/>
                <w:color w:val="000000"/>
                <w:lang w:val="es-DO"/>
              </w:rPr>
            </w:pPr>
            <w:r w:rsidRPr="004F5553">
              <w:rPr>
                <w:rFonts w:eastAsia="Times New Roman"/>
                <w:lang w:val="es-DO"/>
              </w:rPr>
              <w:t>Obras en edificaciones</w:t>
            </w:r>
          </w:p>
        </w:tc>
        <w:tc>
          <w:tcPr>
            <w:tcW w:w="2038" w:type="dxa"/>
            <w:tcBorders>
              <w:top w:val="nil"/>
              <w:left w:val="nil"/>
              <w:bottom w:val="single" w:sz="8" w:space="0" w:color="auto"/>
              <w:right w:val="single" w:sz="8" w:space="0" w:color="auto"/>
            </w:tcBorders>
            <w:noWrap/>
            <w:vAlign w:val="center"/>
            <w:hideMark/>
          </w:tcPr>
          <w:p w14:paraId="2DA08B3A" w14:textId="77777777" w:rsidR="008670C1" w:rsidRPr="004F5553" w:rsidRDefault="008670C1" w:rsidP="006B204A">
            <w:pPr>
              <w:spacing w:after="0" w:line="360" w:lineRule="auto"/>
              <w:jc w:val="center"/>
              <w:rPr>
                <w:rFonts w:eastAsia="Times New Roman"/>
                <w:lang w:val="es-DO"/>
              </w:rPr>
            </w:pPr>
            <w:r w:rsidRPr="004F5553">
              <w:rPr>
                <w:rFonts w:eastAsia="Times New Roman"/>
                <w:lang w:val="es-DO"/>
              </w:rPr>
              <w:t>170,285,393</w:t>
            </w:r>
          </w:p>
        </w:tc>
        <w:tc>
          <w:tcPr>
            <w:tcW w:w="1856" w:type="dxa"/>
            <w:tcBorders>
              <w:top w:val="nil"/>
              <w:left w:val="nil"/>
              <w:bottom w:val="single" w:sz="8" w:space="0" w:color="auto"/>
              <w:right w:val="single" w:sz="8" w:space="0" w:color="auto"/>
            </w:tcBorders>
            <w:noWrap/>
            <w:vAlign w:val="center"/>
            <w:hideMark/>
          </w:tcPr>
          <w:p w14:paraId="030A0591" w14:textId="14D65343" w:rsidR="008670C1" w:rsidRPr="004F5553" w:rsidRDefault="00CD3EDA" w:rsidP="006B204A">
            <w:pPr>
              <w:spacing w:after="0" w:line="360" w:lineRule="auto"/>
              <w:jc w:val="center"/>
              <w:rPr>
                <w:rFonts w:eastAsia="Times New Roman"/>
                <w:lang w:val="es-DO"/>
              </w:rPr>
            </w:pPr>
            <w:r w:rsidRPr="00CD3EDA">
              <w:rPr>
                <w:rFonts w:eastAsia="Times New Roman"/>
                <w:lang w:val="es-DO"/>
              </w:rPr>
              <w:t>42,859,150</w:t>
            </w:r>
          </w:p>
        </w:tc>
        <w:tc>
          <w:tcPr>
            <w:tcW w:w="1856" w:type="dxa"/>
            <w:tcBorders>
              <w:top w:val="nil"/>
              <w:left w:val="nil"/>
              <w:bottom w:val="single" w:sz="8" w:space="0" w:color="auto"/>
              <w:right w:val="single" w:sz="8" w:space="0" w:color="auto"/>
            </w:tcBorders>
            <w:noWrap/>
            <w:vAlign w:val="center"/>
            <w:hideMark/>
          </w:tcPr>
          <w:p w14:paraId="328448D2" w14:textId="15AA6D95" w:rsidR="008670C1" w:rsidRPr="004F5553" w:rsidRDefault="00CD3EDA" w:rsidP="006B204A">
            <w:pPr>
              <w:spacing w:after="0" w:line="360" w:lineRule="auto"/>
              <w:jc w:val="center"/>
              <w:rPr>
                <w:rFonts w:eastAsia="Times New Roman"/>
                <w:lang w:val="es-DO"/>
              </w:rPr>
            </w:pPr>
            <w:r w:rsidRPr="00CD3EDA">
              <w:rPr>
                <w:lang w:val="es-DO"/>
              </w:rPr>
              <w:t>127,426,242</w:t>
            </w:r>
          </w:p>
        </w:tc>
      </w:tr>
      <w:tr w:rsidR="008670C1" w:rsidRPr="00A40ED9" w14:paraId="69A6FD42" w14:textId="77777777" w:rsidTr="00D13CD3">
        <w:trPr>
          <w:trHeight w:val="241"/>
          <w:jc w:val="center"/>
        </w:trPr>
        <w:tc>
          <w:tcPr>
            <w:tcW w:w="3043" w:type="dxa"/>
            <w:tcBorders>
              <w:top w:val="nil"/>
              <w:left w:val="single" w:sz="8" w:space="0" w:color="auto"/>
              <w:bottom w:val="single" w:sz="8" w:space="0" w:color="auto"/>
              <w:right w:val="single" w:sz="8" w:space="0" w:color="auto"/>
            </w:tcBorders>
            <w:shd w:val="clear" w:color="000000" w:fill="003876"/>
            <w:noWrap/>
            <w:vAlign w:val="center"/>
            <w:hideMark/>
          </w:tcPr>
          <w:p w14:paraId="14DE6065" w14:textId="77777777" w:rsidR="008670C1" w:rsidRPr="004F5553" w:rsidRDefault="008670C1" w:rsidP="006B204A">
            <w:pPr>
              <w:spacing w:after="0" w:line="360" w:lineRule="auto"/>
              <w:rPr>
                <w:rFonts w:eastAsia="Times New Roman"/>
                <w:b/>
                <w:bCs/>
                <w:color w:val="FFFFFF"/>
                <w:lang w:val="es-DO"/>
              </w:rPr>
            </w:pPr>
            <w:proofErr w:type="gramStart"/>
            <w:r w:rsidRPr="004F5553">
              <w:rPr>
                <w:rFonts w:eastAsia="Times New Roman"/>
                <w:b/>
                <w:bCs/>
                <w:color w:val="FFFFFF"/>
                <w:lang w:val="es-DO"/>
              </w:rPr>
              <w:t>Total</w:t>
            </w:r>
            <w:proofErr w:type="gramEnd"/>
            <w:r w:rsidRPr="004F5553">
              <w:rPr>
                <w:rFonts w:eastAsia="Times New Roman"/>
                <w:b/>
                <w:bCs/>
                <w:color w:val="FFFFFF"/>
                <w:lang w:val="es-DO"/>
              </w:rPr>
              <w:t xml:space="preserve"> obras</w:t>
            </w:r>
          </w:p>
        </w:tc>
        <w:tc>
          <w:tcPr>
            <w:tcW w:w="2038" w:type="dxa"/>
            <w:tcBorders>
              <w:top w:val="nil"/>
              <w:left w:val="nil"/>
              <w:bottom w:val="single" w:sz="8" w:space="0" w:color="auto"/>
              <w:right w:val="single" w:sz="8" w:space="0" w:color="auto"/>
            </w:tcBorders>
            <w:shd w:val="clear" w:color="000000" w:fill="003876"/>
            <w:vAlign w:val="center"/>
            <w:hideMark/>
          </w:tcPr>
          <w:p w14:paraId="3224D1D1"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170,285,393</w:t>
            </w:r>
          </w:p>
        </w:tc>
        <w:tc>
          <w:tcPr>
            <w:tcW w:w="1856" w:type="dxa"/>
            <w:tcBorders>
              <w:top w:val="nil"/>
              <w:left w:val="nil"/>
              <w:bottom w:val="single" w:sz="8" w:space="0" w:color="auto"/>
              <w:right w:val="single" w:sz="8" w:space="0" w:color="auto"/>
            </w:tcBorders>
            <w:shd w:val="clear" w:color="000000" w:fill="003876"/>
            <w:vAlign w:val="center"/>
            <w:hideMark/>
          </w:tcPr>
          <w:p w14:paraId="49921192" w14:textId="1FBF05FF" w:rsidR="008670C1" w:rsidRPr="004F5553"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42,859,150</w:t>
            </w:r>
          </w:p>
        </w:tc>
        <w:tc>
          <w:tcPr>
            <w:tcW w:w="1856" w:type="dxa"/>
            <w:tcBorders>
              <w:top w:val="nil"/>
              <w:left w:val="nil"/>
              <w:bottom w:val="single" w:sz="8" w:space="0" w:color="auto"/>
              <w:right w:val="single" w:sz="8" w:space="0" w:color="auto"/>
            </w:tcBorders>
            <w:shd w:val="clear" w:color="000000" w:fill="003876"/>
            <w:noWrap/>
            <w:vAlign w:val="center"/>
            <w:hideMark/>
          </w:tcPr>
          <w:p w14:paraId="03B8F54B" w14:textId="73950F75" w:rsidR="008670C1" w:rsidRPr="004F5553"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127,426,242</w:t>
            </w:r>
          </w:p>
        </w:tc>
      </w:tr>
      <w:tr w:rsidR="008670C1" w:rsidRPr="00A40ED9" w14:paraId="18AFD8DE" w14:textId="77777777" w:rsidTr="00516CA4">
        <w:trPr>
          <w:trHeight w:val="241"/>
          <w:jc w:val="center"/>
        </w:trPr>
        <w:tc>
          <w:tcPr>
            <w:tcW w:w="3043" w:type="dxa"/>
            <w:tcBorders>
              <w:top w:val="nil"/>
              <w:left w:val="nil"/>
              <w:bottom w:val="single" w:sz="4" w:space="0" w:color="auto"/>
              <w:right w:val="nil"/>
            </w:tcBorders>
            <w:noWrap/>
            <w:vAlign w:val="bottom"/>
            <w:hideMark/>
          </w:tcPr>
          <w:p w14:paraId="464EC3F6" w14:textId="77777777" w:rsidR="008670C1" w:rsidRPr="004F5553" w:rsidRDefault="008670C1" w:rsidP="006B204A">
            <w:pPr>
              <w:spacing w:after="0" w:line="360" w:lineRule="auto"/>
              <w:jc w:val="center"/>
              <w:rPr>
                <w:rFonts w:eastAsia="Times New Roman"/>
                <w:b/>
                <w:bCs/>
                <w:color w:val="FFFFFF"/>
                <w:lang w:val="es-DO"/>
              </w:rPr>
            </w:pPr>
          </w:p>
        </w:tc>
        <w:tc>
          <w:tcPr>
            <w:tcW w:w="2038" w:type="dxa"/>
            <w:tcBorders>
              <w:top w:val="nil"/>
              <w:left w:val="nil"/>
              <w:bottom w:val="single" w:sz="4" w:space="0" w:color="auto"/>
              <w:right w:val="nil"/>
            </w:tcBorders>
            <w:noWrap/>
            <w:vAlign w:val="bottom"/>
            <w:hideMark/>
          </w:tcPr>
          <w:p w14:paraId="56C09F4A" w14:textId="77777777" w:rsidR="008670C1" w:rsidRPr="004F5553" w:rsidRDefault="008670C1" w:rsidP="006B204A">
            <w:pPr>
              <w:spacing w:after="0" w:line="360" w:lineRule="auto"/>
              <w:rPr>
                <w:rFonts w:eastAsia="Times New Roman"/>
                <w:lang w:val="es-DO"/>
              </w:rPr>
            </w:pPr>
          </w:p>
        </w:tc>
        <w:tc>
          <w:tcPr>
            <w:tcW w:w="1856" w:type="dxa"/>
            <w:tcBorders>
              <w:top w:val="nil"/>
              <w:left w:val="nil"/>
              <w:bottom w:val="single" w:sz="4" w:space="0" w:color="auto"/>
              <w:right w:val="nil"/>
            </w:tcBorders>
            <w:noWrap/>
            <w:vAlign w:val="bottom"/>
            <w:hideMark/>
          </w:tcPr>
          <w:p w14:paraId="36ABBB71" w14:textId="77777777" w:rsidR="008670C1" w:rsidRPr="004F5553" w:rsidRDefault="008670C1" w:rsidP="006B204A">
            <w:pPr>
              <w:spacing w:after="0" w:line="360" w:lineRule="auto"/>
              <w:rPr>
                <w:rFonts w:eastAsia="Times New Roman"/>
                <w:lang w:val="es-DO"/>
              </w:rPr>
            </w:pPr>
          </w:p>
        </w:tc>
        <w:tc>
          <w:tcPr>
            <w:tcW w:w="1856" w:type="dxa"/>
            <w:tcBorders>
              <w:top w:val="nil"/>
              <w:left w:val="nil"/>
              <w:bottom w:val="single" w:sz="4" w:space="0" w:color="auto"/>
              <w:right w:val="nil"/>
            </w:tcBorders>
            <w:noWrap/>
            <w:vAlign w:val="center"/>
            <w:hideMark/>
          </w:tcPr>
          <w:p w14:paraId="7542A48E" w14:textId="77777777" w:rsidR="008670C1" w:rsidRPr="004F5553" w:rsidRDefault="008670C1" w:rsidP="006B204A">
            <w:pPr>
              <w:spacing w:after="0" w:line="360" w:lineRule="auto"/>
              <w:rPr>
                <w:rFonts w:eastAsia="Times New Roman"/>
                <w:lang w:val="es-DO"/>
              </w:rPr>
            </w:pPr>
          </w:p>
        </w:tc>
      </w:tr>
      <w:tr w:rsidR="00946203" w:rsidRPr="00A40ED9" w14:paraId="034A95AA" w14:textId="77777777" w:rsidTr="00516CA4">
        <w:trPr>
          <w:trHeight w:val="241"/>
          <w:jc w:val="center"/>
        </w:trPr>
        <w:tc>
          <w:tcPr>
            <w:tcW w:w="3043" w:type="dxa"/>
            <w:tcBorders>
              <w:top w:val="single" w:sz="4" w:space="0" w:color="auto"/>
              <w:left w:val="single" w:sz="4" w:space="0" w:color="auto"/>
              <w:bottom w:val="single" w:sz="4" w:space="0" w:color="auto"/>
              <w:right w:val="nil"/>
            </w:tcBorders>
            <w:shd w:val="clear" w:color="000000" w:fill="003876"/>
            <w:noWrap/>
            <w:vAlign w:val="center"/>
            <w:hideMark/>
          </w:tcPr>
          <w:p w14:paraId="2D1F8B1A" w14:textId="77777777" w:rsidR="008670C1" w:rsidRPr="004F5553" w:rsidRDefault="008670C1" w:rsidP="006B204A">
            <w:pPr>
              <w:spacing w:after="0" w:line="360" w:lineRule="auto"/>
              <w:rPr>
                <w:rFonts w:eastAsia="Times New Roman"/>
                <w:b/>
                <w:bCs/>
                <w:color w:val="FFFFFF"/>
                <w:lang w:val="es-DO"/>
              </w:rPr>
            </w:pPr>
            <w:proofErr w:type="gramStart"/>
            <w:r w:rsidRPr="004F5553">
              <w:rPr>
                <w:rFonts w:eastAsia="Times New Roman"/>
                <w:b/>
                <w:bCs/>
                <w:color w:val="FFFFFF"/>
                <w:lang w:val="es-DO"/>
              </w:rPr>
              <w:t>Total</w:t>
            </w:r>
            <w:proofErr w:type="gramEnd"/>
            <w:r w:rsidRPr="004F5553">
              <w:rPr>
                <w:rFonts w:eastAsia="Times New Roman"/>
                <w:b/>
                <w:bCs/>
                <w:color w:val="FFFFFF"/>
                <w:lang w:val="es-DO"/>
              </w:rPr>
              <w:t xml:space="preserve"> general</w:t>
            </w:r>
          </w:p>
        </w:tc>
        <w:tc>
          <w:tcPr>
            <w:tcW w:w="2038" w:type="dxa"/>
            <w:tcBorders>
              <w:top w:val="single" w:sz="4" w:space="0" w:color="auto"/>
              <w:left w:val="nil"/>
              <w:bottom w:val="single" w:sz="4" w:space="0" w:color="auto"/>
              <w:right w:val="nil"/>
            </w:tcBorders>
            <w:shd w:val="clear" w:color="000000" w:fill="003876"/>
            <w:noWrap/>
            <w:vAlign w:val="center"/>
            <w:hideMark/>
          </w:tcPr>
          <w:p w14:paraId="2E281EBE" w14:textId="77777777" w:rsidR="008670C1" w:rsidRPr="004F5553" w:rsidRDefault="008670C1" w:rsidP="006B204A">
            <w:pPr>
              <w:spacing w:after="0" w:line="360" w:lineRule="auto"/>
              <w:jc w:val="center"/>
              <w:rPr>
                <w:rFonts w:eastAsia="Times New Roman"/>
                <w:b/>
                <w:bCs/>
                <w:color w:val="FFFFFF"/>
                <w:lang w:val="es-DO"/>
              </w:rPr>
            </w:pPr>
            <w:r w:rsidRPr="004F5553">
              <w:rPr>
                <w:rFonts w:eastAsia="Times New Roman"/>
                <w:b/>
                <w:bCs/>
                <w:color w:val="FFFFFF"/>
                <w:lang w:val="es-DO"/>
              </w:rPr>
              <w:t>6,082,542,497</w:t>
            </w:r>
          </w:p>
        </w:tc>
        <w:tc>
          <w:tcPr>
            <w:tcW w:w="1856" w:type="dxa"/>
            <w:tcBorders>
              <w:top w:val="single" w:sz="4" w:space="0" w:color="auto"/>
              <w:left w:val="nil"/>
              <w:bottom w:val="single" w:sz="4" w:space="0" w:color="auto"/>
              <w:right w:val="nil"/>
            </w:tcBorders>
            <w:shd w:val="clear" w:color="000000" w:fill="003876"/>
            <w:noWrap/>
            <w:vAlign w:val="center"/>
            <w:hideMark/>
          </w:tcPr>
          <w:p w14:paraId="54301EA3" w14:textId="30587C3E" w:rsidR="008670C1" w:rsidRPr="004F5553"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4,851,375,129</w:t>
            </w:r>
          </w:p>
        </w:tc>
        <w:tc>
          <w:tcPr>
            <w:tcW w:w="1856" w:type="dxa"/>
            <w:tcBorders>
              <w:top w:val="single" w:sz="4" w:space="0" w:color="auto"/>
              <w:left w:val="nil"/>
              <w:bottom w:val="single" w:sz="4" w:space="0" w:color="auto"/>
              <w:right w:val="single" w:sz="4" w:space="0" w:color="auto"/>
            </w:tcBorders>
            <w:shd w:val="clear" w:color="000000" w:fill="003876"/>
            <w:noWrap/>
            <w:vAlign w:val="center"/>
            <w:hideMark/>
          </w:tcPr>
          <w:p w14:paraId="55143538" w14:textId="042EA034" w:rsidR="008670C1" w:rsidRPr="004F5553" w:rsidRDefault="00CD3EDA" w:rsidP="006B204A">
            <w:pPr>
              <w:spacing w:after="0" w:line="360" w:lineRule="auto"/>
              <w:jc w:val="center"/>
              <w:rPr>
                <w:rFonts w:eastAsia="Times New Roman"/>
                <w:b/>
                <w:bCs/>
                <w:color w:val="FFFFFF"/>
                <w:lang w:val="es-DO"/>
              </w:rPr>
            </w:pPr>
            <w:r w:rsidRPr="00CD3EDA">
              <w:rPr>
                <w:rFonts w:eastAsia="Times New Roman"/>
                <w:b/>
                <w:bCs/>
                <w:color w:val="FFFFFF"/>
                <w:lang w:val="es-DO"/>
              </w:rPr>
              <w:t>1,231,167,368</w:t>
            </w:r>
          </w:p>
        </w:tc>
      </w:tr>
    </w:tbl>
    <w:p w14:paraId="74CD32F9" w14:textId="5C822149" w:rsidR="008670C1" w:rsidRPr="00C865B6" w:rsidRDefault="008670C1" w:rsidP="006B204A">
      <w:pPr>
        <w:spacing w:after="0" w:line="240" w:lineRule="auto"/>
        <w:rPr>
          <w:b/>
          <w:bCs/>
        </w:rPr>
      </w:pPr>
    </w:p>
    <w:p w14:paraId="3B84F154" w14:textId="509B08CD" w:rsidR="002E3017" w:rsidRPr="00E90EB4" w:rsidRDefault="00E90EB4" w:rsidP="00E90EB4">
      <w:pPr>
        <w:spacing w:line="360" w:lineRule="auto"/>
        <w:jc w:val="center"/>
        <w:rPr>
          <w:lang w:val="es-DO"/>
        </w:rPr>
      </w:pPr>
      <w:r w:rsidRPr="007B7853">
        <w:rPr>
          <w:b/>
          <w:bCs/>
          <w:lang w:val="es-DO"/>
        </w:rPr>
        <w:t>Fuente</w:t>
      </w:r>
      <w:r w:rsidRPr="00C865B6">
        <w:rPr>
          <w:lang w:val="es-DO"/>
        </w:rPr>
        <w:t xml:space="preserve">: </w:t>
      </w:r>
      <w:r w:rsidRPr="007B7853">
        <w:rPr>
          <w:lang w:val="es-DO"/>
        </w:rPr>
        <w:t>Departamento Administrativo</w:t>
      </w:r>
      <w:r>
        <w:rPr>
          <w:lang w:val="es-DO"/>
        </w:rPr>
        <w:t xml:space="preserve"> y</w:t>
      </w:r>
      <w:r w:rsidRPr="007B7853">
        <w:rPr>
          <w:lang w:val="es-DO"/>
        </w:rPr>
        <w:t xml:space="preserve"> Financiero. Superintendencia de Bancos de la República Dominicana, 202</w:t>
      </w:r>
      <w:r>
        <w:rPr>
          <w:lang w:val="es-DO"/>
        </w:rPr>
        <w:t>3.</w:t>
      </w:r>
    </w:p>
    <w:p w14:paraId="66C865F3" w14:textId="77777777" w:rsidR="002E3017" w:rsidRDefault="002E3017" w:rsidP="004F5553">
      <w:pPr>
        <w:tabs>
          <w:tab w:val="left" w:pos="6420"/>
        </w:tabs>
        <w:spacing w:line="360" w:lineRule="auto"/>
        <w:jc w:val="center"/>
        <w:rPr>
          <w:b/>
          <w:bCs/>
          <w:lang w:val="es-DO"/>
        </w:rPr>
      </w:pPr>
    </w:p>
    <w:p w14:paraId="529FD0C5" w14:textId="77777777" w:rsidR="002E3017" w:rsidRDefault="002E3017" w:rsidP="004F5553">
      <w:pPr>
        <w:tabs>
          <w:tab w:val="left" w:pos="6420"/>
        </w:tabs>
        <w:spacing w:line="360" w:lineRule="auto"/>
        <w:jc w:val="center"/>
        <w:rPr>
          <w:b/>
          <w:bCs/>
          <w:lang w:val="es-DO"/>
        </w:rPr>
      </w:pPr>
    </w:p>
    <w:p w14:paraId="213A16BD" w14:textId="77777777" w:rsidR="000C6843" w:rsidRDefault="000C6843" w:rsidP="004F5553">
      <w:pPr>
        <w:tabs>
          <w:tab w:val="left" w:pos="6420"/>
        </w:tabs>
        <w:spacing w:line="360" w:lineRule="auto"/>
        <w:jc w:val="center"/>
        <w:rPr>
          <w:b/>
          <w:bCs/>
          <w:lang w:val="es-DO"/>
        </w:rPr>
      </w:pPr>
    </w:p>
    <w:p w14:paraId="7F298359" w14:textId="75ADAD35" w:rsidR="008670C1" w:rsidRPr="006D1150" w:rsidRDefault="008670C1" w:rsidP="006D1150">
      <w:pPr>
        <w:tabs>
          <w:tab w:val="left" w:pos="6420"/>
        </w:tabs>
        <w:spacing w:line="360" w:lineRule="auto"/>
        <w:jc w:val="center"/>
        <w:rPr>
          <w:b/>
          <w:bCs/>
          <w:lang w:val="es-DO"/>
        </w:rPr>
      </w:pPr>
      <w:r w:rsidRPr="004F5553">
        <w:rPr>
          <w:b/>
          <w:bCs/>
          <w:lang w:val="es-DO"/>
        </w:rPr>
        <w:lastRenderedPageBreak/>
        <w:t xml:space="preserve">Anexo </w:t>
      </w:r>
      <w:r w:rsidR="007C66F2">
        <w:rPr>
          <w:b/>
          <w:bCs/>
          <w:lang w:val="es-DO"/>
        </w:rPr>
        <w:t>2</w:t>
      </w:r>
      <w:r w:rsidRPr="004F5553">
        <w:rPr>
          <w:b/>
          <w:bCs/>
          <w:lang w:val="es-DO"/>
        </w:rPr>
        <w:t>. Plan Anual de Compras y Contrataciones 2023</w:t>
      </w:r>
      <w:r w:rsidRPr="004F5553">
        <w:fldChar w:fldCharType="begin"/>
      </w:r>
      <w:r w:rsidRPr="004F5553">
        <w:rPr>
          <w:lang w:val="es-DO"/>
        </w:rPr>
        <w:instrText xml:space="preserve"> LINK Excel.SheetMacroEnabled.12 "C:\\Users\\roperez\\AppData\\Local\\Microsoft\\Windows\\INetCache\\Content.Outlook\\T9KAE2LW\\PACC_2021_V1 (1).xlsm" "RESUMEN!F6C2:F39C3" \a \f 5 \h  \* MERGEFORMAT </w:instrText>
      </w:r>
      <w:r w:rsidRPr="004F5553">
        <w:fldChar w:fldCharType="separat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520"/>
      </w:tblGrid>
      <w:tr w:rsidR="008670C1" w:rsidRPr="004F5553" w14:paraId="15F67BD5" w14:textId="77777777" w:rsidTr="002E3017">
        <w:trPr>
          <w:trHeight w:val="300"/>
          <w:tblHeader/>
          <w:jc w:val="center"/>
        </w:trPr>
        <w:tc>
          <w:tcPr>
            <w:tcW w:w="0" w:type="auto"/>
            <w:gridSpan w:val="2"/>
            <w:shd w:val="clear" w:color="auto" w:fill="003876"/>
            <w:hideMark/>
          </w:tcPr>
          <w:p w14:paraId="76A0E823" w14:textId="77777777" w:rsidR="008670C1" w:rsidRPr="004F5553" w:rsidRDefault="008670C1" w:rsidP="006B204A">
            <w:pPr>
              <w:spacing w:after="0" w:line="360" w:lineRule="auto"/>
              <w:jc w:val="center"/>
            </w:pPr>
            <w:proofErr w:type="spellStart"/>
            <w:r w:rsidRPr="004F5553">
              <w:rPr>
                <w:color w:val="FFFFFF" w:themeColor="background1"/>
              </w:rPr>
              <w:t>Datos</w:t>
            </w:r>
            <w:proofErr w:type="spellEnd"/>
            <w:r w:rsidRPr="004F5553">
              <w:rPr>
                <w:color w:val="FFFFFF" w:themeColor="background1"/>
              </w:rPr>
              <w:t xml:space="preserve"> de Cabecera PACC</w:t>
            </w:r>
          </w:p>
        </w:tc>
      </w:tr>
      <w:tr w:rsidR="008670C1" w:rsidRPr="004F5553" w14:paraId="1B3E8213" w14:textId="77777777">
        <w:trPr>
          <w:trHeight w:val="360"/>
          <w:jc w:val="center"/>
        </w:trPr>
        <w:tc>
          <w:tcPr>
            <w:tcW w:w="4390" w:type="dxa"/>
            <w:shd w:val="clear" w:color="auto" w:fill="auto"/>
            <w:hideMark/>
          </w:tcPr>
          <w:p w14:paraId="2BF94A42" w14:textId="77777777" w:rsidR="008670C1" w:rsidRPr="004F5553" w:rsidRDefault="008670C1" w:rsidP="006B204A">
            <w:pPr>
              <w:spacing w:line="360" w:lineRule="auto"/>
              <w:rPr>
                <w:b/>
                <w:bCs/>
              </w:rPr>
            </w:pPr>
            <w:r w:rsidRPr="004F5553">
              <w:rPr>
                <w:b/>
                <w:bCs/>
              </w:rPr>
              <w:t xml:space="preserve">Monto </w:t>
            </w:r>
            <w:proofErr w:type="spellStart"/>
            <w:r w:rsidRPr="004F5553">
              <w:rPr>
                <w:b/>
                <w:bCs/>
              </w:rPr>
              <w:t>Estimado</w:t>
            </w:r>
            <w:proofErr w:type="spellEnd"/>
            <w:r w:rsidRPr="004F5553">
              <w:rPr>
                <w:b/>
                <w:bCs/>
              </w:rPr>
              <w:t xml:space="preserve"> Total</w:t>
            </w:r>
          </w:p>
        </w:tc>
        <w:tc>
          <w:tcPr>
            <w:tcW w:w="3520" w:type="dxa"/>
            <w:shd w:val="clear" w:color="auto" w:fill="auto"/>
            <w:noWrap/>
            <w:vAlign w:val="bottom"/>
            <w:hideMark/>
          </w:tcPr>
          <w:p w14:paraId="15A2A271" w14:textId="77777777" w:rsidR="008670C1" w:rsidRPr="004F5553" w:rsidRDefault="008670C1" w:rsidP="006B204A">
            <w:pPr>
              <w:spacing w:line="360" w:lineRule="auto"/>
              <w:jc w:val="center"/>
            </w:pPr>
            <w:r w:rsidRPr="004F5553">
              <w:t xml:space="preserve">RD$749,113,733.48 </w:t>
            </w:r>
          </w:p>
        </w:tc>
      </w:tr>
      <w:tr w:rsidR="008670C1" w:rsidRPr="004F5553" w14:paraId="1B03513F" w14:textId="77777777">
        <w:trPr>
          <w:trHeight w:val="360"/>
          <w:jc w:val="center"/>
        </w:trPr>
        <w:tc>
          <w:tcPr>
            <w:tcW w:w="4390" w:type="dxa"/>
            <w:shd w:val="clear" w:color="auto" w:fill="auto"/>
            <w:hideMark/>
          </w:tcPr>
          <w:p w14:paraId="4810CF25" w14:textId="77777777" w:rsidR="008670C1" w:rsidRPr="004F5553" w:rsidRDefault="008670C1" w:rsidP="006B204A">
            <w:pPr>
              <w:spacing w:line="360" w:lineRule="auto"/>
              <w:rPr>
                <w:b/>
                <w:bCs/>
              </w:rPr>
            </w:pPr>
            <w:proofErr w:type="spellStart"/>
            <w:r w:rsidRPr="004F5553">
              <w:rPr>
                <w:b/>
                <w:bCs/>
              </w:rPr>
              <w:t>Cantidad</w:t>
            </w:r>
            <w:proofErr w:type="spellEnd"/>
            <w:r w:rsidRPr="004F5553">
              <w:rPr>
                <w:b/>
                <w:bCs/>
              </w:rPr>
              <w:t xml:space="preserve"> De </w:t>
            </w:r>
            <w:proofErr w:type="spellStart"/>
            <w:r w:rsidRPr="004F5553">
              <w:rPr>
                <w:b/>
                <w:bCs/>
              </w:rPr>
              <w:t>Procesos</w:t>
            </w:r>
            <w:proofErr w:type="spellEnd"/>
            <w:r w:rsidRPr="004F5553">
              <w:rPr>
                <w:b/>
                <w:bCs/>
              </w:rPr>
              <w:t xml:space="preserve"> </w:t>
            </w:r>
            <w:proofErr w:type="spellStart"/>
            <w:r w:rsidRPr="004F5553">
              <w:rPr>
                <w:b/>
                <w:bCs/>
              </w:rPr>
              <w:t>Registrados</w:t>
            </w:r>
            <w:proofErr w:type="spellEnd"/>
          </w:p>
        </w:tc>
        <w:tc>
          <w:tcPr>
            <w:tcW w:w="3520" w:type="dxa"/>
            <w:shd w:val="clear" w:color="auto" w:fill="auto"/>
            <w:noWrap/>
            <w:vAlign w:val="bottom"/>
            <w:hideMark/>
          </w:tcPr>
          <w:p w14:paraId="47E799C7" w14:textId="77777777" w:rsidR="008670C1" w:rsidRPr="004F5553" w:rsidRDefault="008670C1" w:rsidP="006B204A">
            <w:pPr>
              <w:spacing w:line="360" w:lineRule="auto"/>
              <w:jc w:val="center"/>
            </w:pPr>
            <w:r w:rsidRPr="004F5553">
              <w:t>241</w:t>
            </w:r>
          </w:p>
        </w:tc>
      </w:tr>
      <w:tr w:rsidR="008670C1" w:rsidRPr="004F5553" w14:paraId="743D6CDB" w14:textId="77777777">
        <w:trPr>
          <w:trHeight w:val="360"/>
          <w:jc w:val="center"/>
        </w:trPr>
        <w:tc>
          <w:tcPr>
            <w:tcW w:w="4390" w:type="dxa"/>
            <w:shd w:val="clear" w:color="auto" w:fill="auto"/>
            <w:hideMark/>
          </w:tcPr>
          <w:p w14:paraId="69508B37" w14:textId="77777777" w:rsidR="008670C1" w:rsidRPr="004F5553" w:rsidRDefault="008670C1" w:rsidP="006B204A">
            <w:pPr>
              <w:spacing w:line="360" w:lineRule="auto"/>
              <w:rPr>
                <w:b/>
                <w:bCs/>
              </w:rPr>
            </w:pPr>
            <w:proofErr w:type="spellStart"/>
            <w:r w:rsidRPr="004F5553">
              <w:rPr>
                <w:b/>
                <w:bCs/>
              </w:rPr>
              <w:t>Capítulo</w:t>
            </w:r>
            <w:proofErr w:type="spellEnd"/>
          </w:p>
        </w:tc>
        <w:tc>
          <w:tcPr>
            <w:tcW w:w="3520" w:type="dxa"/>
            <w:shd w:val="clear" w:color="auto" w:fill="auto"/>
            <w:noWrap/>
            <w:vAlign w:val="bottom"/>
            <w:hideMark/>
          </w:tcPr>
          <w:p w14:paraId="51F9B910" w14:textId="77777777" w:rsidR="008670C1" w:rsidRPr="004F5553" w:rsidRDefault="008670C1" w:rsidP="006B204A">
            <w:pPr>
              <w:spacing w:line="360" w:lineRule="auto"/>
              <w:jc w:val="center"/>
            </w:pPr>
            <w:r w:rsidRPr="004F5553">
              <w:t>5126</w:t>
            </w:r>
          </w:p>
        </w:tc>
      </w:tr>
      <w:tr w:rsidR="008670C1" w:rsidRPr="004F5553" w14:paraId="412D2597" w14:textId="77777777">
        <w:trPr>
          <w:trHeight w:val="360"/>
          <w:jc w:val="center"/>
        </w:trPr>
        <w:tc>
          <w:tcPr>
            <w:tcW w:w="4390" w:type="dxa"/>
            <w:shd w:val="clear" w:color="auto" w:fill="auto"/>
            <w:hideMark/>
          </w:tcPr>
          <w:p w14:paraId="738609C9" w14:textId="77777777" w:rsidR="008670C1" w:rsidRPr="004F5553" w:rsidRDefault="008670C1" w:rsidP="006B204A">
            <w:pPr>
              <w:spacing w:line="360" w:lineRule="auto"/>
              <w:rPr>
                <w:b/>
                <w:bCs/>
              </w:rPr>
            </w:pPr>
            <w:r w:rsidRPr="004F5553">
              <w:rPr>
                <w:b/>
                <w:bCs/>
              </w:rPr>
              <w:t>Sub-</w:t>
            </w:r>
            <w:proofErr w:type="spellStart"/>
            <w:r w:rsidRPr="004F5553">
              <w:rPr>
                <w:b/>
                <w:bCs/>
              </w:rPr>
              <w:t>Capítulo</w:t>
            </w:r>
            <w:proofErr w:type="spellEnd"/>
          </w:p>
        </w:tc>
        <w:tc>
          <w:tcPr>
            <w:tcW w:w="3520" w:type="dxa"/>
            <w:shd w:val="clear" w:color="auto" w:fill="auto"/>
            <w:noWrap/>
            <w:vAlign w:val="bottom"/>
            <w:hideMark/>
          </w:tcPr>
          <w:p w14:paraId="78326A83" w14:textId="77777777" w:rsidR="008670C1" w:rsidRPr="004F5553" w:rsidRDefault="008670C1" w:rsidP="006B204A">
            <w:pPr>
              <w:spacing w:line="360" w:lineRule="auto"/>
              <w:jc w:val="center"/>
            </w:pPr>
            <w:r w:rsidRPr="004F5553">
              <w:t>01</w:t>
            </w:r>
          </w:p>
        </w:tc>
      </w:tr>
      <w:tr w:rsidR="008670C1" w:rsidRPr="004F5553" w14:paraId="21C47579" w14:textId="77777777">
        <w:trPr>
          <w:trHeight w:val="360"/>
          <w:jc w:val="center"/>
        </w:trPr>
        <w:tc>
          <w:tcPr>
            <w:tcW w:w="4390" w:type="dxa"/>
            <w:shd w:val="clear" w:color="auto" w:fill="auto"/>
            <w:hideMark/>
          </w:tcPr>
          <w:p w14:paraId="7C07F163" w14:textId="77777777" w:rsidR="008670C1" w:rsidRPr="004F5553" w:rsidRDefault="008670C1" w:rsidP="006B204A">
            <w:pPr>
              <w:spacing w:line="360" w:lineRule="auto"/>
              <w:rPr>
                <w:b/>
                <w:bCs/>
              </w:rPr>
            </w:pPr>
            <w:r w:rsidRPr="004F5553">
              <w:rPr>
                <w:b/>
                <w:bCs/>
              </w:rPr>
              <w:t xml:space="preserve">Unidad </w:t>
            </w:r>
            <w:proofErr w:type="spellStart"/>
            <w:r w:rsidRPr="004F5553">
              <w:rPr>
                <w:b/>
                <w:bCs/>
              </w:rPr>
              <w:t>Ejecutora</w:t>
            </w:r>
            <w:proofErr w:type="spellEnd"/>
          </w:p>
        </w:tc>
        <w:tc>
          <w:tcPr>
            <w:tcW w:w="3520" w:type="dxa"/>
            <w:shd w:val="clear" w:color="auto" w:fill="auto"/>
            <w:noWrap/>
            <w:vAlign w:val="bottom"/>
            <w:hideMark/>
          </w:tcPr>
          <w:p w14:paraId="57C45382" w14:textId="77777777" w:rsidR="008670C1" w:rsidRPr="004F5553" w:rsidRDefault="008670C1" w:rsidP="006B204A">
            <w:pPr>
              <w:spacing w:line="360" w:lineRule="auto"/>
              <w:jc w:val="center"/>
            </w:pPr>
            <w:r w:rsidRPr="004F5553">
              <w:t>0001</w:t>
            </w:r>
          </w:p>
        </w:tc>
      </w:tr>
      <w:tr w:rsidR="008670C1" w:rsidRPr="004F5553" w14:paraId="6BB85E16" w14:textId="77777777">
        <w:trPr>
          <w:trHeight w:val="330"/>
          <w:jc w:val="center"/>
        </w:trPr>
        <w:tc>
          <w:tcPr>
            <w:tcW w:w="4390" w:type="dxa"/>
            <w:shd w:val="clear" w:color="auto" w:fill="auto"/>
            <w:hideMark/>
          </w:tcPr>
          <w:p w14:paraId="08DB753B" w14:textId="77777777" w:rsidR="008670C1" w:rsidRPr="004F5553" w:rsidRDefault="008670C1" w:rsidP="006B204A">
            <w:pPr>
              <w:spacing w:line="360" w:lineRule="auto"/>
              <w:rPr>
                <w:b/>
                <w:bCs/>
              </w:rPr>
            </w:pPr>
            <w:r w:rsidRPr="004F5553">
              <w:rPr>
                <w:b/>
                <w:bCs/>
              </w:rPr>
              <w:t xml:space="preserve">Unidad De </w:t>
            </w:r>
            <w:proofErr w:type="spellStart"/>
            <w:r w:rsidRPr="004F5553">
              <w:rPr>
                <w:b/>
                <w:bCs/>
              </w:rPr>
              <w:t>Compra</w:t>
            </w:r>
            <w:proofErr w:type="spellEnd"/>
          </w:p>
        </w:tc>
        <w:tc>
          <w:tcPr>
            <w:tcW w:w="3520" w:type="dxa"/>
            <w:shd w:val="clear" w:color="auto" w:fill="auto"/>
            <w:noWrap/>
            <w:vAlign w:val="bottom"/>
            <w:hideMark/>
          </w:tcPr>
          <w:p w14:paraId="662D1CD7" w14:textId="77777777" w:rsidR="008670C1" w:rsidRPr="004F5553" w:rsidRDefault="008670C1" w:rsidP="006B204A">
            <w:pPr>
              <w:spacing w:line="360" w:lineRule="auto"/>
              <w:jc w:val="center"/>
            </w:pPr>
            <w:proofErr w:type="spellStart"/>
            <w:r w:rsidRPr="004F5553">
              <w:t>Superintendencia</w:t>
            </w:r>
            <w:proofErr w:type="spellEnd"/>
            <w:r w:rsidRPr="004F5553">
              <w:t xml:space="preserve"> de </w:t>
            </w:r>
            <w:proofErr w:type="spellStart"/>
            <w:r w:rsidRPr="004F5553">
              <w:t>Bancos</w:t>
            </w:r>
            <w:proofErr w:type="spellEnd"/>
          </w:p>
        </w:tc>
      </w:tr>
      <w:tr w:rsidR="008670C1" w:rsidRPr="004F5553" w14:paraId="4E86C82F" w14:textId="77777777">
        <w:trPr>
          <w:trHeight w:val="53"/>
          <w:jc w:val="center"/>
        </w:trPr>
        <w:tc>
          <w:tcPr>
            <w:tcW w:w="4390" w:type="dxa"/>
            <w:shd w:val="clear" w:color="auto" w:fill="auto"/>
            <w:hideMark/>
          </w:tcPr>
          <w:p w14:paraId="1AFE671C" w14:textId="77777777" w:rsidR="008670C1" w:rsidRPr="004F5553" w:rsidRDefault="008670C1" w:rsidP="006B204A">
            <w:pPr>
              <w:spacing w:line="360" w:lineRule="auto"/>
              <w:rPr>
                <w:b/>
                <w:bCs/>
              </w:rPr>
            </w:pPr>
            <w:r w:rsidRPr="004F5553">
              <w:rPr>
                <w:b/>
                <w:bCs/>
              </w:rPr>
              <w:t>Año Fiscal</w:t>
            </w:r>
          </w:p>
        </w:tc>
        <w:tc>
          <w:tcPr>
            <w:tcW w:w="3520" w:type="dxa"/>
            <w:shd w:val="clear" w:color="auto" w:fill="auto"/>
            <w:noWrap/>
            <w:vAlign w:val="bottom"/>
            <w:hideMark/>
          </w:tcPr>
          <w:p w14:paraId="2CC64D0D" w14:textId="77777777" w:rsidR="008670C1" w:rsidRPr="004F5553" w:rsidRDefault="008670C1" w:rsidP="006B204A">
            <w:pPr>
              <w:spacing w:line="360" w:lineRule="auto"/>
              <w:jc w:val="center"/>
            </w:pPr>
            <w:r w:rsidRPr="004F5553">
              <w:t>2023</w:t>
            </w:r>
          </w:p>
        </w:tc>
      </w:tr>
      <w:tr w:rsidR="008670C1" w:rsidRPr="004F5553" w14:paraId="32468E83" w14:textId="77777777">
        <w:trPr>
          <w:trHeight w:val="330"/>
          <w:jc w:val="center"/>
        </w:trPr>
        <w:tc>
          <w:tcPr>
            <w:tcW w:w="4390" w:type="dxa"/>
            <w:shd w:val="clear" w:color="auto" w:fill="auto"/>
            <w:hideMark/>
          </w:tcPr>
          <w:p w14:paraId="23BA9276" w14:textId="77777777" w:rsidR="008670C1" w:rsidRPr="004F5553" w:rsidRDefault="008670C1" w:rsidP="006B204A">
            <w:pPr>
              <w:spacing w:line="360" w:lineRule="auto"/>
              <w:rPr>
                <w:b/>
                <w:bCs/>
              </w:rPr>
            </w:pPr>
            <w:proofErr w:type="spellStart"/>
            <w:r w:rsidRPr="004F5553">
              <w:rPr>
                <w:b/>
                <w:bCs/>
              </w:rPr>
              <w:t>Fecha</w:t>
            </w:r>
            <w:proofErr w:type="spellEnd"/>
            <w:r w:rsidRPr="004F5553">
              <w:rPr>
                <w:b/>
                <w:bCs/>
              </w:rPr>
              <w:t xml:space="preserve"> </w:t>
            </w:r>
            <w:proofErr w:type="spellStart"/>
            <w:r w:rsidRPr="004F5553">
              <w:rPr>
                <w:b/>
                <w:bCs/>
              </w:rPr>
              <w:t>Aprobación</w:t>
            </w:r>
            <w:proofErr w:type="spellEnd"/>
          </w:p>
        </w:tc>
        <w:tc>
          <w:tcPr>
            <w:tcW w:w="3520" w:type="dxa"/>
            <w:shd w:val="clear" w:color="auto" w:fill="auto"/>
            <w:noWrap/>
            <w:hideMark/>
          </w:tcPr>
          <w:p w14:paraId="4791751C" w14:textId="77777777" w:rsidR="008670C1" w:rsidRPr="004F5553" w:rsidRDefault="008670C1" w:rsidP="006B204A">
            <w:pPr>
              <w:spacing w:line="360" w:lineRule="auto"/>
              <w:jc w:val="center"/>
            </w:pPr>
            <w:r w:rsidRPr="004F5553">
              <w:t>17/01/2023</w:t>
            </w:r>
          </w:p>
        </w:tc>
      </w:tr>
      <w:tr w:rsidR="008670C1" w:rsidRPr="00274E67" w14:paraId="4711C10B" w14:textId="77777777">
        <w:trPr>
          <w:trHeight w:val="300"/>
          <w:jc w:val="center"/>
        </w:trPr>
        <w:tc>
          <w:tcPr>
            <w:tcW w:w="0" w:type="auto"/>
            <w:gridSpan w:val="2"/>
            <w:shd w:val="clear" w:color="auto" w:fill="003876"/>
            <w:hideMark/>
          </w:tcPr>
          <w:p w14:paraId="57D5FB2D" w14:textId="77777777" w:rsidR="008670C1" w:rsidRPr="004F5553" w:rsidRDefault="008670C1" w:rsidP="006B204A">
            <w:pPr>
              <w:spacing w:after="0" w:line="360" w:lineRule="auto"/>
              <w:jc w:val="center"/>
              <w:rPr>
                <w:color w:val="FFFFFF"/>
                <w:lang w:val="es-DO"/>
              </w:rPr>
            </w:pPr>
            <w:r w:rsidRPr="004F5553">
              <w:rPr>
                <w:color w:val="FFFFFF"/>
                <w:lang w:val="es-DO"/>
              </w:rPr>
              <w:t>Montos Estimados según Objeto De Contratación</w:t>
            </w:r>
          </w:p>
        </w:tc>
      </w:tr>
      <w:tr w:rsidR="008670C1" w:rsidRPr="004F5553" w14:paraId="7B41EEE8" w14:textId="77777777">
        <w:trPr>
          <w:trHeight w:val="300"/>
          <w:jc w:val="center"/>
        </w:trPr>
        <w:tc>
          <w:tcPr>
            <w:tcW w:w="4390" w:type="dxa"/>
            <w:shd w:val="clear" w:color="auto" w:fill="auto"/>
            <w:hideMark/>
          </w:tcPr>
          <w:p w14:paraId="0F2798B8" w14:textId="77777777" w:rsidR="008670C1" w:rsidRPr="004F5553" w:rsidRDefault="008670C1" w:rsidP="006B204A">
            <w:pPr>
              <w:spacing w:line="360" w:lineRule="auto"/>
              <w:rPr>
                <w:b/>
                <w:bCs/>
              </w:rPr>
            </w:pPr>
            <w:proofErr w:type="spellStart"/>
            <w:r w:rsidRPr="004F5553">
              <w:rPr>
                <w:b/>
                <w:bCs/>
              </w:rPr>
              <w:t>Bienes</w:t>
            </w:r>
            <w:proofErr w:type="spellEnd"/>
          </w:p>
        </w:tc>
        <w:tc>
          <w:tcPr>
            <w:tcW w:w="3520" w:type="dxa"/>
            <w:shd w:val="clear" w:color="auto" w:fill="auto"/>
            <w:noWrap/>
            <w:hideMark/>
          </w:tcPr>
          <w:p w14:paraId="7D1A7686" w14:textId="77777777" w:rsidR="008670C1" w:rsidRPr="004F5553" w:rsidRDefault="008670C1" w:rsidP="006B204A">
            <w:pPr>
              <w:spacing w:line="360" w:lineRule="auto"/>
              <w:jc w:val="center"/>
            </w:pPr>
            <w:r w:rsidRPr="004F5553">
              <w:t xml:space="preserve"> RD$171,446,970.00 </w:t>
            </w:r>
          </w:p>
        </w:tc>
      </w:tr>
      <w:tr w:rsidR="008670C1" w:rsidRPr="004F5553" w14:paraId="3A40A2EC" w14:textId="77777777">
        <w:trPr>
          <w:trHeight w:val="300"/>
          <w:jc w:val="center"/>
        </w:trPr>
        <w:tc>
          <w:tcPr>
            <w:tcW w:w="4390" w:type="dxa"/>
            <w:shd w:val="clear" w:color="auto" w:fill="auto"/>
            <w:hideMark/>
          </w:tcPr>
          <w:p w14:paraId="2B7740C7" w14:textId="77777777" w:rsidR="008670C1" w:rsidRPr="004F5553" w:rsidRDefault="008670C1" w:rsidP="006B204A">
            <w:pPr>
              <w:spacing w:line="360" w:lineRule="auto"/>
              <w:rPr>
                <w:b/>
                <w:bCs/>
              </w:rPr>
            </w:pPr>
            <w:proofErr w:type="spellStart"/>
            <w:r w:rsidRPr="004F5553">
              <w:rPr>
                <w:b/>
                <w:bCs/>
              </w:rPr>
              <w:t>Obras</w:t>
            </w:r>
            <w:proofErr w:type="spellEnd"/>
          </w:p>
        </w:tc>
        <w:tc>
          <w:tcPr>
            <w:tcW w:w="3520" w:type="dxa"/>
            <w:shd w:val="clear" w:color="auto" w:fill="auto"/>
            <w:noWrap/>
            <w:hideMark/>
          </w:tcPr>
          <w:p w14:paraId="18FCEDEF" w14:textId="77777777" w:rsidR="008670C1" w:rsidRPr="004F5553" w:rsidRDefault="008670C1" w:rsidP="006B204A">
            <w:pPr>
              <w:spacing w:line="360" w:lineRule="auto"/>
              <w:jc w:val="center"/>
            </w:pPr>
            <w:r w:rsidRPr="004F5553">
              <w:t xml:space="preserve"> RD$166,502,378.13 </w:t>
            </w:r>
          </w:p>
        </w:tc>
      </w:tr>
      <w:tr w:rsidR="008670C1" w:rsidRPr="004F5553" w14:paraId="2E26F550" w14:textId="77777777">
        <w:trPr>
          <w:trHeight w:val="300"/>
          <w:jc w:val="center"/>
        </w:trPr>
        <w:tc>
          <w:tcPr>
            <w:tcW w:w="4390" w:type="dxa"/>
            <w:shd w:val="clear" w:color="auto" w:fill="auto"/>
            <w:hideMark/>
          </w:tcPr>
          <w:p w14:paraId="5CB6FAF2" w14:textId="77777777" w:rsidR="008670C1" w:rsidRPr="004F5553" w:rsidRDefault="008670C1" w:rsidP="006B204A">
            <w:pPr>
              <w:spacing w:line="360" w:lineRule="auto"/>
              <w:rPr>
                <w:b/>
                <w:bCs/>
              </w:rPr>
            </w:pPr>
            <w:proofErr w:type="spellStart"/>
            <w:r w:rsidRPr="004F5553">
              <w:rPr>
                <w:b/>
                <w:bCs/>
              </w:rPr>
              <w:t>Servicios</w:t>
            </w:r>
            <w:proofErr w:type="spellEnd"/>
          </w:p>
        </w:tc>
        <w:tc>
          <w:tcPr>
            <w:tcW w:w="3520" w:type="dxa"/>
            <w:shd w:val="clear" w:color="auto" w:fill="auto"/>
            <w:noWrap/>
            <w:hideMark/>
          </w:tcPr>
          <w:p w14:paraId="72C5ED21" w14:textId="77777777" w:rsidR="008670C1" w:rsidRPr="004F5553" w:rsidRDefault="008670C1" w:rsidP="006B204A">
            <w:pPr>
              <w:spacing w:line="360" w:lineRule="auto"/>
              <w:jc w:val="center"/>
            </w:pPr>
            <w:r w:rsidRPr="004F5553">
              <w:t xml:space="preserve"> RD$378,497,385.35 </w:t>
            </w:r>
          </w:p>
        </w:tc>
      </w:tr>
      <w:tr w:rsidR="008670C1" w:rsidRPr="004F5553" w14:paraId="6E4CAA3D" w14:textId="77777777">
        <w:trPr>
          <w:trHeight w:val="300"/>
          <w:jc w:val="center"/>
        </w:trPr>
        <w:tc>
          <w:tcPr>
            <w:tcW w:w="4390" w:type="dxa"/>
            <w:shd w:val="clear" w:color="auto" w:fill="auto"/>
            <w:hideMark/>
          </w:tcPr>
          <w:p w14:paraId="279DCE50" w14:textId="77777777" w:rsidR="008670C1" w:rsidRPr="004F5553" w:rsidRDefault="008670C1" w:rsidP="006B204A">
            <w:pPr>
              <w:spacing w:line="360" w:lineRule="auto"/>
              <w:rPr>
                <w:b/>
                <w:bCs/>
              </w:rPr>
            </w:pPr>
            <w:proofErr w:type="spellStart"/>
            <w:r w:rsidRPr="004F5553">
              <w:rPr>
                <w:b/>
                <w:bCs/>
              </w:rPr>
              <w:t>Servicios</w:t>
            </w:r>
            <w:proofErr w:type="spellEnd"/>
            <w:r w:rsidRPr="004F5553">
              <w:rPr>
                <w:b/>
                <w:bCs/>
              </w:rPr>
              <w:t xml:space="preserve">: </w:t>
            </w:r>
            <w:proofErr w:type="spellStart"/>
            <w:r w:rsidRPr="004F5553">
              <w:rPr>
                <w:b/>
                <w:bCs/>
              </w:rPr>
              <w:t>Consultoría</w:t>
            </w:r>
            <w:proofErr w:type="spellEnd"/>
          </w:p>
        </w:tc>
        <w:tc>
          <w:tcPr>
            <w:tcW w:w="3520" w:type="dxa"/>
            <w:shd w:val="clear" w:color="auto" w:fill="auto"/>
            <w:noWrap/>
            <w:hideMark/>
          </w:tcPr>
          <w:p w14:paraId="6C009B24" w14:textId="77777777" w:rsidR="008670C1" w:rsidRPr="004F5553" w:rsidRDefault="008670C1" w:rsidP="006B204A">
            <w:pPr>
              <w:spacing w:line="360" w:lineRule="auto"/>
              <w:jc w:val="center"/>
            </w:pPr>
            <w:r w:rsidRPr="004F5553">
              <w:t xml:space="preserve"> RD$32,667,000.00 </w:t>
            </w:r>
          </w:p>
        </w:tc>
      </w:tr>
      <w:tr w:rsidR="008670C1" w:rsidRPr="004F5553" w14:paraId="16344F9A" w14:textId="77777777">
        <w:trPr>
          <w:trHeight w:val="300"/>
          <w:jc w:val="center"/>
        </w:trPr>
        <w:tc>
          <w:tcPr>
            <w:tcW w:w="4390" w:type="dxa"/>
            <w:shd w:val="clear" w:color="auto" w:fill="auto"/>
            <w:hideMark/>
          </w:tcPr>
          <w:p w14:paraId="0E2BD13C" w14:textId="77777777" w:rsidR="008670C1" w:rsidRPr="004F5553" w:rsidRDefault="008670C1" w:rsidP="006B204A">
            <w:pPr>
              <w:spacing w:line="360" w:lineRule="auto"/>
              <w:rPr>
                <w:b/>
                <w:bCs/>
                <w:lang w:val="es-DO"/>
              </w:rPr>
            </w:pPr>
            <w:r w:rsidRPr="004F5553">
              <w:rPr>
                <w:b/>
                <w:bCs/>
                <w:lang w:val="es-DO"/>
              </w:rPr>
              <w:t>Servicios: Consultoría basada en la calidad de los servicios</w:t>
            </w:r>
          </w:p>
        </w:tc>
        <w:tc>
          <w:tcPr>
            <w:tcW w:w="3520" w:type="dxa"/>
            <w:shd w:val="clear" w:color="auto" w:fill="auto"/>
            <w:noWrap/>
            <w:vAlign w:val="bottom"/>
            <w:hideMark/>
          </w:tcPr>
          <w:p w14:paraId="4206B401" w14:textId="77777777" w:rsidR="008670C1" w:rsidRPr="004F5553" w:rsidRDefault="008670C1" w:rsidP="006B204A">
            <w:pPr>
              <w:spacing w:line="360" w:lineRule="auto"/>
              <w:jc w:val="center"/>
            </w:pPr>
            <w:r w:rsidRPr="004F5553">
              <w:rPr>
                <w:lang w:val="es-DO"/>
              </w:rPr>
              <w:t xml:space="preserve"> </w:t>
            </w:r>
            <w:r w:rsidRPr="004F5553">
              <w:t xml:space="preserve">RD$                                                                                      -   </w:t>
            </w:r>
          </w:p>
        </w:tc>
      </w:tr>
      <w:tr w:rsidR="008670C1" w:rsidRPr="00274E67" w14:paraId="4419DDC5" w14:textId="77777777">
        <w:trPr>
          <w:trHeight w:val="300"/>
          <w:jc w:val="center"/>
        </w:trPr>
        <w:tc>
          <w:tcPr>
            <w:tcW w:w="0" w:type="auto"/>
            <w:gridSpan w:val="2"/>
            <w:shd w:val="clear" w:color="auto" w:fill="003876"/>
            <w:hideMark/>
          </w:tcPr>
          <w:p w14:paraId="6FDE7420" w14:textId="77777777" w:rsidR="008670C1" w:rsidRPr="004F5553" w:rsidRDefault="008670C1" w:rsidP="006B204A">
            <w:pPr>
              <w:spacing w:after="0" w:line="360" w:lineRule="auto"/>
              <w:jc w:val="center"/>
              <w:rPr>
                <w:color w:val="FFFFFF" w:themeColor="background1"/>
                <w:lang w:val="es-DO"/>
              </w:rPr>
            </w:pPr>
            <w:r w:rsidRPr="004F5553">
              <w:rPr>
                <w:color w:val="FFFFFF" w:themeColor="background1"/>
                <w:lang w:val="es-DO"/>
              </w:rPr>
              <w:t>Montos Estimados según Clasificación MIPYME</w:t>
            </w:r>
          </w:p>
        </w:tc>
      </w:tr>
      <w:tr w:rsidR="008670C1" w:rsidRPr="004F5553" w14:paraId="4B7DDDA8" w14:textId="77777777">
        <w:trPr>
          <w:trHeight w:val="300"/>
          <w:jc w:val="center"/>
        </w:trPr>
        <w:tc>
          <w:tcPr>
            <w:tcW w:w="4390" w:type="dxa"/>
            <w:shd w:val="clear" w:color="auto" w:fill="auto"/>
            <w:hideMark/>
          </w:tcPr>
          <w:p w14:paraId="2F5DA902" w14:textId="77777777" w:rsidR="008670C1" w:rsidRPr="004F5553" w:rsidRDefault="008670C1" w:rsidP="006B204A">
            <w:pPr>
              <w:spacing w:line="360" w:lineRule="auto"/>
              <w:rPr>
                <w:b/>
                <w:bCs/>
              </w:rPr>
            </w:pPr>
            <w:r w:rsidRPr="004F5553">
              <w:rPr>
                <w:b/>
                <w:bCs/>
              </w:rPr>
              <w:t>MIPYME</w:t>
            </w:r>
          </w:p>
        </w:tc>
        <w:tc>
          <w:tcPr>
            <w:tcW w:w="3520" w:type="dxa"/>
            <w:shd w:val="clear" w:color="auto" w:fill="auto"/>
            <w:noWrap/>
            <w:hideMark/>
          </w:tcPr>
          <w:p w14:paraId="37296E6B" w14:textId="77777777" w:rsidR="008670C1" w:rsidRPr="004F5553" w:rsidRDefault="008670C1" w:rsidP="006B204A">
            <w:pPr>
              <w:spacing w:line="360" w:lineRule="auto"/>
              <w:jc w:val="center"/>
            </w:pPr>
            <w:r w:rsidRPr="004F5553">
              <w:t xml:space="preserve"> RD$147,389,567.60 </w:t>
            </w:r>
          </w:p>
        </w:tc>
      </w:tr>
      <w:tr w:rsidR="008670C1" w:rsidRPr="004F5553" w14:paraId="209F548A" w14:textId="77777777">
        <w:trPr>
          <w:trHeight w:val="300"/>
          <w:jc w:val="center"/>
        </w:trPr>
        <w:tc>
          <w:tcPr>
            <w:tcW w:w="4390" w:type="dxa"/>
            <w:shd w:val="clear" w:color="auto" w:fill="auto"/>
            <w:hideMark/>
          </w:tcPr>
          <w:p w14:paraId="36AD4741" w14:textId="77777777" w:rsidR="008670C1" w:rsidRPr="004F5553" w:rsidRDefault="008670C1" w:rsidP="006B204A">
            <w:pPr>
              <w:spacing w:line="360" w:lineRule="auto"/>
              <w:rPr>
                <w:b/>
                <w:bCs/>
              </w:rPr>
            </w:pPr>
            <w:r w:rsidRPr="004F5553">
              <w:rPr>
                <w:b/>
                <w:bCs/>
              </w:rPr>
              <w:t xml:space="preserve">MIPYME </w:t>
            </w:r>
            <w:proofErr w:type="spellStart"/>
            <w:r w:rsidRPr="004F5553">
              <w:rPr>
                <w:b/>
                <w:bCs/>
              </w:rPr>
              <w:t>Mujer</w:t>
            </w:r>
            <w:proofErr w:type="spellEnd"/>
          </w:p>
        </w:tc>
        <w:tc>
          <w:tcPr>
            <w:tcW w:w="3520" w:type="dxa"/>
            <w:shd w:val="clear" w:color="auto" w:fill="auto"/>
            <w:noWrap/>
            <w:hideMark/>
          </w:tcPr>
          <w:p w14:paraId="30935E8F" w14:textId="77777777" w:rsidR="008670C1" w:rsidRPr="004F5553" w:rsidRDefault="008670C1" w:rsidP="006B204A">
            <w:pPr>
              <w:spacing w:line="360" w:lineRule="auto"/>
              <w:jc w:val="center"/>
            </w:pPr>
            <w:r w:rsidRPr="004F5553">
              <w:t xml:space="preserve"> RD$12,822,750.00 </w:t>
            </w:r>
          </w:p>
        </w:tc>
      </w:tr>
      <w:tr w:rsidR="008670C1" w:rsidRPr="004F5553" w14:paraId="25189C37" w14:textId="77777777">
        <w:trPr>
          <w:trHeight w:val="300"/>
          <w:jc w:val="center"/>
        </w:trPr>
        <w:tc>
          <w:tcPr>
            <w:tcW w:w="4390" w:type="dxa"/>
            <w:shd w:val="clear" w:color="auto" w:fill="auto"/>
            <w:hideMark/>
          </w:tcPr>
          <w:p w14:paraId="1B7AFBA4" w14:textId="77777777" w:rsidR="008670C1" w:rsidRPr="004F5553" w:rsidRDefault="008670C1" w:rsidP="006B204A">
            <w:pPr>
              <w:spacing w:line="360" w:lineRule="auto"/>
              <w:rPr>
                <w:b/>
                <w:bCs/>
              </w:rPr>
            </w:pPr>
            <w:r w:rsidRPr="004F5553">
              <w:rPr>
                <w:b/>
                <w:bCs/>
              </w:rPr>
              <w:t>No MIPYME</w:t>
            </w:r>
          </w:p>
        </w:tc>
        <w:tc>
          <w:tcPr>
            <w:tcW w:w="3520" w:type="dxa"/>
            <w:shd w:val="clear" w:color="auto" w:fill="auto"/>
            <w:noWrap/>
            <w:hideMark/>
          </w:tcPr>
          <w:p w14:paraId="58147D52" w14:textId="77777777" w:rsidR="008670C1" w:rsidRPr="004F5553" w:rsidRDefault="008670C1" w:rsidP="006B204A">
            <w:pPr>
              <w:spacing w:line="360" w:lineRule="auto"/>
              <w:jc w:val="center"/>
            </w:pPr>
            <w:r w:rsidRPr="004F5553">
              <w:t xml:space="preserve"> RD$588,901,415.88 </w:t>
            </w:r>
          </w:p>
        </w:tc>
      </w:tr>
    </w:tbl>
    <w:p w14:paraId="3C2DB343" w14:textId="77777777" w:rsidR="008670C1" w:rsidRPr="004F5553" w:rsidRDefault="008670C1" w:rsidP="006B204A">
      <w:pPr>
        <w:spacing w:line="360" w:lineRule="auto"/>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390"/>
        <w:gridCol w:w="3520"/>
      </w:tblGrid>
      <w:tr w:rsidR="008670C1" w:rsidRPr="00274E67" w14:paraId="2942E1E4" w14:textId="77777777" w:rsidTr="008670C1">
        <w:trPr>
          <w:trHeight w:val="300"/>
          <w:tblHeader/>
          <w:jc w:val="center"/>
        </w:trPr>
        <w:tc>
          <w:tcPr>
            <w:tcW w:w="0" w:type="auto"/>
            <w:gridSpan w:val="2"/>
            <w:shd w:val="clear" w:color="auto" w:fill="003876"/>
            <w:vAlign w:val="center"/>
            <w:hideMark/>
          </w:tcPr>
          <w:p w14:paraId="6039ECEB" w14:textId="77777777" w:rsidR="008670C1" w:rsidRPr="007763A3" w:rsidRDefault="008670C1" w:rsidP="006B204A">
            <w:pPr>
              <w:spacing w:after="0" w:line="360" w:lineRule="auto"/>
              <w:jc w:val="center"/>
              <w:rPr>
                <w:b/>
                <w:bCs/>
                <w:color w:val="FFFFFF"/>
                <w:lang w:val="es-DO"/>
              </w:rPr>
            </w:pPr>
            <w:r w:rsidRPr="007763A3">
              <w:rPr>
                <w:b/>
                <w:bCs/>
                <w:color w:val="FFFFFF"/>
                <w:lang w:val="es-DO"/>
              </w:rPr>
              <w:lastRenderedPageBreak/>
              <w:t>Montos Estimados según Tipo De Procedimiento</w:t>
            </w:r>
          </w:p>
        </w:tc>
      </w:tr>
      <w:tr w:rsidR="008670C1" w:rsidRPr="004F5553" w14:paraId="0E95E59F" w14:textId="77777777" w:rsidTr="008670C1">
        <w:trPr>
          <w:trHeight w:val="300"/>
          <w:jc w:val="center"/>
        </w:trPr>
        <w:tc>
          <w:tcPr>
            <w:tcW w:w="4390" w:type="dxa"/>
            <w:shd w:val="clear" w:color="auto" w:fill="auto"/>
            <w:vAlign w:val="center"/>
            <w:hideMark/>
          </w:tcPr>
          <w:p w14:paraId="05E0BE99" w14:textId="77777777" w:rsidR="008670C1" w:rsidRPr="004F5553" w:rsidRDefault="008670C1" w:rsidP="006B204A">
            <w:pPr>
              <w:spacing w:line="360" w:lineRule="auto"/>
              <w:rPr>
                <w:b/>
                <w:bCs/>
                <w:lang w:val="es-DO"/>
              </w:rPr>
            </w:pPr>
            <w:r w:rsidRPr="004F5553">
              <w:rPr>
                <w:b/>
                <w:bCs/>
                <w:lang w:val="es-DO"/>
              </w:rPr>
              <w:t>Compras por debajo del umbral</w:t>
            </w:r>
          </w:p>
        </w:tc>
        <w:tc>
          <w:tcPr>
            <w:tcW w:w="3520" w:type="dxa"/>
            <w:shd w:val="clear" w:color="auto" w:fill="auto"/>
            <w:noWrap/>
            <w:vAlign w:val="center"/>
            <w:hideMark/>
          </w:tcPr>
          <w:p w14:paraId="19FCB419" w14:textId="52CA8A79" w:rsidR="008670C1" w:rsidRPr="00516CA4" w:rsidRDefault="008670C1" w:rsidP="006B204A">
            <w:pPr>
              <w:spacing w:line="360" w:lineRule="auto"/>
              <w:jc w:val="center"/>
              <w:rPr>
                <w:lang w:val="es-DO"/>
              </w:rPr>
            </w:pPr>
            <w:r w:rsidRPr="00516CA4">
              <w:rPr>
                <w:lang w:val="es-DO"/>
              </w:rPr>
              <w:t>RD$8,563,245.80</w:t>
            </w:r>
          </w:p>
        </w:tc>
      </w:tr>
      <w:tr w:rsidR="008670C1" w:rsidRPr="004F5553" w14:paraId="51821D26" w14:textId="77777777" w:rsidTr="008670C1">
        <w:trPr>
          <w:trHeight w:val="300"/>
          <w:jc w:val="center"/>
        </w:trPr>
        <w:tc>
          <w:tcPr>
            <w:tcW w:w="4390" w:type="dxa"/>
            <w:shd w:val="clear" w:color="auto" w:fill="auto"/>
            <w:vAlign w:val="center"/>
            <w:hideMark/>
          </w:tcPr>
          <w:p w14:paraId="2796C3A1" w14:textId="77777777" w:rsidR="008670C1" w:rsidRPr="00516CA4" w:rsidRDefault="008670C1" w:rsidP="006B204A">
            <w:pPr>
              <w:spacing w:line="360" w:lineRule="auto"/>
              <w:rPr>
                <w:b/>
                <w:lang w:val="es-DO"/>
              </w:rPr>
            </w:pPr>
            <w:r w:rsidRPr="00516CA4">
              <w:rPr>
                <w:b/>
                <w:lang w:val="es-DO"/>
              </w:rPr>
              <w:t>Compra Menor</w:t>
            </w:r>
          </w:p>
        </w:tc>
        <w:tc>
          <w:tcPr>
            <w:tcW w:w="3520" w:type="dxa"/>
            <w:shd w:val="clear" w:color="auto" w:fill="auto"/>
            <w:noWrap/>
            <w:vAlign w:val="center"/>
            <w:hideMark/>
          </w:tcPr>
          <w:p w14:paraId="5DDBBA2C" w14:textId="10686C53" w:rsidR="008670C1" w:rsidRPr="00516CA4" w:rsidRDefault="008670C1" w:rsidP="006B204A">
            <w:pPr>
              <w:spacing w:line="360" w:lineRule="auto"/>
              <w:jc w:val="center"/>
              <w:rPr>
                <w:lang w:val="es-DO"/>
              </w:rPr>
            </w:pPr>
            <w:r w:rsidRPr="00516CA4">
              <w:rPr>
                <w:lang w:val="es-DO"/>
              </w:rPr>
              <w:t>RD$101,173,719.20</w:t>
            </w:r>
          </w:p>
        </w:tc>
      </w:tr>
      <w:tr w:rsidR="008670C1" w:rsidRPr="004F5553" w14:paraId="665F0B41" w14:textId="77777777" w:rsidTr="008670C1">
        <w:trPr>
          <w:trHeight w:val="300"/>
          <w:jc w:val="center"/>
        </w:trPr>
        <w:tc>
          <w:tcPr>
            <w:tcW w:w="4390" w:type="dxa"/>
            <w:shd w:val="clear" w:color="auto" w:fill="auto"/>
            <w:vAlign w:val="center"/>
            <w:hideMark/>
          </w:tcPr>
          <w:p w14:paraId="07A51B9E" w14:textId="77777777" w:rsidR="008670C1" w:rsidRPr="00516CA4" w:rsidRDefault="008670C1" w:rsidP="006B204A">
            <w:pPr>
              <w:spacing w:line="360" w:lineRule="auto"/>
              <w:rPr>
                <w:b/>
                <w:lang w:val="es-DO"/>
              </w:rPr>
            </w:pPr>
            <w:r w:rsidRPr="00516CA4">
              <w:rPr>
                <w:b/>
                <w:lang w:val="es-DO"/>
              </w:rPr>
              <w:t>Comparación de Precios</w:t>
            </w:r>
          </w:p>
        </w:tc>
        <w:tc>
          <w:tcPr>
            <w:tcW w:w="3520" w:type="dxa"/>
            <w:shd w:val="clear" w:color="auto" w:fill="auto"/>
            <w:noWrap/>
            <w:vAlign w:val="center"/>
            <w:hideMark/>
          </w:tcPr>
          <w:p w14:paraId="64212396" w14:textId="3C56D37B" w:rsidR="008670C1" w:rsidRPr="00516CA4" w:rsidRDefault="008670C1" w:rsidP="006B204A">
            <w:pPr>
              <w:spacing w:line="360" w:lineRule="auto"/>
              <w:jc w:val="center"/>
              <w:rPr>
                <w:lang w:val="es-DO"/>
              </w:rPr>
            </w:pPr>
            <w:r w:rsidRPr="00516CA4">
              <w:rPr>
                <w:lang w:val="es-DO"/>
              </w:rPr>
              <w:t>RD$241,303,393.13</w:t>
            </w:r>
          </w:p>
        </w:tc>
      </w:tr>
      <w:tr w:rsidR="008670C1" w:rsidRPr="004F5553" w14:paraId="66A58C0E" w14:textId="77777777" w:rsidTr="008670C1">
        <w:trPr>
          <w:trHeight w:val="300"/>
          <w:jc w:val="center"/>
        </w:trPr>
        <w:tc>
          <w:tcPr>
            <w:tcW w:w="4390" w:type="dxa"/>
            <w:shd w:val="clear" w:color="auto" w:fill="auto"/>
            <w:vAlign w:val="center"/>
            <w:hideMark/>
          </w:tcPr>
          <w:p w14:paraId="673FADAE" w14:textId="77777777" w:rsidR="008670C1" w:rsidRPr="00516CA4" w:rsidRDefault="008670C1" w:rsidP="006B204A">
            <w:pPr>
              <w:spacing w:line="360" w:lineRule="auto"/>
              <w:rPr>
                <w:b/>
                <w:lang w:val="es-DO"/>
              </w:rPr>
            </w:pPr>
            <w:r w:rsidRPr="00516CA4">
              <w:rPr>
                <w:b/>
                <w:lang w:val="es-DO"/>
              </w:rPr>
              <w:t>Licitación Pública</w:t>
            </w:r>
          </w:p>
        </w:tc>
        <w:tc>
          <w:tcPr>
            <w:tcW w:w="3520" w:type="dxa"/>
            <w:shd w:val="clear" w:color="auto" w:fill="auto"/>
            <w:noWrap/>
            <w:vAlign w:val="center"/>
            <w:hideMark/>
          </w:tcPr>
          <w:p w14:paraId="10F6C9BA" w14:textId="7EC7F461" w:rsidR="008670C1" w:rsidRPr="00516CA4" w:rsidRDefault="008670C1" w:rsidP="006B204A">
            <w:pPr>
              <w:spacing w:line="360" w:lineRule="auto"/>
              <w:jc w:val="center"/>
              <w:rPr>
                <w:lang w:val="es-DO"/>
              </w:rPr>
            </w:pPr>
            <w:r w:rsidRPr="00516CA4">
              <w:rPr>
                <w:lang w:val="es-DO"/>
              </w:rPr>
              <w:t>RD$277,353,489.53</w:t>
            </w:r>
          </w:p>
        </w:tc>
      </w:tr>
      <w:tr w:rsidR="008670C1" w:rsidRPr="004F5553" w14:paraId="08647378" w14:textId="77777777" w:rsidTr="008670C1">
        <w:trPr>
          <w:trHeight w:val="300"/>
          <w:jc w:val="center"/>
        </w:trPr>
        <w:tc>
          <w:tcPr>
            <w:tcW w:w="4390" w:type="dxa"/>
            <w:shd w:val="clear" w:color="auto" w:fill="auto"/>
            <w:vAlign w:val="center"/>
            <w:hideMark/>
          </w:tcPr>
          <w:p w14:paraId="77FAEAB8" w14:textId="77777777" w:rsidR="008670C1" w:rsidRPr="00516CA4" w:rsidRDefault="008670C1" w:rsidP="006B204A">
            <w:pPr>
              <w:spacing w:line="360" w:lineRule="auto"/>
              <w:rPr>
                <w:b/>
                <w:lang w:val="es-DO"/>
              </w:rPr>
            </w:pPr>
            <w:r w:rsidRPr="00516CA4">
              <w:rPr>
                <w:b/>
                <w:lang w:val="es-DO"/>
              </w:rPr>
              <w:t>Licitación Pública Internacional</w:t>
            </w:r>
          </w:p>
        </w:tc>
        <w:tc>
          <w:tcPr>
            <w:tcW w:w="3520" w:type="dxa"/>
            <w:shd w:val="clear" w:color="auto" w:fill="auto"/>
            <w:noWrap/>
            <w:vAlign w:val="center"/>
            <w:hideMark/>
          </w:tcPr>
          <w:p w14:paraId="700B9BC9" w14:textId="3D5E1ED7" w:rsidR="008670C1" w:rsidRPr="00516CA4" w:rsidRDefault="008670C1" w:rsidP="006B204A">
            <w:pPr>
              <w:spacing w:line="360" w:lineRule="auto"/>
              <w:jc w:val="center"/>
              <w:rPr>
                <w:lang w:val="es-DO"/>
              </w:rPr>
            </w:pPr>
            <w:r w:rsidRPr="00516CA4">
              <w:rPr>
                <w:lang w:val="es-DO"/>
              </w:rPr>
              <w:t>RD$-</w:t>
            </w:r>
          </w:p>
        </w:tc>
      </w:tr>
      <w:tr w:rsidR="008670C1" w:rsidRPr="004F5553" w14:paraId="505F42CC" w14:textId="77777777" w:rsidTr="008670C1">
        <w:trPr>
          <w:trHeight w:val="70"/>
          <w:jc w:val="center"/>
        </w:trPr>
        <w:tc>
          <w:tcPr>
            <w:tcW w:w="4390" w:type="dxa"/>
            <w:shd w:val="clear" w:color="auto" w:fill="auto"/>
            <w:vAlign w:val="center"/>
            <w:hideMark/>
          </w:tcPr>
          <w:p w14:paraId="10AE8967" w14:textId="77777777" w:rsidR="008670C1" w:rsidRPr="00516CA4" w:rsidRDefault="008670C1" w:rsidP="006B204A">
            <w:pPr>
              <w:spacing w:line="360" w:lineRule="auto"/>
              <w:rPr>
                <w:b/>
                <w:lang w:val="es-DO"/>
              </w:rPr>
            </w:pPr>
            <w:r w:rsidRPr="00516CA4">
              <w:rPr>
                <w:b/>
                <w:lang w:val="es-DO"/>
              </w:rPr>
              <w:t>Licitación Restringida</w:t>
            </w:r>
          </w:p>
        </w:tc>
        <w:tc>
          <w:tcPr>
            <w:tcW w:w="3520" w:type="dxa"/>
            <w:shd w:val="clear" w:color="auto" w:fill="auto"/>
            <w:noWrap/>
            <w:vAlign w:val="center"/>
            <w:hideMark/>
          </w:tcPr>
          <w:p w14:paraId="12DA00D9" w14:textId="37167C9D" w:rsidR="008670C1" w:rsidRPr="00516CA4" w:rsidRDefault="008670C1" w:rsidP="006B204A">
            <w:pPr>
              <w:spacing w:line="360" w:lineRule="auto"/>
              <w:jc w:val="center"/>
              <w:rPr>
                <w:lang w:val="es-DO"/>
              </w:rPr>
            </w:pPr>
            <w:r w:rsidRPr="00516CA4">
              <w:rPr>
                <w:lang w:val="es-DO"/>
              </w:rPr>
              <w:t>RD$-</w:t>
            </w:r>
          </w:p>
        </w:tc>
      </w:tr>
      <w:tr w:rsidR="008670C1" w:rsidRPr="004F5553" w14:paraId="36DFE99B" w14:textId="77777777" w:rsidTr="008670C1">
        <w:trPr>
          <w:trHeight w:val="70"/>
          <w:jc w:val="center"/>
        </w:trPr>
        <w:tc>
          <w:tcPr>
            <w:tcW w:w="4390" w:type="dxa"/>
            <w:shd w:val="clear" w:color="auto" w:fill="auto"/>
            <w:vAlign w:val="center"/>
            <w:hideMark/>
          </w:tcPr>
          <w:p w14:paraId="71926E43" w14:textId="77777777" w:rsidR="008670C1" w:rsidRPr="00516CA4" w:rsidRDefault="008670C1" w:rsidP="006B204A">
            <w:pPr>
              <w:spacing w:line="360" w:lineRule="auto"/>
              <w:rPr>
                <w:b/>
                <w:lang w:val="es-DO"/>
              </w:rPr>
            </w:pPr>
            <w:r w:rsidRPr="00516CA4">
              <w:rPr>
                <w:b/>
                <w:lang w:val="es-DO"/>
              </w:rPr>
              <w:t>Sorteo de Obras</w:t>
            </w:r>
          </w:p>
        </w:tc>
        <w:tc>
          <w:tcPr>
            <w:tcW w:w="3520" w:type="dxa"/>
            <w:shd w:val="clear" w:color="auto" w:fill="auto"/>
            <w:noWrap/>
            <w:vAlign w:val="center"/>
            <w:hideMark/>
          </w:tcPr>
          <w:p w14:paraId="199CFE99" w14:textId="3BB90078" w:rsidR="008670C1" w:rsidRPr="00516CA4" w:rsidRDefault="008670C1" w:rsidP="006B204A">
            <w:pPr>
              <w:spacing w:line="360" w:lineRule="auto"/>
              <w:jc w:val="center"/>
              <w:rPr>
                <w:lang w:val="es-DO"/>
              </w:rPr>
            </w:pPr>
            <w:r w:rsidRPr="00516CA4">
              <w:rPr>
                <w:lang w:val="es-DO"/>
              </w:rPr>
              <w:t>RD$-</w:t>
            </w:r>
          </w:p>
        </w:tc>
      </w:tr>
      <w:tr w:rsidR="008670C1" w:rsidRPr="004F5553" w14:paraId="6A901DC9" w14:textId="77777777" w:rsidTr="008670C1">
        <w:trPr>
          <w:trHeight w:val="70"/>
          <w:jc w:val="center"/>
        </w:trPr>
        <w:tc>
          <w:tcPr>
            <w:tcW w:w="4390" w:type="dxa"/>
            <w:shd w:val="clear" w:color="auto" w:fill="auto"/>
            <w:vAlign w:val="center"/>
            <w:hideMark/>
          </w:tcPr>
          <w:p w14:paraId="4711B7B9" w14:textId="77777777" w:rsidR="008670C1" w:rsidRPr="004F5553" w:rsidRDefault="008670C1" w:rsidP="006B204A">
            <w:pPr>
              <w:spacing w:line="360" w:lineRule="auto"/>
              <w:rPr>
                <w:b/>
                <w:bCs/>
                <w:lang w:val="es-DO"/>
              </w:rPr>
            </w:pPr>
            <w:r w:rsidRPr="004F5553">
              <w:rPr>
                <w:b/>
                <w:bCs/>
                <w:lang w:val="es-DO"/>
              </w:rPr>
              <w:t>Excepción - bienes o servicios con exclusividad</w:t>
            </w:r>
          </w:p>
        </w:tc>
        <w:tc>
          <w:tcPr>
            <w:tcW w:w="3520" w:type="dxa"/>
            <w:shd w:val="clear" w:color="auto" w:fill="auto"/>
            <w:noWrap/>
            <w:vAlign w:val="center"/>
            <w:hideMark/>
          </w:tcPr>
          <w:p w14:paraId="0DC21AF0" w14:textId="032CC99F" w:rsidR="008670C1" w:rsidRPr="00516CA4" w:rsidRDefault="008670C1" w:rsidP="006B204A">
            <w:pPr>
              <w:spacing w:line="360" w:lineRule="auto"/>
              <w:jc w:val="center"/>
              <w:rPr>
                <w:lang w:val="es-DO"/>
              </w:rPr>
            </w:pPr>
            <w:r w:rsidRPr="00516CA4">
              <w:rPr>
                <w:lang w:val="es-DO"/>
              </w:rPr>
              <w:t>RD$40,890,483.21</w:t>
            </w:r>
          </w:p>
        </w:tc>
      </w:tr>
      <w:tr w:rsidR="008670C1" w:rsidRPr="004F5553" w14:paraId="4AF94DF6" w14:textId="77777777" w:rsidTr="008670C1">
        <w:trPr>
          <w:trHeight w:val="600"/>
          <w:jc w:val="center"/>
        </w:trPr>
        <w:tc>
          <w:tcPr>
            <w:tcW w:w="4390" w:type="dxa"/>
            <w:shd w:val="clear" w:color="auto" w:fill="auto"/>
            <w:vAlign w:val="center"/>
            <w:hideMark/>
          </w:tcPr>
          <w:p w14:paraId="35D3957E" w14:textId="77777777" w:rsidR="008670C1" w:rsidRPr="004F5553" w:rsidRDefault="008670C1" w:rsidP="006B204A">
            <w:pPr>
              <w:spacing w:line="360" w:lineRule="auto"/>
              <w:rPr>
                <w:b/>
                <w:bCs/>
                <w:lang w:val="es-DO"/>
              </w:rPr>
            </w:pPr>
            <w:r w:rsidRPr="004F5553">
              <w:rPr>
                <w:b/>
                <w:bCs/>
                <w:lang w:val="es-DO"/>
              </w:rPr>
              <w:t>Excepción - construcción, instalación o adquisición de oficinas para el servicio exterior</w:t>
            </w:r>
          </w:p>
        </w:tc>
        <w:tc>
          <w:tcPr>
            <w:tcW w:w="3520" w:type="dxa"/>
            <w:shd w:val="clear" w:color="auto" w:fill="auto"/>
            <w:noWrap/>
            <w:vAlign w:val="center"/>
            <w:hideMark/>
          </w:tcPr>
          <w:p w14:paraId="111AC4B7" w14:textId="6647B09D" w:rsidR="008670C1" w:rsidRPr="00516CA4" w:rsidRDefault="008670C1" w:rsidP="006B204A">
            <w:pPr>
              <w:spacing w:line="360" w:lineRule="auto"/>
              <w:jc w:val="center"/>
              <w:rPr>
                <w:lang w:val="es-DO"/>
              </w:rPr>
            </w:pPr>
            <w:r w:rsidRPr="00516CA4">
              <w:rPr>
                <w:lang w:val="es-DO"/>
              </w:rPr>
              <w:t>RD$-</w:t>
            </w:r>
          </w:p>
        </w:tc>
      </w:tr>
      <w:tr w:rsidR="008670C1" w:rsidRPr="004F5553" w14:paraId="3DB9372A" w14:textId="77777777" w:rsidTr="008670C1">
        <w:trPr>
          <w:trHeight w:val="600"/>
          <w:jc w:val="center"/>
        </w:trPr>
        <w:tc>
          <w:tcPr>
            <w:tcW w:w="4390" w:type="dxa"/>
            <w:shd w:val="clear" w:color="auto" w:fill="auto"/>
            <w:vAlign w:val="center"/>
            <w:hideMark/>
          </w:tcPr>
          <w:p w14:paraId="5930BA05" w14:textId="77777777" w:rsidR="008670C1" w:rsidRPr="004F5553" w:rsidRDefault="008670C1" w:rsidP="006B204A">
            <w:pPr>
              <w:spacing w:line="360" w:lineRule="auto"/>
              <w:rPr>
                <w:b/>
                <w:bCs/>
                <w:lang w:val="es-DO"/>
              </w:rPr>
            </w:pPr>
            <w:r w:rsidRPr="004F5553">
              <w:rPr>
                <w:b/>
                <w:bCs/>
                <w:lang w:val="es-DO"/>
              </w:rPr>
              <w:t>Excepción - contratación de publicidad a través de medios de comunicación social</w:t>
            </w:r>
          </w:p>
        </w:tc>
        <w:tc>
          <w:tcPr>
            <w:tcW w:w="3520" w:type="dxa"/>
            <w:shd w:val="clear" w:color="auto" w:fill="auto"/>
            <w:noWrap/>
            <w:vAlign w:val="center"/>
            <w:hideMark/>
          </w:tcPr>
          <w:p w14:paraId="3D5D41FC" w14:textId="69C188D4" w:rsidR="008670C1" w:rsidRPr="00516CA4" w:rsidRDefault="008670C1" w:rsidP="006B204A">
            <w:pPr>
              <w:spacing w:line="360" w:lineRule="auto"/>
              <w:jc w:val="center"/>
              <w:rPr>
                <w:lang w:val="es-DO"/>
              </w:rPr>
            </w:pPr>
            <w:r w:rsidRPr="00516CA4">
              <w:rPr>
                <w:lang w:val="es-DO"/>
              </w:rPr>
              <w:t>RD$700,000.00</w:t>
            </w:r>
          </w:p>
        </w:tc>
      </w:tr>
      <w:tr w:rsidR="008670C1" w:rsidRPr="004F5553" w14:paraId="76303ED0" w14:textId="77777777" w:rsidTr="008670C1">
        <w:trPr>
          <w:trHeight w:val="600"/>
          <w:jc w:val="center"/>
        </w:trPr>
        <w:tc>
          <w:tcPr>
            <w:tcW w:w="4390" w:type="dxa"/>
            <w:shd w:val="clear" w:color="auto" w:fill="auto"/>
            <w:vAlign w:val="center"/>
            <w:hideMark/>
          </w:tcPr>
          <w:p w14:paraId="05861F34" w14:textId="77777777" w:rsidR="008670C1" w:rsidRPr="004F5553" w:rsidRDefault="008670C1" w:rsidP="006B204A">
            <w:pPr>
              <w:spacing w:line="360" w:lineRule="auto"/>
              <w:rPr>
                <w:b/>
                <w:bCs/>
                <w:lang w:val="es-DO"/>
              </w:rPr>
            </w:pPr>
            <w:r w:rsidRPr="004F5553">
              <w:rPr>
                <w:b/>
                <w:bCs/>
                <w:lang w:val="es-DO"/>
              </w:rPr>
              <w:t>Excepción - obras científicas, técnicas, artísticas, o restauración de monumentos históricos</w:t>
            </w:r>
          </w:p>
        </w:tc>
        <w:tc>
          <w:tcPr>
            <w:tcW w:w="3520" w:type="dxa"/>
            <w:shd w:val="clear" w:color="auto" w:fill="auto"/>
            <w:noWrap/>
            <w:vAlign w:val="center"/>
            <w:hideMark/>
          </w:tcPr>
          <w:p w14:paraId="0567B24F" w14:textId="7F158FFD" w:rsidR="008670C1" w:rsidRPr="00516CA4" w:rsidRDefault="008670C1" w:rsidP="006B204A">
            <w:pPr>
              <w:spacing w:line="360" w:lineRule="auto"/>
              <w:jc w:val="center"/>
              <w:rPr>
                <w:lang w:val="es-DO"/>
              </w:rPr>
            </w:pPr>
            <w:r w:rsidRPr="00516CA4">
              <w:rPr>
                <w:lang w:val="es-DO"/>
              </w:rPr>
              <w:t>RD$27,416,100.00</w:t>
            </w:r>
          </w:p>
        </w:tc>
      </w:tr>
      <w:tr w:rsidR="008670C1" w:rsidRPr="004F5553" w14:paraId="3F4CE546" w14:textId="77777777" w:rsidTr="008670C1">
        <w:trPr>
          <w:trHeight w:val="300"/>
          <w:jc w:val="center"/>
        </w:trPr>
        <w:tc>
          <w:tcPr>
            <w:tcW w:w="4390" w:type="dxa"/>
            <w:shd w:val="clear" w:color="auto" w:fill="auto"/>
            <w:vAlign w:val="center"/>
            <w:hideMark/>
          </w:tcPr>
          <w:p w14:paraId="33E6A1A8" w14:textId="77777777" w:rsidR="008670C1" w:rsidRPr="00516CA4" w:rsidRDefault="008670C1" w:rsidP="006B204A">
            <w:pPr>
              <w:spacing w:line="360" w:lineRule="auto"/>
              <w:rPr>
                <w:b/>
                <w:lang w:val="es-DO"/>
              </w:rPr>
            </w:pPr>
            <w:r w:rsidRPr="00516CA4">
              <w:rPr>
                <w:b/>
                <w:lang w:val="es-DO"/>
              </w:rPr>
              <w:t>excepción - proveedor único</w:t>
            </w:r>
          </w:p>
        </w:tc>
        <w:tc>
          <w:tcPr>
            <w:tcW w:w="3520" w:type="dxa"/>
            <w:shd w:val="clear" w:color="auto" w:fill="auto"/>
            <w:noWrap/>
            <w:vAlign w:val="center"/>
            <w:hideMark/>
          </w:tcPr>
          <w:p w14:paraId="31D479AE" w14:textId="70FCFA23" w:rsidR="008670C1" w:rsidRPr="00516CA4" w:rsidRDefault="008670C1" w:rsidP="006B204A">
            <w:pPr>
              <w:spacing w:line="360" w:lineRule="auto"/>
              <w:jc w:val="center"/>
              <w:rPr>
                <w:lang w:val="es-DO"/>
              </w:rPr>
            </w:pPr>
            <w:r w:rsidRPr="00516CA4">
              <w:rPr>
                <w:lang w:val="es-DO"/>
              </w:rPr>
              <w:t>RD$51,713,302.61</w:t>
            </w:r>
          </w:p>
        </w:tc>
      </w:tr>
      <w:tr w:rsidR="008670C1" w:rsidRPr="004F5553" w14:paraId="1DD04693" w14:textId="77777777" w:rsidTr="008670C1">
        <w:trPr>
          <w:trHeight w:val="600"/>
          <w:jc w:val="center"/>
        </w:trPr>
        <w:tc>
          <w:tcPr>
            <w:tcW w:w="4390" w:type="dxa"/>
            <w:shd w:val="clear" w:color="auto" w:fill="auto"/>
            <w:vAlign w:val="center"/>
            <w:hideMark/>
          </w:tcPr>
          <w:p w14:paraId="040478D6" w14:textId="77777777" w:rsidR="008670C1" w:rsidRPr="004F5553" w:rsidRDefault="008670C1" w:rsidP="006B204A">
            <w:pPr>
              <w:spacing w:line="360" w:lineRule="auto"/>
              <w:rPr>
                <w:b/>
                <w:bCs/>
                <w:lang w:val="es-DO"/>
              </w:rPr>
            </w:pPr>
            <w:r w:rsidRPr="004F5553">
              <w:rPr>
                <w:b/>
                <w:bCs/>
                <w:lang w:val="es-DO"/>
              </w:rPr>
              <w:t xml:space="preserve">Excepción - rescisión de contratos cuya terminación no exceda el </w:t>
            </w:r>
            <w:r w:rsidRPr="004F5553">
              <w:rPr>
                <w:b/>
                <w:bCs/>
                <w:lang w:val="es-DO"/>
              </w:rPr>
              <w:lastRenderedPageBreak/>
              <w:t>40% del monto total del proyecto, obra o servicio</w:t>
            </w:r>
          </w:p>
        </w:tc>
        <w:tc>
          <w:tcPr>
            <w:tcW w:w="3520" w:type="dxa"/>
            <w:shd w:val="clear" w:color="auto" w:fill="auto"/>
            <w:noWrap/>
            <w:vAlign w:val="center"/>
            <w:hideMark/>
          </w:tcPr>
          <w:p w14:paraId="3A9C6B61" w14:textId="23CD006F" w:rsidR="008670C1" w:rsidRPr="00516CA4" w:rsidRDefault="008670C1" w:rsidP="006B204A">
            <w:pPr>
              <w:spacing w:line="360" w:lineRule="auto"/>
              <w:jc w:val="center"/>
              <w:rPr>
                <w:lang w:val="es-DO"/>
              </w:rPr>
            </w:pPr>
            <w:r w:rsidRPr="00516CA4">
              <w:rPr>
                <w:lang w:val="es-DO"/>
              </w:rPr>
              <w:lastRenderedPageBreak/>
              <w:t>RD$-</w:t>
            </w:r>
          </w:p>
        </w:tc>
      </w:tr>
      <w:tr w:rsidR="008670C1" w:rsidRPr="004F5553" w14:paraId="4B3CF228" w14:textId="77777777" w:rsidTr="008670C1">
        <w:trPr>
          <w:trHeight w:val="559"/>
          <w:jc w:val="center"/>
        </w:trPr>
        <w:tc>
          <w:tcPr>
            <w:tcW w:w="4390" w:type="dxa"/>
            <w:shd w:val="clear" w:color="auto" w:fill="auto"/>
            <w:vAlign w:val="center"/>
            <w:hideMark/>
          </w:tcPr>
          <w:p w14:paraId="5A30432D" w14:textId="77777777" w:rsidR="008670C1" w:rsidRPr="004F5553" w:rsidRDefault="008670C1" w:rsidP="006B204A">
            <w:pPr>
              <w:spacing w:line="360" w:lineRule="auto"/>
              <w:rPr>
                <w:b/>
                <w:bCs/>
                <w:lang w:val="es-DO"/>
              </w:rPr>
            </w:pPr>
            <w:r w:rsidRPr="004F5553">
              <w:rPr>
                <w:b/>
                <w:bCs/>
                <w:lang w:val="es-DO"/>
              </w:rPr>
              <w:t>Excepción - resolución 15-08 sobre compra y contratación de pasaje aéreo, combustible y reparación de vehículos de motor</w:t>
            </w:r>
          </w:p>
        </w:tc>
        <w:tc>
          <w:tcPr>
            <w:tcW w:w="3520" w:type="dxa"/>
            <w:shd w:val="clear" w:color="auto" w:fill="auto"/>
            <w:noWrap/>
            <w:vAlign w:val="center"/>
            <w:hideMark/>
          </w:tcPr>
          <w:p w14:paraId="088E0405" w14:textId="49265470" w:rsidR="008670C1" w:rsidRPr="004F5553" w:rsidRDefault="008670C1" w:rsidP="006B204A">
            <w:pPr>
              <w:spacing w:line="360" w:lineRule="auto"/>
              <w:jc w:val="center"/>
            </w:pPr>
            <w:r w:rsidRPr="004F5553">
              <w:t>RD$-</w:t>
            </w:r>
          </w:p>
        </w:tc>
      </w:tr>
    </w:tbl>
    <w:p w14:paraId="7C22C72A" w14:textId="77777777" w:rsidR="008670C1" w:rsidRPr="004F5553" w:rsidRDefault="008670C1" w:rsidP="006B204A">
      <w:pPr>
        <w:spacing w:after="0" w:line="360" w:lineRule="auto"/>
        <w:jc w:val="center"/>
        <w:rPr>
          <w:b/>
          <w:bCs/>
        </w:rPr>
      </w:pPr>
      <w:r w:rsidRPr="004F5553">
        <w:fldChar w:fldCharType="end"/>
      </w:r>
      <w:r w:rsidRPr="004F5553">
        <w:rPr>
          <w:b/>
          <w:bCs/>
        </w:rPr>
        <w:t xml:space="preserve"> </w:t>
      </w:r>
    </w:p>
    <w:tbl>
      <w:tblPr>
        <w:tblW w:w="7938" w:type="dxa"/>
        <w:jc w:val="center"/>
        <w:tblCellMar>
          <w:left w:w="70" w:type="dxa"/>
          <w:right w:w="70" w:type="dxa"/>
        </w:tblCellMar>
        <w:tblLook w:val="04A0" w:firstRow="1" w:lastRow="0" w:firstColumn="1" w:lastColumn="0" w:noHBand="0" w:noVBand="1"/>
      </w:tblPr>
      <w:tblGrid>
        <w:gridCol w:w="3876"/>
        <w:gridCol w:w="4062"/>
      </w:tblGrid>
      <w:tr w:rsidR="008670C1" w:rsidRPr="00516CA4" w14:paraId="681AC59D" w14:textId="77777777" w:rsidTr="009630FD">
        <w:trPr>
          <w:trHeight w:val="312"/>
          <w:tblHeader/>
          <w:jc w:val="center"/>
        </w:trPr>
        <w:tc>
          <w:tcPr>
            <w:tcW w:w="7938" w:type="dxa"/>
            <w:gridSpan w:val="2"/>
            <w:tcBorders>
              <w:top w:val="single" w:sz="8" w:space="0" w:color="auto"/>
              <w:left w:val="single" w:sz="8" w:space="0" w:color="auto"/>
              <w:bottom w:val="single" w:sz="8" w:space="0" w:color="auto"/>
              <w:right w:val="single" w:sz="8" w:space="0" w:color="000000"/>
            </w:tcBorders>
            <w:shd w:val="clear" w:color="000000" w:fill="003876"/>
            <w:vAlign w:val="center"/>
            <w:hideMark/>
          </w:tcPr>
          <w:p w14:paraId="5D3F7FE8" w14:textId="77777777" w:rsidR="008670C1" w:rsidRPr="00E90EB4" w:rsidRDefault="008670C1" w:rsidP="00E90EB4">
            <w:pPr>
              <w:spacing w:after="0" w:line="360" w:lineRule="auto"/>
              <w:jc w:val="center"/>
              <w:rPr>
                <w:rFonts w:eastAsia="Times New Roman"/>
                <w:b/>
                <w:bCs/>
                <w:color w:val="FFFFFF"/>
                <w:lang w:val="es-DO" w:eastAsia="es-DO"/>
              </w:rPr>
            </w:pPr>
            <w:r w:rsidRPr="00E90EB4">
              <w:rPr>
                <w:rFonts w:eastAsia="Times New Roman"/>
                <w:b/>
                <w:bCs/>
                <w:color w:val="FFFFFF"/>
                <w:lang w:val="es-DO" w:eastAsia="es-DO"/>
              </w:rPr>
              <w:t>Ejecución</w:t>
            </w:r>
            <w:r w:rsidRPr="00E90EB4">
              <w:rPr>
                <w:rFonts w:eastAsia="Times New Roman"/>
                <w:b/>
                <w:color w:val="FFFFFF"/>
                <w:lang w:val="es-DO" w:eastAsia="es-DO"/>
              </w:rPr>
              <w:t xml:space="preserve"> al 30 de noviembre 2023</w:t>
            </w:r>
          </w:p>
        </w:tc>
      </w:tr>
      <w:tr w:rsidR="008670C1" w:rsidRPr="00516CA4" w14:paraId="2C030560"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661C0C2C"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Monto Publicado Total</w:t>
            </w:r>
          </w:p>
        </w:tc>
        <w:tc>
          <w:tcPr>
            <w:tcW w:w="4062" w:type="dxa"/>
            <w:tcBorders>
              <w:top w:val="nil"/>
              <w:left w:val="nil"/>
              <w:bottom w:val="single" w:sz="8" w:space="0" w:color="auto"/>
              <w:right w:val="single" w:sz="8" w:space="0" w:color="auto"/>
            </w:tcBorders>
            <w:shd w:val="clear" w:color="auto" w:fill="auto"/>
            <w:vAlign w:val="center"/>
            <w:hideMark/>
          </w:tcPr>
          <w:p w14:paraId="5D0BE2A7"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RD$ 708,575,286.59</w:t>
            </w:r>
          </w:p>
        </w:tc>
      </w:tr>
      <w:tr w:rsidR="008670C1" w:rsidRPr="00274E67" w14:paraId="7DFD3116" w14:textId="77777777" w:rsidTr="008670C1">
        <w:trPr>
          <w:trHeight w:val="312"/>
          <w:jc w:val="center"/>
        </w:trPr>
        <w:tc>
          <w:tcPr>
            <w:tcW w:w="7938" w:type="dxa"/>
            <w:gridSpan w:val="2"/>
            <w:tcBorders>
              <w:top w:val="single" w:sz="8" w:space="0" w:color="auto"/>
              <w:left w:val="single" w:sz="8" w:space="0" w:color="auto"/>
              <w:bottom w:val="single" w:sz="8" w:space="0" w:color="auto"/>
              <w:right w:val="single" w:sz="8" w:space="0" w:color="000000"/>
            </w:tcBorders>
            <w:shd w:val="clear" w:color="000000" w:fill="003876"/>
            <w:vAlign w:val="center"/>
            <w:hideMark/>
          </w:tcPr>
          <w:p w14:paraId="0AF1EC26" w14:textId="77777777" w:rsidR="008670C1" w:rsidRPr="00E90EB4" w:rsidRDefault="008670C1" w:rsidP="00E90EB4">
            <w:pPr>
              <w:spacing w:after="0" w:line="360" w:lineRule="auto"/>
              <w:jc w:val="center"/>
              <w:rPr>
                <w:rFonts w:eastAsia="Times New Roman"/>
                <w:b/>
                <w:bCs/>
                <w:color w:val="FFFFFF"/>
                <w:lang w:val="es-DO" w:eastAsia="es-DO"/>
              </w:rPr>
            </w:pPr>
            <w:r w:rsidRPr="00E90EB4">
              <w:rPr>
                <w:rFonts w:eastAsia="Times New Roman"/>
                <w:b/>
                <w:bCs/>
                <w:color w:val="FFFFFF"/>
                <w:lang w:val="es-DO" w:eastAsia="es-DO"/>
              </w:rPr>
              <w:t>Montos Convocados según Objeto De Contratación</w:t>
            </w:r>
          </w:p>
        </w:tc>
      </w:tr>
      <w:tr w:rsidR="008670C1" w:rsidRPr="00516CA4" w14:paraId="14601CBD"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75511D8A"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Bienes</w:t>
            </w:r>
          </w:p>
        </w:tc>
        <w:tc>
          <w:tcPr>
            <w:tcW w:w="4062" w:type="dxa"/>
            <w:tcBorders>
              <w:top w:val="nil"/>
              <w:left w:val="nil"/>
              <w:bottom w:val="single" w:sz="8" w:space="0" w:color="auto"/>
              <w:right w:val="single" w:sz="8" w:space="0" w:color="auto"/>
            </w:tcBorders>
            <w:shd w:val="clear" w:color="auto" w:fill="auto"/>
            <w:hideMark/>
          </w:tcPr>
          <w:p w14:paraId="43E71D69"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RD$64,710,891.02</w:t>
            </w:r>
          </w:p>
        </w:tc>
      </w:tr>
      <w:tr w:rsidR="008670C1" w:rsidRPr="00516CA4" w14:paraId="4B055070"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463B3F19"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Obras</w:t>
            </w:r>
          </w:p>
        </w:tc>
        <w:tc>
          <w:tcPr>
            <w:tcW w:w="4062" w:type="dxa"/>
            <w:tcBorders>
              <w:top w:val="nil"/>
              <w:left w:val="nil"/>
              <w:bottom w:val="single" w:sz="8" w:space="0" w:color="auto"/>
              <w:right w:val="single" w:sz="8" w:space="0" w:color="auto"/>
            </w:tcBorders>
            <w:shd w:val="clear" w:color="auto" w:fill="auto"/>
            <w:hideMark/>
          </w:tcPr>
          <w:p w14:paraId="69F08403"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RD$202,573,551.71</w:t>
            </w:r>
          </w:p>
        </w:tc>
      </w:tr>
      <w:tr w:rsidR="008670C1" w:rsidRPr="00516CA4" w14:paraId="3EE04A39"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25EBC15D"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Servicios</w:t>
            </w:r>
          </w:p>
        </w:tc>
        <w:tc>
          <w:tcPr>
            <w:tcW w:w="4062" w:type="dxa"/>
            <w:tcBorders>
              <w:top w:val="nil"/>
              <w:left w:val="nil"/>
              <w:bottom w:val="single" w:sz="8" w:space="0" w:color="auto"/>
              <w:right w:val="single" w:sz="8" w:space="0" w:color="auto"/>
            </w:tcBorders>
            <w:shd w:val="clear" w:color="auto" w:fill="auto"/>
            <w:hideMark/>
          </w:tcPr>
          <w:p w14:paraId="6065DD1B"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RD$383,007,728.36</w:t>
            </w:r>
          </w:p>
        </w:tc>
      </w:tr>
      <w:tr w:rsidR="008670C1" w:rsidRPr="00516CA4" w14:paraId="2D851F76"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3D8C3863"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Servicios: Consultoría</w:t>
            </w:r>
          </w:p>
        </w:tc>
        <w:tc>
          <w:tcPr>
            <w:tcW w:w="4062" w:type="dxa"/>
            <w:tcBorders>
              <w:top w:val="nil"/>
              <w:left w:val="nil"/>
              <w:bottom w:val="single" w:sz="8" w:space="0" w:color="auto"/>
              <w:right w:val="single" w:sz="8" w:space="0" w:color="auto"/>
            </w:tcBorders>
            <w:shd w:val="clear" w:color="auto" w:fill="auto"/>
            <w:hideMark/>
          </w:tcPr>
          <w:p w14:paraId="475BF2F9"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RD$58,283,114.50</w:t>
            </w:r>
          </w:p>
        </w:tc>
      </w:tr>
      <w:tr w:rsidR="008670C1" w:rsidRPr="00274E67" w14:paraId="22FD3A42" w14:textId="77777777" w:rsidTr="008670C1">
        <w:trPr>
          <w:trHeight w:val="312"/>
          <w:jc w:val="center"/>
        </w:trPr>
        <w:tc>
          <w:tcPr>
            <w:tcW w:w="7938" w:type="dxa"/>
            <w:gridSpan w:val="2"/>
            <w:tcBorders>
              <w:top w:val="single" w:sz="8" w:space="0" w:color="auto"/>
              <w:left w:val="single" w:sz="8" w:space="0" w:color="auto"/>
              <w:bottom w:val="single" w:sz="8" w:space="0" w:color="auto"/>
              <w:right w:val="single" w:sz="8" w:space="0" w:color="000000"/>
            </w:tcBorders>
            <w:shd w:val="clear" w:color="000000" w:fill="003876"/>
            <w:vAlign w:val="center"/>
            <w:hideMark/>
          </w:tcPr>
          <w:p w14:paraId="6714C602" w14:textId="77777777" w:rsidR="008670C1" w:rsidRPr="00E90EB4" w:rsidRDefault="008670C1" w:rsidP="00E90EB4">
            <w:pPr>
              <w:spacing w:after="0" w:line="360" w:lineRule="auto"/>
              <w:jc w:val="center"/>
              <w:rPr>
                <w:rFonts w:eastAsia="Times New Roman"/>
                <w:color w:val="FFFFFF"/>
                <w:lang w:val="es-DO" w:eastAsia="es-DO"/>
              </w:rPr>
            </w:pPr>
            <w:r w:rsidRPr="00E90EB4">
              <w:rPr>
                <w:rFonts w:eastAsia="Times New Roman"/>
                <w:color w:val="FFFFFF"/>
                <w:lang w:val="es-DO" w:eastAsia="es-DO"/>
              </w:rPr>
              <w:t>Montos Adjudicados según Clasificación MIPYME</w:t>
            </w:r>
          </w:p>
        </w:tc>
      </w:tr>
      <w:tr w:rsidR="008670C1" w:rsidRPr="00516CA4" w14:paraId="77A4806C"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67B0AF4B"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MIPYME</w:t>
            </w:r>
          </w:p>
        </w:tc>
        <w:tc>
          <w:tcPr>
            <w:tcW w:w="4062" w:type="dxa"/>
            <w:tcBorders>
              <w:top w:val="nil"/>
              <w:left w:val="nil"/>
              <w:bottom w:val="single" w:sz="8" w:space="0" w:color="auto"/>
              <w:right w:val="single" w:sz="8" w:space="0" w:color="auto"/>
            </w:tcBorders>
            <w:shd w:val="clear" w:color="auto" w:fill="auto"/>
            <w:hideMark/>
          </w:tcPr>
          <w:p w14:paraId="0041CEBB" w14:textId="77777777" w:rsidR="008670C1" w:rsidRPr="00E90EB4" w:rsidRDefault="008670C1" w:rsidP="00E90EB4">
            <w:pPr>
              <w:spacing w:after="0" w:line="360" w:lineRule="auto"/>
              <w:jc w:val="center"/>
              <w:rPr>
                <w:rFonts w:eastAsia="Times New Roman"/>
                <w:color w:val="808080"/>
                <w:lang w:val="es-DO" w:eastAsia="es-DO"/>
              </w:rPr>
            </w:pPr>
            <w:r w:rsidRPr="00E90EB4">
              <w:rPr>
                <w:lang w:val="es-DO"/>
              </w:rPr>
              <w:t>RD$273,992,186.17</w:t>
            </w:r>
          </w:p>
        </w:tc>
      </w:tr>
      <w:tr w:rsidR="008670C1" w:rsidRPr="00516CA4" w14:paraId="4A824F57"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7CDF9AAE"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MIPYME Mujer</w:t>
            </w:r>
          </w:p>
        </w:tc>
        <w:tc>
          <w:tcPr>
            <w:tcW w:w="4062" w:type="dxa"/>
            <w:tcBorders>
              <w:top w:val="nil"/>
              <w:left w:val="nil"/>
              <w:bottom w:val="single" w:sz="8" w:space="0" w:color="auto"/>
              <w:right w:val="single" w:sz="8" w:space="0" w:color="auto"/>
            </w:tcBorders>
            <w:shd w:val="clear" w:color="auto" w:fill="auto"/>
            <w:hideMark/>
          </w:tcPr>
          <w:p w14:paraId="293DFF92" w14:textId="77777777" w:rsidR="008670C1" w:rsidRPr="00E90EB4" w:rsidRDefault="008670C1" w:rsidP="00E90EB4">
            <w:pPr>
              <w:spacing w:after="0" w:line="360" w:lineRule="auto"/>
              <w:jc w:val="center"/>
              <w:rPr>
                <w:rFonts w:eastAsia="Times New Roman"/>
                <w:color w:val="808080"/>
                <w:lang w:val="es-DO" w:eastAsia="es-DO"/>
              </w:rPr>
            </w:pPr>
            <w:r w:rsidRPr="00E90EB4">
              <w:rPr>
                <w:lang w:val="es-DO"/>
              </w:rPr>
              <w:t>RD$51,940,384.14</w:t>
            </w:r>
          </w:p>
        </w:tc>
      </w:tr>
      <w:tr w:rsidR="008670C1" w:rsidRPr="00516CA4" w14:paraId="10AF11A9"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042AAB81"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No MIPYME</w:t>
            </w:r>
          </w:p>
        </w:tc>
        <w:tc>
          <w:tcPr>
            <w:tcW w:w="4062" w:type="dxa"/>
            <w:tcBorders>
              <w:top w:val="nil"/>
              <w:left w:val="nil"/>
              <w:bottom w:val="single" w:sz="8" w:space="0" w:color="auto"/>
              <w:right w:val="single" w:sz="8" w:space="0" w:color="auto"/>
            </w:tcBorders>
            <w:shd w:val="clear" w:color="auto" w:fill="auto"/>
            <w:vAlign w:val="center"/>
            <w:hideMark/>
          </w:tcPr>
          <w:p w14:paraId="740220BE"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RD$324,059,326.22</w:t>
            </w:r>
          </w:p>
        </w:tc>
      </w:tr>
      <w:tr w:rsidR="008670C1" w:rsidRPr="00274E67" w14:paraId="27732633" w14:textId="77777777" w:rsidTr="008670C1">
        <w:trPr>
          <w:trHeight w:val="312"/>
          <w:jc w:val="center"/>
        </w:trPr>
        <w:tc>
          <w:tcPr>
            <w:tcW w:w="7938" w:type="dxa"/>
            <w:gridSpan w:val="2"/>
            <w:tcBorders>
              <w:top w:val="single" w:sz="8" w:space="0" w:color="auto"/>
              <w:left w:val="single" w:sz="8" w:space="0" w:color="auto"/>
              <w:bottom w:val="single" w:sz="8" w:space="0" w:color="auto"/>
              <w:right w:val="single" w:sz="8" w:space="0" w:color="000000"/>
            </w:tcBorders>
            <w:shd w:val="clear" w:color="000000" w:fill="003876"/>
            <w:vAlign w:val="center"/>
            <w:hideMark/>
          </w:tcPr>
          <w:p w14:paraId="274544F5" w14:textId="77777777" w:rsidR="008670C1" w:rsidRPr="00E90EB4" w:rsidRDefault="008670C1" w:rsidP="00E90EB4">
            <w:pPr>
              <w:spacing w:after="0" w:line="360" w:lineRule="auto"/>
              <w:jc w:val="center"/>
              <w:rPr>
                <w:rFonts w:eastAsia="Times New Roman"/>
                <w:color w:val="FFFFFF"/>
                <w:lang w:val="es-DO" w:eastAsia="es-DO"/>
              </w:rPr>
            </w:pPr>
            <w:r w:rsidRPr="00E90EB4">
              <w:rPr>
                <w:rFonts w:eastAsia="Times New Roman"/>
                <w:color w:val="FFFFFF"/>
                <w:lang w:val="es-DO" w:eastAsia="es-DO"/>
              </w:rPr>
              <w:t>Montos Convocados según Tipo De Procedimiento</w:t>
            </w:r>
          </w:p>
        </w:tc>
      </w:tr>
      <w:tr w:rsidR="008670C1" w:rsidRPr="00516CA4" w14:paraId="425230E3" w14:textId="77777777" w:rsidTr="008670C1">
        <w:trPr>
          <w:trHeight w:val="60"/>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078D390A"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bCs/>
                <w:lang w:val="es-DO" w:eastAsia="es-DO"/>
              </w:rPr>
              <w:t>Compras por debajo del umbral</w:t>
            </w:r>
          </w:p>
        </w:tc>
        <w:tc>
          <w:tcPr>
            <w:tcW w:w="4062" w:type="dxa"/>
            <w:tcBorders>
              <w:top w:val="nil"/>
              <w:left w:val="nil"/>
              <w:bottom w:val="single" w:sz="8" w:space="0" w:color="auto"/>
              <w:right w:val="single" w:sz="8" w:space="0" w:color="auto"/>
            </w:tcBorders>
            <w:shd w:val="clear" w:color="auto" w:fill="auto"/>
            <w:vAlign w:val="center"/>
            <w:hideMark/>
          </w:tcPr>
          <w:p w14:paraId="4FD1E530"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RD$20,502,408.45</w:t>
            </w:r>
          </w:p>
        </w:tc>
      </w:tr>
      <w:tr w:rsidR="008670C1" w:rsidRPr="00516CA4" w14:paraId="6E15422A"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662A551F"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Compra Menor</w:t>
            </w:r>
          </w:p>
        </w:tc>
        <w:tc>
          <w:tcPr>
            <w:tcW w:w="4062" w:type="dxa"/>
            <w:tcBorders>
              <w:top w:val="nil"/>
              <w:left w:val="nil"/>
              <w:bottom w:val="single" w:sz="8" w:space="0" w:color="auto"/>
              <w:right w:val="single" w:sz="8" w:space="0" w:color="auto"/>
            </w:tcBorders>
            <w:shd w:val="clear" w:color="auto" w:fill="auto"/>
            <w:vAlign w:val="center"/>
            <w:hideMark/>
          </w:tcPr>
          <w:p w14:paraId="01106C3E"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RD$77,647,855.52</w:t>
            </w:r>
          </w:p>
        </w:tc>
      </w:tr>
      <w:tr w:rsidR="008670C1" w:rsidRPr="00516CA4" w14:paraId="49230FA8"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40983594"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Comparación de Precios</w:t>
            </w:r>
          </w:p>
        </w:tc>
        <w:tc>
          <w:tcPr>
            <w:tcW w:w="4062" w:type="dxa"/>
            <w:tcBorders>
              <w:top w:val="nil"/>
              <w:left w:val="nil"/>
              <w:bottom w:val="single" w:sz="8" w:space="0" w:color="auto"/>
              <w:right w:val="single" w:sz="8" w:space="0" w:color="auto"/>
            </w:tcBorders>
            <w:shd w:val="clear" w:color="auto" w:fill="auto"/>
            <w:vAlign w:val="center"/>
            <w:hideMark/>
          </w:tcPr>
          <w:p w14:paraId="2A4C3892"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RD$246,247,029.70</w:t>
            </w:r>
          </w:p>
        </w:tc>
      </w:tr>
      <w:tr w:rsidR="008670C1" w:rsidRPr="00516CA4" w14:paraId="383DE947" w14:textId="77777777" w:rsidTr="008670C1">
        <w:trPr>
          <w:trHeight w:val="312"/>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611C78F8"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lang w:val="es-DO" w:eastAsia="es-DO"/>
              </w:rPr>
              <w:t>Licitación Pública</w:t>
            </w:r>
          </w:p>
        </w:tc>
        <w:tc>
          <w:tcPr>
            <w:tcW w:w="4062" w:type="dxa"/>
            <w:tcBorders>
              <w:top w:val="nil"/>
              <w:left w:val="nil"/>
              <w:bottom w:val="single" w:sz="8" w:space="0" w:color="auto"/>
              <w:right w:val="single" w:sz="8" w:space="0" w:color="auto"/>
            </w:tcBorders>
            <w:shd w:val="clear" w:color="auto" w:fill="auto"/>
            <w:vAlign w:val="center"/>
            <w:hideMark/>
          </w:tcPr>
          <w:p w14:paraId="1C59B33D"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RD$127,489,687.50</w:t>
            </w:r>
          </w:p>
        </w:tc>
      </w:tr>
      <w:tr w:rsidR="008670C1" w:rsidRPr="00516CA4" w14:paraId="3DFF6994" w14:textId="77777777" w:rsidTr="008670C1">
        <w:trPr>
          <w:trHeight w:val="610"/>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3A2B1286" w14:textId="77777777" w:rsidR="008670C1" w:rsidRPr="00E90EB4" w:rsidRDefault="008670C1" w:rsidP="00E90EB4">
            <w:pPr>
              <w:spacing w:after="0" w:line="360" w:lineRule="auto"/>
              <w:rPr>
                <w:rFonts w:eastAsia="Times New Roman"/>
                <w:b/>
                <w:bCs/>
                <w:lang w:val="es-DO" w:eastAsia="es-DO"/>
              </w:rPr>
            </w:pPr>
            <w:r w:rsidRPr="00E90EB4">
              <w:rPr>
                <w:rFonts w:eastAsia="Times New Roman"/>
                <w:b/>
                <w:bCs/>
                <w:lang w:val="es-DO" w:eastAsia="es-DO"/>
              </w:rPr>
              <w:t>Excepción - bienes o servicios con exclusividad</w:t>
            </w:r>
          </w:p>
        </w:tc>
        <w:tc>
          <w:tcPr>
            <w:tcW w:w="4062" w:type="dxa"/>
            <w:tcBorders>
              <w:top w:val="nil"/>
              <w:left w:val="nil"/>
              <w:bottom w:val="single" w:sz="8" w:space="0" w:color="auto"/>
              <w:right w:val="single" w:sz="8" w:space="0" w:color="auto"/>
            </w:tcBorders>
            <w:shd w:val="clear" w:color="auto" w:fill="auto"/>
            <w:vAlign w:val="center"/>
            <w:hideMark/>
          </w:tcPr>
          <w:p w14:paraId="21726E55" w14:textId="77777777" w:rsidR="008670C1" w:rsidRPr="00E90EB4" w:rsidRDefault="008670C1" w:rsidP="00E90EB4">
            <w:pPr>
              <w:spacing w:after="0" w:line="360" w:lineRule="auto"/>
              <w:jc w:val="center"/>
              <w:rPr>
                <w:rFonts w:eastAsia="Times New Roman"/>
                <w:color w:val="808080"/>
                <w:lang w:val="es-DO" w:eastAsia="es-DO"/>
              </w:rPr>
            </w:pPr>
            <w:r w:rsidRPr="00E90EB4">
              <w:rPr>
                <w:rFonts w:eastAsia="Times New Roman"/>
                <w:color w:val="808080"/>
                <w:lang w:val="es-DO" w:eastAsia="es-DO"/>
              </w:rPr>
              <w:t>RD$63,729,199.22</w:t>
            </w:r>
          </w:p>
        </w:tc>
      </w:tr>
      <w:tr w:rsidR="008670C1" w:rsidRPr="00516CA4" w14:paraId="42F3CC19" w14:textId="77777777" w:rsidTr="008670C1">
        <w:trPr>
          <w:trHeight w:val="60"/>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0A821D2C" w14:textId="77777777" w:rsidR="008670C1" w:rsidRPr="00E90EB4" w:rsidRDefault="008670C1" w:rsidP="006B204A">
            <w:pPr>
              <w:spacing w:after="0" w:line="360" w:lineRule="auto"/>
              <w:rPr>
                <w:rFonts w:eastAsia="Times New Roman"/>
                <w:b/>
                <w:bCs/>
                <w:lang w:val="es-DO" w:eastAsia="es-DO"/>
              </w:rPr>
            </w:pPr>
            <w:r w:rsidRPr="00E90EB4">
              <w:rPr>
                <w:rFonts w:eastAsia="Times New Roman"/>
                <w:b/>
                <w:bCs/>
                <w:lang w:val="es-DO" w:eastAsia="es-DO"/>
              </w:rPr>
              <w:lastRenderedPageBreak/>
              <w:t>Excepción - contratación de publicidad a través de medios de comunicación social</w:t>
            </w:r>
          </w:p>
        </w:tc>
        <w:tc>
          <w:tcPr>
            <w:tcW w:w="4062" w:type="dxa"/>
            <w:tcBorders>
              <w:top w:val="nil"/>
              <w:left w:val="nil"/>
              <w:bottom w:val="single" w:sz="8" w:space="0" w:color="auto"/>
              <w:right w:val="single" w:sz="8" w:space="0" w:color="auto"/>
            </w:tcBorders>
            <w:shd w:val="clear" w:color="auto" w:fill="auto"/>
            <w:vAlign w:val="center"/>
            <w:hideMark/>
          </w:tcPr>
          <w:p w14:paraId="3CA5E29F" w14:textId="77777777" w:rsidR="008670C1" w:rsidRPr="00E90EB4" w:rsidRDefault="008670C1" w:rsidP="006B204A">
            <w:pPr>
              <w:spacing w:after="0" w:line="360" w:lineRule="auto"/>
              <w:jc w:val="center"/>
              <w:rPr>
                <w:rFonts w:eastAsia="Times New Roman"/>
                <w:color w:val="808080"/>
                <w:lang w:val="es-DO" w:eastAsia="es-DO"/>
              </w:rPr>
            </w:pPr>
            <w:r w:rsidRPr="00E90EB4">
              <w:rPr>
                <w:rFonts w:eastAsia="Times New Roman"/>
                <w:color w:val="808080"/>
                <w:lang w:val="es-DO" w:eastAsia="es-DO"/>
              </w:rPr>
              <w:t>RD$1,000,000.00</w:t>
            </w:r>
          </w:p>
        </w:tc>
      </w:tr>
      <w:tr w:rsidR="008670C1" w:rsidRPr="00516CA4" w14:paraId="1AB13DC7" w14:textId="77777777" w:rsidTr="008670C1">
        <w:trPr>
          <w:trHeight w:val="60"/>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1DE9A8DC" w14:textId="77777777" w:rsidR="008670C1" w:rsidRPr="00E90EB4" w:rsidRDefault="008670C1" w:rsidP="006B204A">
            <w:pPr>
              <w:spacing w:after="0" w:line="360" w:lineRule="auto"/>
              <w:rPr>
                <w:rFonts w:eastAsia="Times New Roman"/>
                <w:b/>
                <w:bCs/>
                <w:lang w:val="es-DO" w:eastAsia="es-DO"/>
              </w:rPr>
            </w:pPr>
            <w:r w:rsidRPr="00E90EB4">
              <w:rPr>
                <w:rFonts w:eastAsia="Times New Roman"/>
                <w:b/>
                <w:bCs/>
                <w:lang w:val="es-DO" w:eastAsia="es-DO"/>
              </w:rPr>
              <w:t>Excepción - obras científicas, técnicas, artísticas, o restauración de monumentos históricos</w:t>
            </w:r>
          </w:p>
        </w:tc>
        <w:tc>
          <w:tcPr>
            <w:tcW w:w="4062" w:type="dxa"/>
            <w:tcBorders>
              <w:top w:val="nil"/>
              <w:left w:val="nil"/>
              <w:bottom w:val="single" w:sz="8" w:space="0" w:color="auto"/>
              <w:right w:val="single" w:sz="8" w:space="0" w:color="auto"/>
            </w:tcBorders>
            <w:shd w:val="clear" w:color="auto" w:fill="auto"/>
            <w:vAlign w:val="center"/>
            <w:hideMark/>
          </w:tcPr>
          <w:p w14:paraId="27FFC83B" w14:textId="77777777" w:rsidR="008670C1" w:rsidRPr="00E90EB4" w:rsidRDefault="008670C1" w:rsidP="006B204A">
            <w:pPr>
              <w:spacing w:after="0" w:line="360" w:lineRule="auto"/>
              <w:jc w:val="center"/>
              <w:rPr>
                <w:rFonts w:eastAsia="Times New Roman"/>
                <w:color w:val="808080"/>
                <w:lang w:val="es-DO" w:eastAsia="es-DO"/>
              </w:rPr>
            </w:pPr>
            <w:r w:rsidRPr="00E90EB4">
              <w:rPr>
                <w:rFonts w:eastAsia="Times New Roman"/>
                <w:color w:val="808080"/>
                <w:lang w:val="es-DO" w:eastAsia="es-DO"/>
              </w:rPr>
              <w:t>RD$40,470,851.51</w:t>
            </w:r>
          </w:p>
        </w:tc>
      </w:tr>
      <w:tr w:rsidR="008670C1" w:rsidRPr="00516CA4" w14:paraId="0BADAF8E" w14:textId="77777777" w:rsidTr="008670C1">
        <w:trPr>
          <w:trHeight w:val="60"/>
          <w:jc w:val="center"/>
        </w:trPr>
        <w:tc>
          <w:tcPr>
            <w:tcW w:w="3876" w:type="dxa"/>
            <w:tcBorders>
              <w:top w:val="nil"/>
              <w:left w:val="single" w:sz="8" w:space="0" w:color="auto"/>
              <w:bottom w:val="single" w:sz="8" w:space="0" w:color="auto"/>
              <w:right w:val="single" w:sz="8" w:space="0" w:color="auto"/>
            </w:tcBorders>
            <w:shd w:val="clear" w:color="auto" w:fill="auto"/>
            <w:vAlign w:val="center"/>
            <w:hideMark/>
          </w:tcPr>
          <w:p w14:paraId="1C9BB391" w14:textId="77777777" w:rsidR="008670C1" w:rsidRPr="00E90EB4" w:rsidRDefault="008670C1" w:rsidP="006B204A">
            <w:pPr>
              <w:spacing w:after="0" w:line="360" w:lineRule="auto"/>
              <w:rPr>
                <w:rFonts w:eastAsia="Times New Roman"/>
                <w:b/>
                <w:bCs/>
                <w:lang w:val="es-DO" w:eastAsia="es-DO"/>
              </w:rPr>
            </w:pPr>
            <w:r w:rsidRPr="00E90EB4">
              <w:rPr>
                <w:rFonts w:eastAsia="Times New Roman"/>
                <w:b/>
                <w:lang w:val="es-DO" w:eastAsia="es-DO"/>
              </w:rPr>
              <w:t>Excepción - proveedor único</w:t>
            </w:r>
          </w:p>
        </w:tc>
        <w:tc>
          <w:tcPr>
            <w:tcW w:w="4062" w:type="dxa"/>
            <w:tcBorders>
              <w:top w:val="nil"/>
              <w:left w:val="nil"/>
              <w:bottom w:val="single" w:sz="8" w:space="0" w:color="auto"/>
              <w:right w:val="single" w:sz="8" w:space="0" w:color="auto"/>
            </w:tcBorders>
            <w:shd w:val="clear" w:color="auto" w:fill="auto"/>
            <w:vAlign w:val="center"/>
            <w:hideMark/>
          </w:tcPr>
          <w:p w14:paraId="1C4484F7" w14:textId="77777777" w:rsidR="008670C1" w:rsidRPr="00E90EB4" w:rsidRDefault="008670C1" w:rsidP="006B204A">
            <w:pPr>
              <w:spacing w:after="0" w:line="360" w:lineRule="auto"/>
              <w:jc w:val="center"/>
              <w:rPr>
                <w:rFonts w:eastAsia="Times New Roman"/>
                <w:color w:val="808080"/>
                <w:lang w:val="es-DO" w:eastAsia="es-DO"/>
              </w:rPr>
            </w:pPr>
            <w:r w:rsidRPr="00E90EB4">
              <w:rPr>
                <w:rFonts w:eastAsia="Times New Roman"/>
                <w:color w:val="808080"/>
                <w:lang w:val="es-DO" w:eastAsia="es-DO"/>
              </w:rPr>
              <w:t>RD$131,488,253.69</w:t>
            </w:r>
          </w:p>
        </w:tc>
      </w:tr>
    </w:tbl>
    <w:p w14:paraId="21349A6D" w14:textId="56FAEE66" w:rsidR="008670C1" w:rsidRPr="002533A9" w:rsidRDefault="00E90EB4" w:rsidP="002533A9">
      <w:pPr>
        <w:spacing w:line="360" w:lineRule="auto"/>
        <w:jc w:val="center"/>
        <w:rPr>
          <w:lang w:val="es-DO"/>
        </w:rPr>
      </w:pPr>
      <w:r w:rsidRPr="007B7853">
        <w:rPr>
          <w:b/>
          <w:bCs/>
          <w:lang w:val="es-DO"/>
        </w:rPr>
        <w:t>Fuente</w:t>
      </w:r>
      <w:r w:rsidRPr="00C865B6">
        <w:rPr>
          <w:lang w:val="es-DO"/>
        </w:rPr>
        <w:t xml:space="preserve">: </w:t>
      </w:r>
      <w:r w:rsidRPr="007B7853">
        <w:rPr>
          <w:lang w:val="es-DO"/>
        </w:rPr>
        <w:t>Departamento Administrativo</w:t>
      </w:r>
      <w:r>
        <w:rPr>
          <w:lang w:val="es-DO"/>
        </w:rPr>
        <w:t xml:space="preserve"> y</w:t>
      </w:r>
      <w:r w:rsidRPr="007B7853">
        <w:rPr>
          <w:lang w:val="es-DO"/>
        </w:rPr>
        <w:t xml:space="preserve"> Financiero. Superintendencia de Bancos de la República Dominicana, 202</w:t>
      </w:r>
      <w:r>
        <w:rPr>
          <w:lang w:val="es-DO"/>
        </w:rPr>
        <w:t>3.</w:t>
      </w:r>
    </w:p>
    <w:p w14:paraId="3400D1E3" w14:textId="7A151824" w:rsidR="005401B3" w:rsidRPr="00E90EB4" w:rsidRDefault="005401B3" w:rsidP="006B204A">
      <w:pPr>
        <w:spacing w:line="360" w:lineRule="auto"/>
        <w:ind w:left="360"/>
        <w:jc w:val="center"/>
        <w:rPr>
          <w:b/>
          <w:bCs/>
          <w:lang w:val="es-DO"/>
        </w:rPr>
      </w:pPr>
    </w:p>
    <w:bookmarkEnd w:id="108"/>
    <w:p w14:paraId="0398CEAB" w14:textId="6F131A8F" w:rsidR="006409CE" w:rsidRPr="00C865B6" w:rsidRDefault="006409CE" w:rsidP="006409CE">
      <w:pPr>
        <w:spacing w:after="0" w:line="240" w:lineRule="auto"/>
        <w:jc w:val="center"/>
        <w:rPr>
          <w:b/>
          <w:bCs/>
          <w:lang w:val="es-DO"/>
        </w:rPr>
      </w:pPr>
      <w:r w:rsidRPr="00C865B6">
        <w:rPr>
          <w:b/>
          <w:bCs/>
          <w:lang w:val="es-DO"/>
        </w:rPr>
        <w:t xml:space="preserve">Anexo </w:t>
      </w:r>
      <w:r w:rsidR="002533A9">
        <w:rPr>
          <w:b/>
          <w:bCs/>
          <w:lang w:val="es-DO"/>
        </w:rPr>
        <w:t>3</w:t>
      </w:r>
      <w:r w:rsidRPr="00C865B6">
        <w:rPr>
          <w:b/>
          <w:bCs/>
          <w:lang w:val="es-DO"/>
        </w:rPr>
        <w:t xml:space="preserve">. </w:t>
      </w:r>
      <w:r w:rsidR="0005607E">
        <w:rPr>
          <w:b/>
          <w:bCs/>
          <w:lang w:val="es-DO"/>
        </w:rPr>
        <w:t>Gráfico</w:t>
      </w:r>
      <w:r w:rsidR="00203D55">
        <w:rPr>
          <w:b/>
          <w:bCs/>
          <w:lang w:val="es-DO"/>
        </w:rPr>
        <w:t xml:space="preserve"> </w:t>
      </w:r>
      <w:r w:rsidR="00394BBB">
        <w:rPr>
          <w:b/>
          <w:bCs/>
          <w:lang w:val="es-DO"/>
        </w:rPr>
        <w:t>– Cantidad de Ahorristas y Monto promedio devuelto al 2023</w:t>
      </w:r>
    </w:p>
    <w:p w14:paraId="630A4B6C" w14:textId="77777777" w:rsidR="006409CE" w:rsidRPr="007B7853" w:rsidRDefault="006409CE" w:rsidP="007B7853">
      <w:pPr>
        <w:spacing w:line="360" w:lineRule="auto"/>
        <w:rPr>
          <w:lang w:val="es-DO"/>
        </w:rPr>
      </w:pPr>
    </w:p>
    <w:p w14:paraId="71DFF948" w14:textId="4B47A1C9" w:rsidR="00E52ED4" w:rsidRDefault="0058691A" w:rsidP="006409CE">
      <w:pPr>
        <w:pStyle w:val="paragraph"/>
        <w:spacing w:before="0" w:beforeAutospacing="0" w:after="0" w:afterAutospacing="0" w:line="360" w:lineRule="auto"/>
        <w:ind w:left="720" w:hanging="720"/>
        <w:jc w:val="center"/>
        <w:textAlignment w:val="baseline"/>
        <w:rPr>
          <w:sz w:val="18"/>
          <w:szCs w:val="18"/>
        </w:rPr>
      </w:pPr>
      <w:r>
        <w:rPr>
          <w:noProof/>
          <w:sz w:val="18"/>
          <w:szCs w:val="18"/>
        </w:rPr>
        <w:drawing>
          <wp:inline distT="0" distB="0" distL="0" distR="0" wp14:anchorId="7C4E6B4F" wp14:editId="061E5085">
            <wp:extent cx="5025390" cy="2623820"/>
            <wp:effectExtent l="0" t="0" r="3810" b="5080"/>
            <wp:docPr id="1636385635" name="Imagen 16363856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025390" cy="2623820"/>
                    </a:xfrm>
                    <a:prstGeom prst="rect">
                      <a:avLst/>
                    </a:prstGeom>
                    <a:noFill/>
                    <a:ln>
                      <a:noFill/>
                    </a:ln>
                  </pic:spPr>
                </pic:pic>
              </a:graphicData>
            </a:graphic>
          </wp:inline>
        </w:drawing>
      </w:r>
    </w:p>
    <w:p w14:paraId="3AD00763" w14:textId="77777777" w:rsidR="000D6CBF" w:rsidRDefault="000D6CBF" w:rsidP="006B204A">
      <w:pPr>
        <w:pStyle w:val="paragraph"/>
        <w:spacing w:before="0" w:beforeAutospacing="0" w:after="0" w:afterAutospacing="0" w:line="360" w:lineRule="auto"/>
        <w:jc w:val="both"/>
        <w:textAlignment w:val="baseline"/>
        <w:rPr>
          <w:sz w:val="18"/>
          <w:szCs w:val="18"/>
        </w:rPr>
      </w:pPr>
    </w:p>
    <w:p w14:paraId="7FDE4832" w14:textId="3C83E9E8" w:rsidR="00217269" w:rsidRPr="000C6843" w:rsidRDefault="000C6843" w:rsidP="000C6843">
      <w:pPr>
        <w:spacing w:line="360" w:lineRule="auto"/>
        <w:jc w:val="center"/>
        <w:rPr>
          <w:lang w:val="es-DO"/>
        </w:rPr>
      </w:pPr>
      <w:r w:rsidRPr="007B7853">
        <w:rPr>
          <w:b/>
          <w:bCs/>
          <w:lang w:val="es-DO"/>
        </w:rPr>
        <w:t>Fuente</w:t>
      </w:r>
      <w:r w:rsidRPr="00C865B6">
        <w:rPr>
          <w:lang w:val="es-DO"/>
        </w:rPr>
        <w:t xml:space="preserve">: </w:t>
      </w:r>
      <w:r>
        <w:rPr>
          <w:lang w:val="es-DO"/>
        </w:rPr>
        <w:t>Programa de Instituciones Financiera Intervenidas y en Liquidación (IFIL)</w:t>
      </w:r>
      <w:r w:rsidRPr="007B7853">
        <w:rPr>
          <w:lang w:val="es-DO"/>
        </w:rPr>
        <w:t>. Superintendencia de Bancos de la República Dominicana, 202</w:t>
      </w:r>
      <w:r>
        <w:rPr>
          <w:lang w:val="es-DO"/>
        </w:rPr>
        <w:t>3.</w:t>
      </w:r>
    </w:p>
    <w:p w14:paraId="0EF4B196" w14:textId="6227ADBE" w:rsidR="00217269" w:rsidRPr="00C865B6" w:rsidRDefault="00217269" w:rsidP="00217269">
      <w:pPr>
        <w:spacing w:after="0" w:line="240" w:lineRule="auto"/>
        <w:jc w:val="center"/>
        <w:rPr>
          <w:b/>
          <w:bCs/>
          <w:lang w:val="es-DO"/>
        </w:rPr>
      </w:pPr>
      <w:r w:rsidRPr="00C865B6">
        <w:rPr>
          <w:b/>
          <w:bCs/>
          <w:lang w:val="es-DO"/>
        </w:rPr>
        <w:lastRenderedPageBreak/>
        <w:t xml:space="preserve">Anexo </w:t>
      </w:r>
      <w:r>
        <w:rPr>
          <w:b/>
          <w:bCs/>
          <w:lang w:val="es-DO"/>
        </w:rPr>
        <w:t>4</w:t>
      </w:r>
      <w:r w:rsidRPr="00C865B6">
        <w:rPr>
          <w:b/>
          <w:bCs/>
          <w:lang w:val="es-DO"/>
        </w:rPr>
        <w:t xml:space="preserve">. </w:t>
      </w:r>
      <w:r>
        <w:rPr>
          <w:b/>
          <w:bCs/>
          <w:lang w:val="es-DO"/>
        </w:rPr>
        <w:t xml:space="preserve">Gráfico – </w:t>
      </w:r>
      <w:r w:rsidR="00EC7BBB" w:rsidRPr="00EC7BBB">
        <w:rPr>
          <w:b/>
          <w:bCs/>
          <w:lang w:val="es-DO"/>
        </w:rPr>
        <w:t xml:space="preserve">Matriz </w:t>
      </w:r>
      <w:r w:rsidR="001B42AF">
        <w:rPr>
          <w:b/>
          <w:bCs/>
          <w:lang w:val="es-DO"/>
        </w:rPr>
        <w:t>d</w:t>
      </w:r>
      <w:r w:rsidR="00EC7BBB" w:rsidRPr="00EC7BBB">
        <w:rPr>
          <w:b/>
          <w:bCs/>
          <w:lang w:val="es-DO"/>
        </w:rPr>
        <w:t xml:space="preserve">e Principales Indicadores </w:t>
      </w:r>
      <w:r w:rsidR="00714A54">
        <w:rPr>
          <w:b/>
          <w:bCs/>
          <w:lang w:val="es-DO"/>
        </w:rPr>
        <w:t>d</w:t>
      </w:r>
      <w:r w:rsidR="00EC7BBB" w:rsidRPr="00EC7BBB">
        <w:rPr>
          <w:b/>
          <w:bCs/>
          <w:lang w:val="es-DO"/>
        </w:rPr>
        <w:t>el Plan Operativo Anual (POA)</w:t>
      </w:r>
    </w:p>
    <w:p w14:paraId="510DCEE0" w14:textId="77777777" w:rsidR="00217269" w:rsidRDefault="00217269" w:rsidP="006B204A">
      <w:pPr>
        <w:pStyle w:val="paragraph"/>
        <w:spacing w:before="0" w:beforeAutospacing="0" w:after="0" w:afterAutospacing="0" w:line="360" w:lineRule="auto"/>
        <w:jc w:val="both"/>
        <w:textAlignment w:val="baseline"/>
        <w:rPr>
          <w:sz w:val="18"/>
          <w:szCs w:val="18"/>
        </w:rPr>
      </w:pPr>
    </w:p>
    <w:p w14:paraId="774FB38E" w14:textId="77777777" w:rsidR="00757CDC" w:rsidRDefault="00757CDC" w:rsidP="006B204A">
      <w:pPr>
        <w:pStyle w:val="paragraph"/>
        <w:spacing w:before="0" w:beforeAutospacing="0" w:after="0" w:afterAutospacing="0" w:line="360" w:lineRule="auto"/>
        <w:jc w:val="both"/>
        <w:textAlignment w:val="baseline"/>
        <w:rPr>
          <w:sz w:val="18"/>
          <w:szCs w:val="18"/>
        </w:rPr>
      </w:pPr>
    </w:p>
    <w:tbl>
      <w:tblPr>
        <w:tblpPr w:leftFromText="141" w:rightFromText="141" w:vertAnchor="text" w:tblpY="1"/>
        <w:tblOverlap w:val="never"/>
        <w:tblW w:w="0" w:type="auto"/>
        <w:tblCellMar>
          <w:left w:w="70" w:type="dxa"/>
          <w:right w:w="70" w:type="dxa"/>
        </w:tblCellMar>
        <w:tblLook w:val="04A0" w:firstRow="1" w:lastRow="0" w:firstColumn="1" w:lastColumn="0" w:noHBand="0" w:noVBand="1"/>
      </w:tblPr>
      <w:tblGrid>
        <w:gridCol w:w="378"/>
        <w:gridCol w:w="1341"/>
        <w:gridCol w:w="1280"/>
        <w:gridCol w:w="1159"/>
        <w:gridCol w:w="924"/>
        <w:gridCol w:w="513"/>
        <w:gridCol w:w="506"/>
        <w:gridCol w:w="872"/>
        <w:gridCol w:w="937"/>
      </w:tblGrid>
      <w:tr w:rsidR="00106EFB" w:rsidRPr="00106EFB" w14:paraId="30C24D49" w14:textId="77777777" w:rsidTr="00860016">
        <w:trPr>
          <w:trHeight w:val="930"/>
          <w:tblHeader/>
        </w:trPr>
        <w:tc>
          <w:tcPr>
            <w:tcW w:w="505" w:type="dxa"/>
            <w:tcBorders>
              <w:top w:val="single" w:sz="4" w:space="0" w:color="auto"/>
              <w:left w:val="single" w:sz="4" w:space="0" w:color="auto"/>
              <w:bottom w:val="single" w:sz="4" w:space="0" w:color="auto"/>
              <w:right w:val="single" w:sz="4" w:space="0" w:color="auto"/>
            </w:tcBorders>
            <w:shd w:val="clear" w:color="auto" w:fill="003876"/>
            <w:vAlign w:val="center"/>
            <w:hideMark/>
          </w:tcPr>
          <w:p w14:paraId="725970A7"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NO.</w:t>
            </w:r>
          </w:p>
        </w:tc>
        <w:tc>
          <w:tcPr>
            <w:tcW w:w="1319" w:type="dxa"/>
            <w:tcBorders>
              <w:top w:val="single" w:sz="4" w:space="0" w:color="auto"/>
              <w:left w:val="nil"/>
              <w:bottom w:val="single" w:sz="4" w:space="0" w:color="auto"/>
              <w:right w:val="single" w:sz="4" w:space="0" w:color="auto"/>
            </w:tcBorders>
            <w:shd w:val="clear" w:color="auto" w:fill="003876"/>
            <w:vAlign w:val="center"/>
            <w:hideMark/>
          </w:tcPr>
          <w:p w14:paraId="6C43A124"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ÁREA</w:t>
            </w:r>
          </w:p>
        </w:tc>
        <w:tc>
          <w:tcPr>
            <w:tcW w:w="0" w:type="auto"/>
            <w:tcBorders>
              <w:top w:val="single" w:sz="4" w:space="0" w:color="auto"/>
              <w:left w:val="nil"/>
              <w:bottom w:val="single" w:sz="4" w:space="0" w:color="auto"/>
              <w:right w:val="single" w:sz="4" w:space="0" w:color="auto"/>
            </w:tcBorders>
            <w:shd w:val="clear" w:color="auto" w:fill="003876"/>
            <w:vAlign w:val="center"/>
            <w:hideMark/>
          </w:tcPr>
          <w:p w14:paraId="7989C043"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PRODUCTO</w:t>
            </w:r>
          </w:p>
        </w:tc>
        <w:tc>
          <w:tcPr>
            <w:tcW w:w="0" w:type="auto"/>
            <w:tcBorders>
              <w:top w:val="single" w:sz="4" w:space="0" w:color="auto"/>
              <w:left w:val="nil"/>
              <w:bottom w:val="single" w:sz="4" w:space="0" w:color="auto"/>
              <w:right w:val="single" w:sz="4" w:space="0" w:color="auto"/>
            </w:tcBorders>
            <w:shd w:val="clear" w:color="auto" w:fill="003876"/>
            <w:vAlign w:val="center"/>
            <w:hideMark/>
          </w:tcPr>
          <w:p w14:paraId="34A1B09E"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NOMBRE DEL INDICADOR</w:t>
            </w:r>
          </w:p>
        </w:tc>
        <w:tc>
          <w:tcPr>
            <w:tcW w:w="0" w:type="auto"/>
            <w:tcBorders>
              <w:top w:val="single" w:sz="4" w:space="0" w:color="auto"/>
              <w:left w:val="nil"/>
              <w:bottom w:val="single" w:sz="4" w:space="0" w:color="auto"/>
              <w:right w:val="single" w:sz="4" w:space="0" w:color="auto"/>
            </w:tcBorders>
            <w:shd w:val="clear" w:color="auto" w:fill="003876"/>
            <w:vAlign w:val="center"/>
            <w:hideMark/>
          </w:tcPr>
          <w:p w14:paraId="3A0174FE"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FRECUENCIA</w:t>
            </w:r>
          </w:p>
        </w:tc>
        <w:tc>
          <w:tcPr>
            <w:tcW w:w="0" w:type="auto"/>
            <w:tcBorders>
              <w:top w:val="single" w:sz="4" w:space="0" w:color="auto"/>
              <w:left w:val="nil"/>
              <w:bottom w:val="single" w:sz="4" w:space="0" w:color="auto"/>
              <w:right w:val="single" w:sz="4" w:space="0" w:color="auto"/>
            </w:tcBorders>
            <w:shd w:val="clear" w:color="auto" w:fill="003876"/>
            <w:vAlign w:val="center"/>
            <w:hideMark/>
          </w:tcPr>
          <w:p w14:paraId="64F1F4B6"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LÍNEA BASE</w:t>
            </w:r>
          </w:p>
        </w:tc>
        <w:tc>
          <w:tcPr>
            <w:tcW w:w="0" w:type="auto"/>
            <w:tcBorders>
              <w:top w:val="single" w:sz="4" w:space="0" w:color="auto"/>
              <w:left w:val="nil"/>
              <w:bottom w:val="single" w:sz="4" w:space="0" w:color="auto"/>
              <w:right w:val="single" w:sz="4" w:space="0" w:color="auto"/>
            </w:tcBorders>
            <w:shd w:val="clear" w:color="auto" w:fill="003876"/>
            <w:vAlign w:val="center"/>
            <w:hideMark/>
          </w:tcPr>
          <w:p w14:paraId="3145CC0D"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META</w:t>
            </w:r>
          </w:p>
        </w:tc>
        <w:tc>
          <w:tcPr>
            <w:tcW w:w="0" w:type="auto"/>
            <w:tcBorders>
              <w:top w:val="single" w:sz="4" w:space="0" w:color="auto"/>
              <w:left w:val="nil"/>
              <w:bottom w:val="single" w:sz="4" w:space="0" w:color="auto"/>
              <w:right w:val="single" w:sz="4" w:space="0" w:color="auto"/>
            </w:tcBorders>
            <w:shd w:val="clear" w:color="auto" w:fill="003876"/>
            <w:vAlign w:val="center"/>
            <w:hideMark/>
          </w:tcPr>
          <w:p w14:paraId="5DB1D1B5"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RESULTADO</w:t>
            </w:r>
          </w:p>
        </w:tc>
        <w:tc>
          <w:tcPr>
            <w:tcW w:w="0" w:type="auto"/>
            <w:tcBorders>
              <w:top w:val="single" w:sz="4" w:space="0" w:color="auto"/>
              <w:left w:val="nil"/>
              <w:bottom w:val="single" w:sz="4" w:space="0" w:color="auto"/>
              <w:right w:val="single" w:sz="4" w:space="0" w:color="auto"/>
            </w:tcBorders>
            <w:shd w:val="clear" w:color="auto" w:fill="003876"/>
            <w:vAlign w:val="center"/>
            <w:hideMark/>
          </w:tcPr>
          <w:p w14:paraId="09C6F56F" w14:textId="77777777" w:rsidR="00106EFB" w:rsidRPr="00106EFB" w:rsidRDefault="00106EFB" w:rsidP="00860016">
            <w:pPr>
              <w:spacing w:after="0" w:line="240" w:lineRule="auto"/>
              <w:jc w:val="center"/>
              <w:rPr>
                <w:rFonts w:eastAsia="Times New Roman"/>
                <w:b/>
                <w:bCs/>
                <w:color w:val="FFFFFF"/>
                <w:spacing w:val="0"/>
                <w:sz w:val="18"/>
                <w:szCs w:val="18"/>
                <w:lang w:val="es-DO" w:eastAsia="es-DO"/>
              </w:rPr>
            </w:pPr>
            <w:r w:rsidRPr="00106EFB">
              <w:rPr>
                <w:rFonts w:eastAsia="Times New Roman"/>
                <w:b/>
                <w:bCs/>
                <w:color w:val="FFFFFF"/>
                <w:spacing w:val="0"/>
                <w:sz w:val="18"/>
                <w:szCs w:val="18"/>
                <w:lang w:val="es-DO" w:eastAsia="es-DO"/>
              </w:rPr>
              <w:t xml:space="preserve">PORCENTAJE DE AVANCE </w:t>
            </w:r>
          </w:p>
        </w:tc>
      </w:tr>
      <w:tr w:rsidR="00106EFB" w:rsidRPr="00106EFB" w14:paraId="76FC5436"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91BB89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w:t>
            </w:r>
          </w:p>
        </w:tc>
        <w:tc>
          <w:tcPr>
            <w:tcW w:w="1319" w:type="dxa"/>
            <w:tcBorders>
              <w:top w:val="nil"/>
              <w:left w:val="nil"/>
              <w:bottom w:val="single" w:sz="4" w:space="0" w:color="auto"/>
              <w:right w:val="single" w:sz="4" w:space="0" w:color="auto"/>
            </w:tcBorders>
            <w:shd w:val="clear" w:color="auto" w:fill="auto"/>
            <w:noWrap/>
            <w:vAlign w:val="center"/>
            <w:hideMark/>
          </w:tcPr>
          <w:p w14:paraId="278484B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Regulación</w:t>
            </w:r>
          </w:p>
        </w:tc>
        <w:tc>
          <w:tcPr>
            <w:tcW w:w="0" w:type="auto"/>
            <w:tcBorders>
              <w:top w:val="nil"/>
              <w:left w:val="nil"/>
              <w:bottom w:val="single" w:sz="4" w:space="0" w:color="auto"/>
              <w:right w:val="single" w:sz="4" w:space="0" w:color="auto"/>
            </w:tcBorders>
            <w:shd w:val="clear" w:color="auto" w:fill="auto"/>
            <w:vAlign w:val="center"/>
            <w:hideMark/>
          </w:tcPr>
          <w:p w14:paraId="21E44BD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Desarrollar el Plan de Acción para Implementar las Recomendaciones para Adopción de las NIIF</w:t>
            </w:r>
          </w:p>
        </w:tc>
        <w:tc>
          <w:tcPr>
            <w:tcW w:w="0" w:type="auto"/>
            <w:tcBorders>
              <w:top w:val="nil"/>
              <w:left w:val="nil"/>
              <w:bottom w:val="single" w:sz="4" w:space="0" w:color="auto"/>
              <w:right w:val="single" w:sz="4" w:space="0" w:color="auto"/>
            </w:tcBorders>
            <w:shd w:val="clear" w:color="auto" w:fill="auto"/>
            <w:vAlign w:val="center"/>
            <w:hideMark/>
          </w:tcPr>
          <w:p w14:paraId="4E3ECF3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del proyecto según hitos</w:t>
            </w:r>
          </w:p>
        </w:tc>
        <w:tc>
          <w:tcPr>
            <w:tcW w:w="0" w:type="auto"/>
            <w:tcBorders>
              <w:top w:val="nil"/>
              <w:left w:val="nil"/>
              <w:bottom w:val="single" w:sz="4" w:space="0" w:color="auto"/>
              <w:right w:val="single" w:sz="4" w:space="0" w:color="auto"/>
            </w:tcBorders>
            <w:shd w:val="clear" w:color="auto" w:fill="auto"/>
            <w:noWrap/>
            <w:vAlign w:val="center"/>
            <w:hideMark/>
          </w:tcPr>
          <w:p w14:paraId="5A9FABA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3A89BEA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5163C5F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7BAF530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75%</w:t>
            </w:r>
          </w:p>
        </w:tc>
        <w:tc>
          <w:tcPr>
            <w:tcW w:w="0" w:type="auto"/>
            <w:tcBorders>
              <w:top w:val="nil"/>
              <w:left w:val="nil"/>
              <w:bottom w:val="single" w:sz="4" w:space="0" w:color="auto"/>
              <w:right w:val="single" w:sz="4" w:space="0" w:color="auto"/>
            </w:tcBorders>
            <w:shd w:val="clear" w:color="auto" w:fill="auto"/>
            <w:noWrap/>
            <w:vAlign w:val="center"/>
            <w:hideMark/>
          </w:tcPr>
          <w:p w14:paraId="1010FE6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75%</w:t>
            </w:r>
          </w:p>
        </w:tc>
      </w:tr>
      <w:tr w:rsidR="00106EFB" w:rsidRPr="00106EFB" w14:paraId="68A148E0"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9378E8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2</w:t>
            </w:r>
          </w:p>
        </w:tc>
        <w:tc>
          <w:tcPr>
            <w:tcW w:w="1319" w:type="dxa"/>
            <w:tcBorders>
              <w:top w:val="nil"/>
              <w:left w:val="nil"/>
              <w:bottom w:val="single" w:sz="4" w:space="0" w:color="auto"/>
              <w:right w:val="single" w:sz="4" w:space="0" w:color="auto"/>
            </w:tcBorders>
            <w:shd w:val="clear" w:color="auto" w:fill="auto"/>
            <w:noWrap/>
            <w:vAlign w:val="center"/>
            <w:hideMark/>
          </w:tcPr>
          <w:p w14:paraId="7364D00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Estudios Económicos</w:t>
            </w:r>
          </w:p>
        </w:tc>
        <w:tc>
          <w:tcPr>
            <w:tcW w:w="0" w:type="auto"/>
            <w:tcBorders>
              <w:top w:val="nil"/>
              <w:left w:val="nil"/>
              <w:bottom w:val="single" w:sz="4" w:space="0" w:color="auto"/>
              <w:right w:val="single" w:sz="4" w:space="0" w:color="auto"/>
            </w:tcBorders>
            <w:shd w:val="clear" w:color="auto" w:fill="auto"/>
            <w:vAlign w:val="center"/>
            <w:hideMark/>
          </w:tcPr>
          <w:p w14:paraId="7D8C77D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Implementación </w:t>
            </w:r>
            <w:r w:rsidRPr="00106EFB">
              <w:rPr>
                <w:rFonts w:eastAsia="Times New Roman"/>
                <w:spacing w:val="0"/>
                <w:lang w:val="es-DO" w:eastAsia="es-DO"/>
              </w:rPr>
              <w:br/>
              <w:t xml:space="preserve">de Nuevas Funcionalidades </w:t>
            </w:r>
            <w:r w:rsidRPr="00106EFB">
              <w:rPr>
                <w:rFonts w:eastAsia="Times New Roman"/>
                <w:spacing w:val="0"/>
                <w:lang w:val="es-DO" w:eastAsia="es-DO"/>
              </w:rPr>
              <w:br/>
              <w:t>Analíticas y Módulo de Alerta</w:t>
            </w:r>
          </w:p>
        </w:tc>
        <w:tc>
          <w:tcPr>
            <w:tcW w:w="0" w:type="auto"/>
            <w:tcBorders>
              <w:top w:val="nil"/>
              <w:left w:val="nil"/>
              <w:bottom w:val="single" w:sz="4" w:space="0" w:color="auto"/>
              <w:right w:val="single" w:sz="4" w:space="0" w:color="auto"/>
            </w:tcBorders>
            <w:shd w:val="clear" w:color="auto" w:fill="auto"/>
            <w:vAlign w:val="center"/>
            <w:hideMark/>
          </w:tcPr>
          <w:p w14:paraId="10DEB6B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según </w:t>
            </w:r>
            <w:r w:rsidRPr="00106EFB">
              <w:rPr>
                <w:rFonts w:eastAsia="Times New Roman"/>
                <w:spacing w:val="0"/>
                <w:lang w:val="es-DO" w:eastAsia="es-DO"/>
              </w:rPr>
              <w:br/>
              <w:t>hitos</w:t>
            </w:r>
          </w:p>
        </w:tc>
        <w:tc>
          <w:tcPr>
            <w:tcW w:w="0" w:type="auto"/>
            <w:tcBorders>
              <w:top w:val="nil"/>
              <w:left w:val="nil"/>
              <w:bottom w:val="single" w:sz="4" w:space="0" w:color="auto"/>
              <w:right w:val="single" w:sz="4" w:space="0" w:color="auto"/>
            </w:tcBorders>
            <w:shd w:val="clear" w:color="auto" w:fill="auto"/>
            <w:noWrap/>
            <w:vAlign w:val="center"/>
            <w:hideMark/>
          </w:tcPr>
          <w:p w14:paraId="4B157B0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21E8E5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3948948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076B37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54D0C84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13265933"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E75B2D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w:t>
            </w:r>
          </w:p>
        </w:tc>
        <w:tc>
          <w:tcPr>
            <w:tcW w:w="1319" w:type="dxa"/>
            <w:tcBorders>
              <w:top w:val="nil"/>
              <w:left w:val="nil"/>
              <w:bottom w:val="single" w:sz="4" w:space="0" w:color="auto"/>
              <w:right w:val="single" w:sz="4" w:space="0" w:color="auto"/>
            </w:tcBorders>
            <w:shd w:val="clear" w:color="auto" w:fill="auto"/>
            <w:noWrap/>
            <w:vAlign w:val="center"/>
            <w:hideMark/>
          </w:tcPr>
          <w:p w14:paraId="545A801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Supervisión de Entidades Sistémicas</w:t>
            </w:r>
          </w:p>
        </w:tc>
        <w:tc>
          <w:tcPr>
            <w:tcW w:w="0" w:type="auto"/>
            <w:tcBorders>
              <w:top w:val="nil"/>
              <w:left w:val="nil"/>
              <w:bottom w:val="single" w:sz="4" w:space="0" w:color="auto"/>
              <w:right w:val="single" w:sz="4" w:space="0" w:color="auto"/>
            </w:tcBorders>
            <w:shd w:val="clear" w:color="auto" w:fill="auto"/>
            <w:vAlign w:val="center"/>
            <w:hideMark/>
          </w:tcPr>
          <w:p w14:paraId="2EF04BE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Entidades </w:t>
            </w:r>
            <w:r w:rsidRPr="00106EFB">
              <w:rPr>
                <w:rFonts w:eastAsia="Times New Roman"/>
                <w:spacing w:val="0"/>
                <w:lang w:val="es-DO" w:eastAsia="es-DO"/>
              </w:rPr>
              <w:br/>
              <w:t xml:space="preserve">Sistémicas con Capital Extranjero - </w:t>
            </w:r>
            <w:r w:rsidRPr="00106EFB">
              <w:rPr>
                <w:rFonts w:eastAsia="Times New Roman"/>
                <w:spacing w:val="0"/>
                <w:lang w:val="es-DO" w:eastAsia="es-DO"/>
              </w:rPr>
              <w:br/>
              <w:t>Canasta 5</w:t>
            </w:r>
          </w:p>
        </w:tc>
        <w:tc>
          <w:tcPr>
            <w:tcW w:w="0" w:type="auto"/>
            <w:tcBorders>
              <w:top w:val="nil"/>
              <w:left w:val="nil"/>
              <w:bottom w:val="single" w:sz="4" w:space="0" w:color="auto"/>
              <w:right w:val="single" w:sz="4" w:space="0" w:color="auto"/>
            </w:tcBorders>
            <w:shd w:val="clear" w:color="auto" w:fill="auto"/>
            <w:vAlign w:val="center"/>
            <w:hideMark/>
          </w:tcPr>
          <w:p w14:paraId="539D493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en </w:t>
            </w:r>
            <w:r w:rsidRPr="00106EFB">
              <w:rPr>
                <w:rFonts w:eastAsia="Times New Roman"/>
                <w:spacing w:val="0"/>
                <w:lang w:val="es-DO" w:eastAsia="es-DO"/>
              </w:rPr>
              <w:br/>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540FA55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7745ED7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50B2D9C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785A478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A77709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305BAB94"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138A9E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4</w:t>
            </w:r>
          </w:p>
        </w:tc>
        <w:tc>
          <w:tcPr>
            <w:tcW w:w="1319" w:type="dxa"/>
            <w:tcBorders>
              <w:top w:val="nil"/>
              <w:left w:val="nil"/>
              <w:bottom w:val="single" w:sz="4" w:space="0" w:color="auto"/>
              <w:right w:val="single" w:sz="4" w:space="0" w:color="auto"/>
            </w:tcBorders>
            <w:shd w:val="clear" w:color="auto" w:fill="auto"/>
            <w:noWrap/>
            <w:vAlign w:val="center"/>
            <w:hideMark/>
          </w:tcPr>
          <w:p w14:paraId="35DBF65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Monitoreo de Riesgos</w:t>
            </w:r>
          </w:p>
        </w:tc>
        <w:tc>
          <w:tcPr>
            <w:tcW w:w="0" w:type="auto"/>
            <w:tcBorders>
              <w:top w:val="nil"/>
              <w:left w:val="nil"/>
              <w:bottom w:val="single" w:sz="4" w:space="0" w:color="auto"/>
              <w:right w:val="single" w:sz="4" w:space="0" w:color="auto"/>
            </w:tcBorders>
            <w:shd w:val="clear" w:color="auto" w:fill="auto"/>
            <w:vAlign w:val="center"/>
            <w:hideMark/>
          </w:tcPr>
          <w:p w14:paraId="52862A2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del Marco de </w:t>
            </w:r>
            <w:r w:rsidRPr="00106EFB">
              <w:rPr>
                <w:rFonts w:eastAsia="Times New Roman"/>
                <w:spacing w:val="0"/>
                <w:lang w:val="es-DO" w:eastAsia="es-DO"/>
              </w:rPr>
              <w:br/>
              <w:t>Gestión Integral de Riesgos de las EIF</w:t>
            </w:r>
          </w:p>
        </w:tc>
        <w:tc>
          <w:tcPr>
            <w:tcW w:w="0" w:type="auto"/>
            <w:tcBorders>
              <w:top w:val="nil"/>
              <w:left w:val="nil"/>
              <w:bottom w:val="single" w:sz="4" w:space="0" w:color="auto"/>
              <w:right w:val="single" w:sz="4" w:space="0" w:color="auto"/>
            </w:tcBorders>
            <w:shd w:val="clear" w:color="auto" w:fill="auto"/>
            <w:vAlign w:val="center"/>
            <w:hideMark/>
          </w:tcPr>
          <w:p w14:paraId="000B8C4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en </w:t>
            </w:r>
            <w:r w:rsidRPr="00106EFB">
              <w:rPr>
                <w:rFonts w:eastAsia="Times New Roman"/>
                <w:spacing w:val="0"/>
                <w:lang w:val="es-DO" w:eastAsia="es-DO"/>
              </w:rPr>
              <w:br/>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5612756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D2E23C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0E1F04A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5702241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82FE47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5C14E44B"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7D20F2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5</w:t>
            </w:r>
          </w:p>
        </w:tc>
        <w:tc>
          <w:tcPr>
            <w:tcW w:w="1319" w:type="dxa"/>
            <w:tcBorders>
              <w:top w:val="nil"/>
              <w:left w:val="nil"/>
              <w:bottom w:val="single" w:sz="4" w:space="0" w:color="auto"/>
              <w:right w:val="single" w:sz="4" w:space="0" w:color="auto"/>
            </w:tcBorders>
            <w:shd w:val="clear" w:color="auto" w:fill="auto"/>
            <w:noWrap/>
            <w:vAlign w:val="center"/>
            <w:hideMark/>
          </w:tcPr>
          <w:p w14:paraId="609C227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de </w:t>
            </w:r>
            <w:r w:rsidRPr="00106EFB">
              <w:rPr>
                <w:rFonts w:eastAsia="Times New Roman"/>
                <w:spacing w:val="0"/>
                <w:lang w:val="es-DO" w:eastAsia="es-DO"/>
              </w:rPr>
              <w:lastRenderedPageBreak/>
              <w:t xml:space="preserve">Entidades </w:t>
            </w:r>
            <w:r w:rsidRPr="00106EFB">
              <w:rPr>
                <w:rFonts w:eastAsia="Times New Roman"/>
                <w:spacing w:val="0"/>
                <w:lang w:val="es-DO" w:eastAsia="es-DO"/>
              </w:rPr>
              <w:br/>
              <w:t>Sistémicas</w:t>
            </w:r>
          </w:p>
        </w:tc>
        <w:tc>
          <w:tcPr>
            <w:tcW w:w="0" w:type="auto"/>
            <w:tcBorders>
              <w:top w:val="nil"/>
              <w:left w:val="nil"/>
              <w:bottom w:val="single" w:sz="4" w:space="0" w:color="auto"/>
              <w:right w:val="single" w:sz="4" w:space="0" w:color="auto"/>
            </w:tcBorders>
            <w:shd w:val="clear" w:color="auto" w:fill="auto"/>
            <w:vAlign w:val="center"/>
            <w:hideMark/>
          </w:tcPr>
          <w:p w14:paraId="60E2D3C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 xml:space="preserve">Supervisión de Entidades </w:t>
            </w:r>
            <w:r w:rsidRPr="00106EFB">
              <w:rPr>
                <w:rFonts w:eastAsia="Times New Roman"/>
                <w:spacing w:val="0"/>
                <w:lang w:val="es-DO" w:eastAsia="es-DO"/>
              </w:rPr>
              <w:br/>
            </w:r>
            <w:r w:rsidRPr="00106EFB">
              <w:rPr>
                <w:rFonts w:eastAsia="Times New Roman"/>
                <w:spacing w:val="0"/>
                <w:lang w:val="es-DO" w:eastAsia="es-DO"/>
              </w:rPr>
              <w:lastRenderedPageBreak/>
              <w:t>Sistémicas II</w:t>
            </w:r>
          </w:p>
        </w:tc>
        <w:tc>
          <w:tcPr>
            <w:tcW w:w="0" w:type="auto"/>
            <w:tcBorders>
              <w:top w:val="nil"/>
              <w:left w:val="nil"/>
              <w:bottom w:val="single" w:sz="4" w:space="0" w:color="auto"/>
              <w:right w:val="single" w:sz="4" w:space="0" w:color="auto"/>
            </w:tcBorders>
            <w:shd w:val="clear" w:color="auto" w:fill="auto"/>
            <w:vAlign w:val="center"/>
            <w:hideMark/>
          </w:tcPr>
          <w:p w14:paraId="78E4052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 xml:space="preserve">Porcentaje de avance en </w:t>
            </w:r>
            <w:r w:rsidRPr="00106EFB">
              <w:rPr>
                <w:rFonts w:eastAsia="Times New Roman"/>
                <w:spacing w:val="0"/>
                <w:lang w:val="es-DO" w:eastAsia="es-DO"/>
              </w:rPr>
              <w:br/>
            </w:r>
            <w:r w:rsidRPr="00106EFB">
              <w:rPr>
                <w:rFonts w:eastAsia="Times New Roman"/>
                <w:spacing w:val="0"/>
                <w:lang w:val="es-DO" w:eastAsia="es-DO"/>
              </w:rPr>
              <w:lastRenderedPageBreak/>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5EA6DDB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Anual</w:t>
            </w:r>
          </w:p>
        </w:tc>
        <w:tc>
          <w:tcPr>
            <w:tcW w:w="0" w:type="auto"/>
            <w:tcBorders>
              <w:top w:val="nil"/>
              <w:left w:val="nil"/>
              <w:bottom w:val="single" w:sz="4" w:space="0" w:color="auto"/>
              <w:right w:val="single" w:sz="4" w:space="0" w:color="auto"/>
            </w:tcBorders>
            <w:shd w:val="clear" w:color="auto" w:fill="auto"/>
            <w:noWrap/>
            <w:vAlign w:val="center"/>
            <w:hideMark/>
          </w:tcPr>
          <w:p w14:paraId="4295B8E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04E48CC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4EF993F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57AE7D9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1EA16D0C"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886F44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6</w:t>
            </w:r>
          </w:p>
        </w:tc>
        <w:tc>
          <w:tcPr>
            <w:tcW w:w="1319" w:type="dxa"/>
            <w:tcBorders>
              <w:top w:val="nil"/>
              <w:left w:val="nil"/>
              <w:bottom w:val="single" w:sz="4" w:space="0" w:color="auto"/>
              <w:right w:val="single" w:sz="4" w:space="0" w:color="auto"/>
            </w:tcBorders>
            <w:shd w:val="clear" w:color="auto" w:fill="auto"/>
            <w:noWrap/>
            <w:vAlign w:val="center"/>
            <w:hideMark/>
          </w:tcPr>
          <w:p w14:paraId="5C570CC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Subgerencia de Supervisión</w:t>
            </w:r>
          </w:p>
        </w:tc>
        <w:tc>
          <w:tcPr>
            <w:tcW w:w="0" w:type="auto"/>
            <w:tcBorders>
              <w:top w:val="nil"/>
              <w:left w:val="nil"/>
              <w:bottom w:val="single" w:sz="4" w:space="0" w:color="auto"/>
              <w:right w:val="single" w:sz="4" w:space="0" w:color="auto"/>
            </w:tcBorders>
            <w:shd w:val="clear" w:color="auto" w:fill="auto"/>
            <w:vAlign w:val="center"/>
            <w:hideMark/>
          </w:tcPr>
          <w:p w14:paraId="12913FB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Conformación de Unidad de </w:t>
            </w:r>
            <w:r w:rsidRPr="00106EFB">
              <w:rPr>
                <w:rFonts w:eastAsia="Times New Roman"/>
                <w:spacing w:val="0"/>
                <w:lang w:val="es-DO" w:eastAsia="es-DO"/>
              </w:rPr>
              <w:br/>
              <w:t>Supervisión de Fiduciarias</w:t>
            </w:r>
            <w:r w:rsidRPr="00106EFB">
              <w:rPr>
                <w:rFonts w:eastAsia="Times New Roman"/>
                <w:spacing w:val="0"/>
                <w:lang w:val="es-DO" w:eastAsia="es-DO"/>
              </w:rPr>
              <w:br/>
              <w:t xml:space="preserve"> </w:t>
            </w:r>
          </w:p>
        </w:tc>
        <w:tc>
          <w:tcPr>
            <w:tcW w:w="0" w:type="auto"/>
            <w:tcBorders>
              <w:top w:val="nil"/>
              <w:left w:val="nil"/>
              <w:bottom w:val="single" w:sz="4" w:space="0" w:color="auto"/>
              <w:right w:val="single" w:sz="4" w:space="0" w:color="auto"/>
            </w:tcBorders>
            <w:shd w:val="clear" w:color="auto" w:fill="auto"/>
            <w:vAlign w:val="center"/>
            <w:hideMark/>
          </w:tcPr>
          <w:p w14:paraId="69458BF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según hitos</w:t>
            </w:r>
          </w:p>
        </w:tc>
        <w:tc>
          <w:tcPr>
            <w:tcW w:w="0" w:type="auto"/>
            <w:tcBorders>
              <w:top w:val="nil"/>
              <w:left w:val="nil"/>
              <w:bottom w:val="single" w:sz="4" w:space="0" w:color="auto"/>
              <w:right w:val="single" w:sz="4" w:space="0" w:color="auto"/>
            </w:tcBorders>
            <w:shd w:val="clear" w:color="auto" w:fill="auto"/>
            <w:noWrap/>
            <w:vAlign w:val="center"/>
            <w:hideMark/>
          </w:tcPr>
          <w:p w14:paraId="2C17900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EFDE5D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0D68306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711555C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75%</w:t>
            </w:r>
          </w:p>
        </w:tc>
        <w:tc>
          <w:tcPr>
            <w:tcW w:w="0" w:type="auto"/>
            <w:tcBorders>
              <w:top w:val="nil"/>
              <w:left w:val="nil"/>
              <w:bottom w:val="single" w:sz="4" w:space="0" w:color="auto"/>
              <w:right w:val="single" w:sz="4" w:space="0" w:color="auto"/>
            </w:tcBorders>
            <w:shd w:val="clear" w:color="auto" w:fill="auto"/>
            <w:noWrap/>
            <w:vAlign w:val="center"/>
            <w:hideMark/>
          </w:tcPr>
          <w:p w14:paraId="5A87966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75%</w:t>
            </w:r>
          </w:p>
        </w:tc>
      </w:tr>
      <w:tr w:rsidR="00106EFB" w:rsidRPr="00106EFB" w14:paraId="1CD5EF63"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1E11C5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7</w:t>
            </w:r>
          </w:p>
        </w:tc>
        <w:tc>
          <w:tcPr>
            <w:tcW w:w="1319" w:type="dxa"/>
            <w:tcBorders>
              <w:top w:val="nil"/>
              <w:left w:val="nil"/>
              <w:bottom w:val="single" w:sz="4" w:space="0" w:color="auto"/>
              <w:right w:val="single" w:sz="4" w:space="0" w:color="auto"/>
            </w:tcBorders>
            <w:shd w:val="clear" w:color="auto" w:fill="auto"/>
            <w:noWrap/>
            <w:vAlign w:val="center"/>
            <w:hideMark/>
          </w:tcPr>
          <w:p w14:paraId="2409B55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de Entidades No </w:t>
            </w:r>
            <w:r w:rsidRPr="00106EFB">
              <w:rPr>
                <w:rFonts w:eastAsia="Times New Roman"/>
                <w:spacing w:val="0"/>
                <w:lang w:val="es-DO" w:eastAsia="es-DO"/>
              </w:rPr>
              <w:br/>
              <w:t>Sistémicas</w:t>
            </w:r>
          </w:p>
        </w:tc>
        <w:tc>
          <w:tcPr>
            <w:tcW w:w="0" w:type="auto"/>
            <w:tcBorders>
              <w:top w:val="nil"/>
              <w:left w:val="nil"/>
              <w:bottom w:val="single" w:sz="4" w:space="0" w:color="auto"/>
              <w:right w:val="single" w:sz="4" w:space="0" w:color="auto"/>
            </w:tcBorders>
            <w:shd w:val="clear" w:color="auto" w:fill="auto"/>
            <w:vAlign w:val="center"/>
            <w:hideMark/>
          </w:tcPr>
          <w:p w14:paraId="237E7BC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de Entidades No </w:t>
            </w:r>
            <w:r w:rsidRPr="00106EFB">
              <w:rPr>
                <w:rFonts w:eastAsia="Times New Roman"/>
                <w:spacing w:val="0"/>
                <w:lang w:val="es-DO" w:eastAsia="es-DO"/>
              </w:rPr>
              <w:br/>
              <w:t>Sistémicas: Microcréditos</w:t>
            </w:r>
          </w:p>
        </w:tc>
        <w:tc>
          <w:tcPr>
            <w:tcW w:w="0" w:type="auto"/>
            <w:tcBorders>
              <w:top w:val="nil"/>
              <w:left w:val="nil"/>
              <w:bottom w:val="single" w:sz="4" w:space="0" w:color="auto"/>
              <w:right w:val="single" w:sz="4" w:space="0" w:color="auto"/>
            </w:tcBorders>
            <w:shd w:val="clear" w:color="auto" w:fill="auto"/>
            <w:vAlign w:val="center"/>
            <w:hideMark/>
          </w:tcPr>
          <w:p w14:paraId="465EA14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en </w:t>
            </w:r>
            <w:r w:rsidRPr="00106EFB">
              <w:rPr>
                <w:rFonts w:eastAsia="Times New Roman"/>
                <w:spacing w:val="0"/>
                <w:lang w:val="es-DO" w:eastAsia="es-DO"/>
              </w:rPr>
              <w:br/>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375F39C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5B3763B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76F99C6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60F2005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F04239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37EBB0B7"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64D5DC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8</w:t>
            </w:r>
          </w:p>
        </w:tc>
        <w:tc>
          <w:tcPr>
            <w:tcW w:w="1319" w:type="dxa"/>
            <w:tcBorders>
              <w:top w:val="nil"/>
              <w:left w:val="nil"/>
              <w:bottom w:val="single" w:sz="4" w:space="0" w:color="auto"/>
              <w:right w:val="single" w:sz="4" w:space="0" w:color="auto"/>
            </w:tcBorders>
            <w:shd w:val="clear" w:color="auto" w:fill="auto"/>
            <w:noWrap/>
            <w:vAlign w:val="center"/>
            <w:hideMark/>
          </w:tcPr>
          <w:p w14:paraId="7113EA6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de Entidades No </w:t>
            </w:r>
            <w:r w:rsidRPr="00106EFB">
              <w:rPr>
                <w:rFonts w:eastAsia="Times New Roman"/>
                <w:spacing w:val="0"/>
                <w:lang w:val="es-DO" w:eastAsia="es-DO"/>
              </w:rPr>
              <w:br/>
              <w:t>Sistémicas</w:t>
            </w:r>
          </w:p>
        </w:tc>
        <w:tc>
          <w:tcPr>
            <w:tcW w:w="0" w:type="auto"/>
            <w:tcBorders>
              <w:top w:val="nil"/>
              <w:left w:val="nil"/>
              <w:bottom w:val="single" w:sz="4" w:space="0" w:color="auto"/>
              <w:right w:val="single" w:sz="4" w:space="0" w:color="auto"/>
            </w:tcBorders>
            <w:shd w:val="clear" w:color="auto" w:fill="auto"/>
            <w:vAlign w:val="center"/>
            <w:hideMark/>
          </w:tcPr>
          <w:p w14:paraId="241400A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Entidades No </w:t>
            </w:r>
            <w:r w:rsidRPr="00106EFB">
              <w:rPr>
                <w:rFonts w:eastAsia="Times New Roman"/>
                <w:spacing w:val="0"/>
                <w:lang w:val="es-DO" w:eastAsia="es-DO"/>
              </w:rPr>
              <w:br/>
              <w:t xml:space="preserve">Sistémicas: Agentes de Cambio, </w:t>
            </w:r>
            <w:r w:rsidRPr="00106EFB">
              <w:rPr>
                <w:rFonts w:eastAsia="Times New Roman"/>
                <w:spacing w:val="0"/>
                <w:lang w:val="es-DO" w:eastAsia="es-DO"/>
              </w:rPr>
              <w:br/>
              <w:t>Remesadoras, SIC y otros</w:t>
            </w:r>
          </w:p>
        </w:tc>
        <w:tc>
          <w:tcPr>
            <w:tcW w:w="0" w:type="auto"/>
            <w:tcBorders>
              <w:top w:val="nil"/>
              <w:left w:val="nil"/>
              <w:bottom w:val="single" w:sz="4" w:space="0" w:color="auto"/>
              <w:right w:val="single" w:sz="4" w:space="0" w:color="auto"/>
            </w:tcBorders>
            <w:shd w:val="clear" w:color="auto" w:fill="auto"/>
            <w:vAlign w:val="center"/>
            <w:hideMark/>
          </w:tcPr>
          <w:p w14:paraId="2E68F58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en </w:t>
            </w:r>
            <w:r w:rsidRPr="00106EFB">
              <w:rPr>
                <w:rFonts w:eastAsia="Times New Roman"/>
                <w:spacing w:val="0"/>
                <w:lang w:val="es-DO" w:eastAsia="es-DO"/>
              </w:rPr>
              <w:br/>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0BA0427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E22A3D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31F3B24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6D0AA1A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4BE8AAC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1F4EE789"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7E726F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9</w:t>
            </w:r>
          </w:p>
        </w:tc>
        <w:tc>
          <w:tcPr>
            <w:tcW w:w="1319" w:type="dxa"/>
            <w:tcBorders>
              <w:top w:val="nil"/>
              <w:left w:val="nil"/>
              <w:bottom w:val="single" w:sz="4" w:space="0" w:color="auto"/>
              <w:right w:val="single" w:sz="4" w:space="0" w:color="auto"/>
            </w:tcBorders>
            <w:shd w:val="clear" w:color="auto" w:fill="auto"/>
            <w:noWrap/>
            <w:vAlign w:val="center"/>
            <w:hideMark/>
          </w:tcPr>
          <w:p w14:paraId="29CE73F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de Entidades No </w:t>
            </w:r>
            <w:r w:rsidRPr="00106EFB">
              <w:rPr>
                <w:rFonts w:eastAsia="Times New Roman"/>
                <w:spacing w:val="0"/>
                <w:lang w:val="es-DO" w:eastAsia="es-DO"/>
              </w:rPr>
              <w:br/>
              <w:t>Sistémicas</w:t>
            </w:r>
          </w:p>
        </w:tc>
        <w:tc>
          <w:tcPr>
            <w:tcW w:w="0" w:type="auto"/>
            <w:tcBorders>
              <w:top w:val="nil"/>
              <w:left w:val="nil"/>
              <w:bottom w:val="single" w:sz="4" w:space="0" w:color="auto"/>
              <w:right w:val="single" w:sz="4" w:space="0" w:color="auto"/>
            </w:tcBorders>
            <w:shd w:val="clear" w:color="auto" w:fill="auto"/>
            <w:vAlign w:val="center"/>
            <w:hideMark/>
          </w:tcPr>
          <w:p w14:paraId="7043F1A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Entidades No </w:t>
            </w:r>
            <w:r w:rsidRPr="00106EFB">
              <w:rPr>
                <w:rFonts w:eastAsia="Times New Roman"/>
                <w:spacing w:val="0"/>
                <w:lang w:val="es-DO" w:eastAsia="es-DO"/>
              </w:rPr>
              <w:br/>
              <w:t xml:space="preserve">Sistémicas: Bancos Múltiples </w:t>
            </w:r>
            <w:r w:rsidRPr="00106EFB">
              <w:rPr>
                <w:rFonts w:eastAsia="Times New Roman"/>
                <w:spacing w:val="0"/>
                <w:lang w:val="es-DO" w:eastAsia="es-DO"/>
              </w:rPr>
              <w:br/>
              <w:t>Emergentes</w:t>
            </w:r>
          </w:p>
        </w:tc>
        <w:tc>
          <w:tcPr>
            <w:tcW w:w="0" w:type="auto"/>
            <w:tcBorders>
              <w:top w:val="nil"/>
              <w:left w:val="nil"/>
              <w:bottom w:val="single" w:sz="4" w:space="0" w:color="auto"/>
              <w:right w:val="single" w:sz="4" w:space="0" w:color="auto"/>
            </w:tcBorders>
            <w:shd w:val="clear" w:color="auto" w:fill="auto"/>
            <w:vAlign w:val="center"/>
            <w:hideMark/>
          </w:tcPr>
          <w:p w14:paraId="799B21A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en </w:t>
            </w:r>
            <w:r w:rsidRPr="00106EFB">
              <w:rPr>
                <w:rFonts w:eastAsia="Times New Roman"/>
                <w:spacing w:val="0"/>
                <w:lang w:val="es-DO" w:eastAsia="es-DO"/>
              </w:rPr>
              <w:br/>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4F662F1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E28C30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1CCF605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5AB030F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454410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3CF5E721" w14:textId="77777777" w:rsidTr="00860016">
        <w:trPr>
          <w:trHeight w:val="9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115254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w:t>
            </w:r>
          </w:p>
        </w:tc>
        <w:tc>
          <w:tcPr>
            <w:tcW w:w="1319" w:type="dxa"/>
            <w:tcBorders>
              <w:top w:val="nil"/>
              <w:left w:val="nil"/>
              <w:bottom w:val="single" w:sz="4" w:space="0" w:color="auto"/>
              <w:right w:val="single" w:sz="4" w:space="0" w:color="auto"/>
            </w:tcBorders>
            <w:shd w:val="clear" w:color="auto" w:fill="auto"/>
            <w:noWrap/>
            <w:vAlign w:val="center"/>
            <w:hideMark/>
          </w:tcPr>
          <w:p w14:paraId="1343B23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Monitoreo de Riesgos</w:t>
            </w:r>
          </w:p>
        </w:tc>
        <w:tc>
          <w:tcPr>
            <w:tcW w:w="0" w:type="auto"/>
            <w:tcBorders>
              <w:top w:val="nil"/>
              <w:left w:val="nil"/>
              <w:bottom w:val="single" w:sz="4" w:space="0" w:color="auto"/>
              <w:right w:val="single" w:sz="4" w:space="0" w:color="auto"/>
            </w:tcBorders>
            <w:shd w:val="clear" w:color="auto" w:fill="auto"/>
            <w:vAlign w:val="center"/>
            <w:hideMark/>
          </w:tcPr>
          <w:p w14:paraId="2719B6C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Implementación MRI de la </w:t>
            </w:r>
            <w:r w:rsidRPr="00106EFB">
              <w:rPr>
                <w:rFonts w:eastAsia="Times New Roman"/>
                <w:spacing w:val="0"/>
                <w:lang w:val="es-DO" w:eastAsia="es-DO"/>
              </w:rPr>
              <w:br/>
              <w:t>Administra</w:t>
            </w:r>
            <w:r w:rsidRPr="00106EFB">
              <w:rPr>
                <w:rFonts w:eastAsia="Times New Roman"/>
                <w:spacing w:val="0"/>
                <w:lang w:val="es-DO" w:eastAsia="es-DO"/>
              </w:rPr>
              <w:lastRenderedPageBreak/>
              <w:t xml:space="preserve">ción Monetaria y </w:t>
            </w:r>
            <w:r w:rsidRPr="00106EFB">
              <w:rPr>
                <w:rFonts w:eastAsia="Times New Roman"/>
                <w:spacing w:val="0"/>
                <w:lang w:val="es-DO" w:eastAsia="es-DO"/>
              </w:rPr>
              <w:br/>
              <w:t xml:space="preserve">Financiera– Fase III y Mejoras SB </w:t>
            </w:r>
            <w:r w:rsidRPr="00106EFB">
              <w:rPr>
                <w:rFonts w:eastAsia="Times New Roman"/>
                <w:spacing w:val="0"/>
                <w:lang w:val="es-DO" w:eastAsia="es-DO"/>
              </w:rPr>
              <w:br/>
              <w:t>Interactivo</w:t>
            </w:r>
          </w:p>
        </w:tc>
        <w:tc>
          <w:tcPr>
            <w:tcW w:w="0" w:type="auto"/>
            <w:tcBorders>
              <w:top w:val="nil"/>
              <w:left w:val="nil"/>
              <w:bottom w:val="single" w:sz="4" w:space="0" w:color="auto"/>
              <w:right w:val="single" w:sz="4" w:space="0" w:color="auto"/>
            </w:tcBorders>
            <w:shd w:val="clear" w:color="auto" w:fill="auto"/>
            <w:vAlign w:val="center"/>
            <w:hideMark/>
          </w:tcPr>
          <w:p w14:paraId="2085203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 xml:space="preserve">Porcentaje de </w:t>
            </w:r>
            <w:r w:rsidRPr="00106EFB">
              <w:rPr>
                <w:rFonts w:eastAsia="Times New Roman"/>
                <w:spacing w:val="0"/>
                <w:lang w:val="es-DO" w:eastAsia="es-DO"/>
              </w:rPr>
              <w:br/>
              <w:t xml:space="preserve">implementación del </w:t>
            </w:r>
            <w:r w:rsidRPr="00106EFB">
              <w:rPr>
                <w:rFonts w:eastAsia="Times New Roman"/>
                <w:spacing w:val="0"/>
                <w:lang w:val="es-DO" w:eastAsia="es-DO"/>
              </w:rPr>
              <w:br/>
            </w:r>
            <w:r w:rsidRPr="00106EFB">
              <w:rPr>
                <w:rFonts w:eastAsia="Times New Roman"/>
                <w:spacing w:val="0"/>
                <w:lang w:val="es-DO" w:eastAsia="es-DO"/>
              </w:rPr>
              <w:lastRenderedPageBreak/>
              <w:t>proyecto según hitos</w:t>
            </w:r>
          </w:p>
        </w:tc>
        <w:tc>
          <w:tcPr>
            <w:tcW w:w="0" w:type="auto"/>
            <w:tcBorders>
              <w:top w:val="nil"/>
              <w:left w:val="nil"/>
              <w:bottom w:val="single" w:sz="4" w:space="0" w:color="auto"/>
              <w:right w:val="single" w:sz="4" w:space="0" w:color="auto"/>
            </w:tcBorders>
            <w:shd w:val="clear" w:color="auto" w:fill="auto"/>
            <w:noWrap/>
            <w:vAlign w:val="center"/>
            <w:hideMark/>
          </w:tcPr>
          <w:p w14:paraId="2E30F15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Anual</w:t>
            </w:r>
          </w:p>
        </w:tc>
        <w:tc>
          <w:tcPr>
            <w:tcW w:w="0" w:type="auto"/>
            <w:tcBorders>
              <w:top w:val="nil"/>
              <w:left w:val="nil"/>
              <w:bottom w:val="single" w:sz="4" w:space="0" w:color="auto"/>
              <w:right w:val="single" w:sz="4" w:space="0" w:color="auto"/>
            </w:tcBorders>
            <w:shd w:val="clear" w:color="auto" w:fill="auto"/>
            <w:noWrap/>
            <w:vAlign w:val="center"/>
            <w:hideMark/>
          </w:tcPr>
          <w:p w14:paraId="26A73B8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78A4326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4E2DF99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75%</w:t>
            </w:r>
          </w:p>
        </w:tc>
        <w:tc>
          <w:tcPr>
            <w:tcW w:w="0" w:type="auto"/>
            <w:tcBorders>
              <w:top w:val="nil"/>
              <w:left w:val="nil"/>
              <w:bottom w:val="single" w:sz="4" w:space="0" w:color="auto"/>
              <w:right w:val="single" w:sz="4" w:space="0" w:color="auto"/>
            </w:tcBorders>
            <w:shd w:val="clear" w:color="auto" w:fill="auto"/>
            <w:noWrap/>
            <w:vAlign w:val="center"/>
            <w:hideMark/>
          </w:tcPr>
          <w:p w14:paraId="54CC4EB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75%</w:t>
            </w:r>
          </w:p>
        </w:tc>
      </w:tr>
      <w:tr w:rsidR="00106EFB" w:rsidRPr="00106EFB" w14:paraId="7F196ED5"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40B0AC7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11</w:t>
            </w:r>
          </w:p>
        </w:tc>
        <w:tc>
          <w:tcPr>
            <w:tcW w:w="1319" w:type="dxa"/>
            <w:tcBorders>
              <w:top w:val="nil"/>
              <w:left w:val="nil"/>
              <w:bottom w:val="single" w:sz="4" w:space="0" w:color="auto"/>
              <w:right w:val="single" w:sz="4" w:space="0" w:color="auto"/>
            </w:tcBorders>
            <w:shd w:val="clear" w:color="auto" w:fill="auto"/>
            <w:noWrap/>
            <w:vAlign w:val="center"/>
            <w:hideMark/>
          </w:tcPr>
          <w:p w14:paraId="54D6068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Regulación</w:t>
            </w:r>
          </w:p>
        </w:tc>
        <w:tc>
          <w:tcPr>
            <w:tcW w:w="0" w:type="auto"/>
            <w:tcBorders>
              <w:top w:val="nil"/>
              <w:left w:val="nil"/>
              <w:bottom w:val="single" w:sz="4" w:space="0" w:color="auto"/>
              <w:right w:val="single" w:sz="4" w:space="0" w:color="auto"/>
            </w:tcBorders>
            <w:shd w:val="clear" w:color="auto" w:fill="auto"/>
            <w:vAlign w:val="center"/>
            <w:hideMark/>
          </w:tcPr>
          <w:p w14:paraId="31C5886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Congreso de Firmas de </w:t>
            </w:r>
            <w:r w:rsidRPr="00106EFB">
              <w:rPr>
                <w:rFonts w:eastAsia="Times New Roman"/>
                <w:spacing w:val="0"/>
                <w:lang w:val="es-DO" w:eastAsia="es-DO"/>
              </w:rPr>
              <w:br/>
              <w:t>Auditores Externos</w:t>
            </w:r>
          </w:p>
        </w:tc>
        <w:tc>
          <w:tcPr>
            <w:tcW w:w="0" w:type="auto"/>
            <w:tcBorders>
              <w:top w:val="nil"/>
              <w:left w:val="nil"/>
              <w:bottom w:val="single" w:sz="4" w:space="0" w:color="auto"/>
              <w:right w:val="single" w:sz="4" w:space="0" w:color="auto"/>
            </w:tcBorders>
            <w:shd w:val="clear" w:color="auto" w:fill="auto"/>
            <w:vAlign w:val="center"/>
            <w:hideMark/>
          </w:tcPr>
          <w:p w14:paraId="020F31C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del proyecto según hitos</w:t>
            </w:r>
          </w:p>
        </w:tc>
        <w:tc>
          <w:tcPr>
            <w:tcW w:w="0" w:type="auto"/>
            <w:tcBorders>
              <w:top w:val="nil"/>
              <w:left w:val="nil"/>
              <w:bottom w:val="single" w:sz="4" w:space="0" w:color="auto"/>
              <w:right w:val="single" w:sz="4" w:space="0" w:color="auto"/>
            </w:tcBorders>
            <w:shd w:val="clear" w:color="auto" w:fill="auto"/>
            <w:noWrap/>
            <w:vAlign w:val="center"/>
            <w:hideMark/>
          </w:tcPr>
          <w:p w14:paraId="1BF4C4D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830D63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2495A4A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BD9D9B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F81BC1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45FB9A38"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DBDCF3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12</w:t>
            </w:r>
          </w:p>
        </w:tc>
        <w:tc>
          <w:tcPr>
            <w:tcW w:w="1319" w:type="dxa"/>
            <w:tcBorders>
              <w:top w:val="nil"/>
              <w:left w:val="nil"/>
              <w:bottom w:val="single" w:sz="4" w:space="0" w:color="auto"/>
              <w:right w:val="single" w:sz="4" w:space="0" w:color="auto"/>
            </w:tcBorders>
            <w:shd w:val="clear" w:color="auto" w:fill="auto"/>
            <w:noWrap/>
            <w:vAlign w:val="center"/>
            <w:hideMark/>
          </w:tcPr>
          <w:p w14:paraId="45C3A2A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Subgerencia de Supervisión</w:t>
            </w:r>
          </w:p>
        </w:tc>
        <w:tc>
          <w:tcPr>
            <w:tcW w:w="0" w:type="auto"/>
            <w:tcBorders>
              <w:top w:val="nil"/>
              <w:left w:val="nil"/>
              <w:bottom w:val="single" w:sz="4" w:space="0" w:color="auto"/>
              <w:right w:val="single" w:sz="4" w:space="0" w:color="auto"/>
            </w:tcBorders>
            <w:shd w:val="clear" w:color="auto" w:fill="auto"/>
            <w:vAlign w:val="center"/>
            <w:hideMark/>
          </w:tcPr>
          <w:p w14:paraId="7D43146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Actualización del Marco de </w:t>
            </w:r>
            <w:r w:rsidRPr="00106EFB">
              <w:rPr>
                <w:rFonts w:eastAsia="Times New Roman"/>
                <w:spacing w:val="0"/>
                <w:lang w:val="es-DO" w:eastAsia="es-DO"/>
              </w:rPr>
              <w:br/>
              <w:t xml:space="preserve">Supervisión Basada en Riesgos </w:t>
            </w:r>
            <w:r w:rsidRPr="00106EFB">
              <w:rPr>
                <w:rFonts w:eastAsia="Times New Roman"/>
                <w:spacing w:val="0"/>
                <w:lang w:val="es-DO" w:eastAsia="es-DO"/>
              </w:rPr>
              <w:br/>
              <w:t>(Toronto Centre) - Fase 1</w:t>
            </w:r>
          </w:p>
        </w:tc>
        <w:tc>
          <w:tcPr>
            <w:tcW w:w="0" w:type="auto"/>
            <w:tcBorders>
              <w:top w:val="nil"/>
              <w:left w:val="nil"/>
              <w:bottom w:val="single" w:sz="4" w:space="0" w:color="auto"/>
              <w:right w:val="single" w:sz="4" w:space="0" w:color="auto"/>
            </w:tcBorders>
            <w:shd w:val="clear" w:color="auto" w:fill="auto"/>
            <w:vAlign w:val="center"/>
            <w:hideMark/>
          </w:tcPr>
          <w:p w14:paraId="11721D9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en </w:t>
            </w:r>
            <w:r w:rsidRPr="00106EFB">
              <w:rPr>
                <w:rFonts w:eastAsia="Times New Roman"/>
                <w:spacing w:val="0"/>
                <w:lang w:val="es-DO" w:eastAsia="es-DO"/>
              </w:rPr>
              <w:br/>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61E6EF6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737BBE7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6D4729A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5E15FC0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C737FD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1E1C2C74"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05824A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13</w:t>
            </w:r>
          </w:p>
        </w:tc>
        <w:tc>
          <w:tcPr>
            <w:tcW w:w="1319" w:type="dxa"/>
            <w:tcBorders>
              <w:top w:val="nil"/>
              <w:left w:val="nil"/>
              <w:bottom w:val="single" w:sz="4" w:space="0" w:color="auto"/>
              <w:right w:val="single" w:sz="4" w:space="0" w:color="auto"/>
            </w:tcBorders>
            <w:shd w:val="clear" w:color="auto" w:fill="auto"/>
            <w:noWrap/>
            <w:vAlign w:val="center"/>
            <w:hideMark/>
          </w:tcPr>
          <w:p w14:paraId="3082A0A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Entidades </w:t>
            </w:r>
            <w:r w:rsidRPr="00106EFB">
              <w:rPr>
                <w:rFonts w:eastAsia="Times New Roman"/>
                <w:spacing w:val="0"/>
                <w:lang w:val="es-DO" w:eastAsia="es-DO"/>
              </w:rPr>
              <w:br/>
              <w:t>Régimen Especial</w:t>
            </w:r>
          </w:p>
        </w:tc>
        <w:tc>
          <w:tcPr>
            <w:tcW w:w="0" w:type="auto"/>
            <w:tcBorders>
              <w:top w:val="nil"/>
              <w:left w:val="nil"/>
              <w:bottom w:val="single" w:sz="4" w:space="0" w:color="auto"/>
              <w:right w:val="single" w:sz="4" w:space="0" w:color="auto"/>
            </w:tcBorders>
            <w:shd w:val="clear" w:color="auto" w:fill="auto"/>
            <w:vAlign w:val="center"/>
            <w:hideMark/>
          </w:tcPr>
          <w:p w14:paraId="1E5A619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de Bancos </w:t>
            </w:r>
            <w:r w:rsidRPr="00106EFB">
              <w:rPr>
                <w:rFonts w:eastAsia="Times New Roman"/>
                <w:spacing w:val="0"/>
                <w:lang w:val="es-DO" w:eastAsia="es-DO"/>
              </w:rPr>
              <w:br/>
              <w:t>Múltiples bajo Régimen Especial</w:t>
            </w:r>
          </w:p>
        </w:tc>
        <w:tc>
          <w:tcPr>
            <w:tcW w:w="0" w:type="auto"/>
            <w:tcBorders>
              <w:top w:val="nil"/>
              <w:left w:val="nil"/>
              <w:bottom w:val="single" w:sz="4" w:space="0" w:color="auto"/>
              <w:right w:val="single" w:sz="4" w:space="0" w:color="auto"/>
            </w:tcBorders>
            <w:shd w:val="clear" w:color="auto" w:fill="auto"/>
            <w:vAlign w:val="center"/>
            <w:hideMark/>
          </w:tcPr>
          <w:p w14:paraId="0C5FA54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en </w:t>
            </w:r>
            <w:r w:rsidRPr="00106EFB">
              <w:rPr>
                <w:rFonts w:eastAsia="Times New Roman"/>
                <w:spacing w:val="0"/>
                <w:lang w:val="es-DO" w:eastAsia="es-DO"/>
              </w:rPr>
              <w:br/>
              <w:t xml:space="preserve">supervisión según hitos </w:t>
            </w:r>
            <w:r w:rsidRPr="00106EFB">
              <w:rPr>
                <w:rFonts w:eastAsia="Times New Roman"/>
                <w:spacing w:val="0"/>
                <w:lang w:val="es-DO" w:eastAsia="es-DO"/>
              </w:rPr>
              <w:br/>
              <w:t>programados</w:t>
            </w:r>
          </w:p>
        </w:tc>
        <w:tc>
          <w:tcPr>
            <w:tcW w:w="0" w:type="auto"/>
            <w:tcBorders>
              <w:top w:val="nil"/>
              <w:left w:val="nil"/>
              <w:bottom w:val="single" w:sz="4" w:space="0" w:color="auto"/>
              <w:right w:val="single" w:sz="4" w:space="0" w:color="auto"/>
            </w:tcBorders>
            <w:shd w:val="clear" w:color="auto" w:fill="auto"/>
            <w:noWrap/>
            <w:vAlign w:val="center"/>
            <w:hideMark/>
          </w:tcPr>
          <w:p w14:paraId="4C54FF3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73D0D4E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2D85550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6F1C9C2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7A05CF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54B2D451"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9E2301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14</w:t>
            </w:r>
          </w:p>
        </w:tc>
        <w:tc>
          <w:tcPr>
            <w:tcW w:w="1319" w:type="dxa"/>
            <w:tcBorders>
              <w:top w:val="nil"/>
              <w:left w:val="nil"/>
              <w:bottom w:val="single" w:sz="4" w:space="0" w:color="auto"/>
              <w:right w:val="single" w:sz="4" w:space="0" w:color="auto"/>
            </w:tcBorders>
            <w:shd w:val="clear" w:color="auto" w:fill="auto"/>
            <w:noWrap/>
            <w:vAlign w:val="center"/>
            <w:hideMark/>
          </w:tcPr>
          <w:p w14:paraId="355C977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Oficina de Servicios y </w:t>
            </w:r>
            <w:r w:rsidRPr="00106EFB">
              <w:rPr>
                <w:rFonts w:eastAsia="Times New Roman"/>
                <w:spacing w:val="0"/>
                <w:lang w:val="es-DO" w:eastAsia="es-DO"/>
              </w:rPr>
              <w:br/>
              <w:t xml:space="preserve">Protección al usuario </w:t>
            </w:r>
            <w:r w:rsidRPr="00106EFB">
              <w:rPr>
                <w:rFonts w:eastAsia="Times New Roman"/>
                <w:spacing w:val="0"/>
                <w:lang w:val="es-DO" w:eastAsia="es-DO"/>
              </w:rPr>
              <w:br/>
              <w:t>(ProUsuario)</w:t>
            </w:r>
          </w:p>
        </w:tc>
        <w:tc>
          <w:tcPr>
            <w:tcW w:w="0" w:type="auto"/>
            <w:tcBorders>
              <w:top w:val="nil"/>
              <w:left w:val="nil"/>
              <w:bottom w:val="single" w:sz="4" w:space="0" w:color="auto"/>
              <w:right w:val="single" w:sz="4" w:space="0" w:color="auto"/>
            </w:tcBorders>
            <w:shd w:val="clear" w:color="auto" w:fill="auto"/>
            <w:vAlign w:val="center"/>
            <w:hideMark/>
          </w:tcPr>
          <w:p w14:paraId="3C2A616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Sistema de Monitoreo de </w:t>
            </w:r>
            <w:r w:rsidRPr="00106EFB">
              <w:rPr>
                <w:rFonts w:eastAsia="Times New Roman"/>
                <w:spacing w:val="0"/>
                <w:lang w:val="es-DO" w:eastAsia="es-DO"/>
              </w:rPr>
              <w:br/>
              <w:t>Calidad de Procesos Internos</w:t>
            </w:r>
          </w:p>
        </w:tc>
        <w:tc>
          <w:tcPr>
            <w:tcW w:w="0" w:type="auto"/>
            <w:tcBorders>
              <w:top w:val="nil"/>
              <w:left w:val="nil"/>
              <w:bottom w:val="single" w:sz="4" w:space="0" w:color="auto"/>
              <w:right w:val="single" w:sz="4" w:space="0" w:color="auto"/>
            </w:tcBorders>
            <w:shd w:val="clear" w:color="auto" w:fill="auto"/>
            <w:vAlign w:val="center"/>
            <w:hideMark/>
          </w:tcPr>
          <w:p w14:paraId="40E8863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 xml:space="preserve">del proyecto según hitos </w:t>
            </w:r>
          </w:p>
        </w:tc>
        <w:tc>
          <w:tcPr>
            <w:tcW w:w="0" w:type="auto"/>
            <w:tcBorders>
              <w:top w:val="nil"/>
              <w:left w:val="nil"/>
              <w:bottom w:val="single" w:sz="4" w:space="0" w:color="auto"/>
              <w:right w:val="single" w:sz="4" w:space="0" w:color="auto"/>
            </w:tcBorders>
            <w:shd w:val="clear" w:color="auto" w:fill="auto"/>
            <w:noWrap/>
            <w:vAlign w:val="center"/>
            <w:hideMark/>
          </w:tcPr>
          <w:p w14:paraId="3371A9D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2A8EAB3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3E4A9F8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4FD74D1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1B4808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572E8A7C"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B88002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16</w:t>
            </w:r>
          </w:p>
        </w:tc>
        <w:tc>
          <w:tcPr>
            <w:tcW w:w="1319" w:type="dxa"/>
            <w:tcBorders>
              <w:top w:val="nil"/>
              <w:left w:val="nil"/>
              <w:bottom w:val="single" w:sz="4" w:space="0" w:color="auto"/>
              <w:right w:val="single" w:sz="4" w:space="0" w:color="auto"/>
            </w:tcBorders>
            <w:shd w:val="clear" w:color="auto" w:fill="auto"/>
            <w:noWrap/>
            <w:vAlign w:val="center"/>
            <w:hideMark/>
          </w:tcPr>
          <w:p w14:paraId="5B7A415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Consultoría Jurídica</w:t>
            </w:r>
          </w:p>
        </w:tc>
        <w:tc>
          <w:tcPr>
            <w:tcW w:w="0" w:type="auto"/>
            <w:tcBorders>
              <w:top w:val="nil"/>
              <w:left w:val="nil"/>
              <w:bottom w:val="single" w:sz="4" w:space="0" w:color="auto"/>
              <w:right w:val="single" w:sz="4" w:space="0" w:color="auto"/>
            </w:tcBorders>
            <w:shd w:val="clear" w:color="auto" w:fill="auto"/>
            <w:vAlign w:val="center"/>
            <w:hideMark/>
          </w:tcPr>
          <w:p w14:paraId="7C288AF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Acuerdo para la </w:t>
            </w:r>
            <w:r w:rsidRPr="00106EFB">
              <w:rPr>
                <w:rFonts w:eastAsia="Times New Roman"/>
                <w:spacing w:val="0"/>
                <w:lang w:val="es-DO" w:eastAsia="es-DO"/>
              </w:rPr>
              <w:br/>
            </w:r>
            <w:proofErr w:type="spellStart"/>
            <w:r w:rsidRPr="00106EFB">
              <w:rPr>
                <w:rFonts w:eastAsia="Times New Roman"/>
                <w:spacing w:val="0"/>
                <w:lang w:val="es-DO" w:eastAsia="es-DO"/>
              </w:rPr>
              <w:t>Interoperatividad</w:t>
            </w:r>
            <w:proofErr w:type="spellEnd"/>
            <w:r w:rsidRPr="00106EFB">
              <w:rPr>
                <w:rFonts w:eastAsia="Times New Roman"/>
                <w:spacing w:val="0"/>
                <w:lang w:val="es-DO" w:eastAsia="es-DO"/>
              </w:rPr>
              <w:t xml:space="preserve"> de </w:t>
            </w:r>
            <w:r w:rsidRPr="00106EFB">
              <w:rPr>
                <w:rFonts w:eastAsia="Times New Roman"/>
                <w:spacing w:val="0"/>
                <w:lang w:val="es-DO" w:eastAsia="es-DO"/>
              </w:rPr>
              <w:lastRenderedPageBreak/>
              <w:t xml:space="preserve">Sistemas </w:t>
            </w:r>
            <w:r w:rsidRPr="00106EFB">
              <w:rPr>
                <w:rFonts w:eastAsia="Times New Roman"/>
                <w:spacing w:val="0"/>
                <w:lang w:val="es-DO" w:eastAsia="es-DO"/>
              </w:rPr>
              <w:br/>
              <w:t>Internos</w:t>
            </w:r>
          </w:p>
        </w:tc>
        <w:tc>
          <w:tcPr>
            <w:tcW w:w="0" w:type="auto"/>
            <w:tcBorders>
              <w:top w:val="nil"/>
              <w:left w:val="nil"/>
              <w:bottom w:val="single" w:sz="4" w:space="0" w:color="auto"/>
              <w:right w:val="single" w:sz="4" w:space="0" w:color="auto"/>
            </w:tcBorders>
            <w:shd w:val="clear" w:color="auto" w:fill="auto"/>
            <w:vAlign w:val="center"/>
            <w:hideMark/>
          </w:tcPr>
          <w:p w14:paraId="3A688EC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 xml:space="preserve">Porcentaje de </w:t>
            </w:r>
            <w:r w:rsidRPr="00106EFB">
              <w:rPr>
                <w:rFonts w:eastAsia="Times New Roman"/>
                <w:spacing w:val="0"/>
                <w:lang w:val="es-DO" w:eastAsia="es-DO"/>
              </w:rPr>
              <w:br/>
              <w:t xml:space="preserve">implementación del </w:t>
            </w:r>
            <w:r w:rsidRPr="00106EFB">
              <w:rPr>
                <w:rFonts w:eastAsia="Times New Roman"/>
                <w:spacing w:val="0"/>
                <w:lang w:val="es-DO" w:eastAsia="es-DO"/>
              </w:rPr>
              <w:br/>
              <w:t xml:space="preserve">proyecto </w:t>
            </w:r>
            <w:r w:rsidRPr="00106EFB">
              <w:rPr>
                <w:rFonts w:eastAsia="Times New Roman"/>
                <w:spacing w:val="0"/>
                <w:lang w:val="es-DO" w:eastAsia="es-DO"/>
              </w:rPr>
              <w:lastRenderedPageBreak/>
              <w:t>según hitos</w:t>
            </w:r>
          </w:p>
        </w:tc>
        <w:tc>
          <w:tcPr>
            <w:tcW w:w="0" w:type="auto"/>
            <w:tcBorders>
              <w:top w:val="nil"/>
              <w:left w:val="nil"/>
              <w:bottom w:val="single" w:sz="4" w:space="0" w:color="auto"/>
              <w:right w:val="single" w:sz="4" w:space="0" w:color="auto"/>
            </w:tcBorders>
            <w:shd w:val="clear" w:color="auto" w:fill="auto"/>
            <w:noWrap/>
            <w:vAlign w:val="center"/>
            <w:hideMark/>
          </w:tcPr>
          <w:p w14:paraId="58397EB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Anual</w:t>
            </w:r>
          </w:p>
        </w:tc>
        <w:tc>
          <w:tcPr>
            <w:tcW w:w="0" w:type="auto"/>
            <w:tcBorders>
              <w:top w:val="nil"/>
              <w:left w:val="nil"/>
              <w:bottom w:val="single" w:sz="4" w:space="0" w:color="auto"/>
              <w:right w:val="single" w:sz="4" w:space="0" w:color="auto"/>
            </w:tcBorders>
            <w:shd w:val="clear" w:color="auto" w:fill="auto"/>
            <w:noWrap/>
            <w:vAlign w:val="center"/>
            <w:hideMark/>
          </w:tcPr>
          <w:p w14:paraId="30BF354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326CD0B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390057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72DE81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02C8E259"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F838AB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17</w:t>
            </w:r>
          </w:p>
        </w:tc>
        <w:tc>
          <w:tcPr>
            <w:tcW w:w="1319" w:type="dxa"/>
            <w:tcBorders>
              <w:top w:val="nil"/>
              <w:left w:val="nil"/>
              <w:bottom w:val="single" w:sz="4" w:space="0" w:color="auto"/>
              <w:right w:val="single" w:sz="4" w:space="0" w:color="auto"/>
            </w:tcBorders>
            <w:shd w:val="clear" w:color="auto" w:fill="auto"/>
            <w:noWrap/>
            <w:vAlign w:val="center"/>
            <w:hideMark/>
          </w:tcPr>
          <w:p w14:paraId="646E70B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Tecnología</w:t>
            </w:r>
          </w:p>
        </w:tc>
        <w:tc>
          <w:tcPr>
            <w:tcW w:w="0" w:type="auto"/>
            <w:tcBorders>
              <w:top w:val="nil"/>
              <w:left w:val="nil"/>
              <w:bottom w:val="single" w:sz="4" w:space="0" w:color="auto"/>
              <w:right w:val="single" w:sz="4" w:space="0" w:color="auto"/>
            </w:tcBorders>
            <w:shd w:val="clear" w:color="auto" w:fill="auto"/>
            <w:vAlign w:val="center"/>
            <w:hideMark/>
          </w:tcPr>
          <w:p w14:paraId="7BE7FB1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Implementación de Motor </w:t>
            </w:r>
            <w:r w:rsidRPr="00106EFB">
              <w:rPr>
                <w:rFonts w:eastAsia="Times New Roman"/>
                <w:spacing w:val="0"/>
                <w:lang w:val="es-DO" w:eastAsia="es-DO"/>
              </w:rPr>
              <w:br/>
              <w:t>de Procesos</w:t>
            </w:r>
          </w:p>
        </w:tc>
        <w:tc>
          <w:tcPr>
            <w:tcW w:w="0" w:type="auto"/>
            <w:tcBorders>
              <w:top w:val="nil"/>
              <w:left w:val="nil"/>
              <w:bottom w:val="single" w:sz="4" w:space="0" w:color="auto"/>
              <w:right w:val="single" w:sz="4" w:space="0" w:color="auto"/>
            </w:tcBorders>
            <w:shd w:val="clear" w:color="auto" w:fill="auto"/>
            <w:vAlign w:val="center"/>
            <w:hideMark/>
          </w:tcPr>
          <w:p w14:paraId="0D97B76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según </w:t>
            </w:r>
            <w:r w:rsidRPr="00106EFB">
              <w:rPr>
                <w:rFonts w:eastAsia="Times New Roman"/>
                <w:spacing w:val="0"/>
                <w:lang w:val="es-DO" w:eastAsia="es-DO"/>
              </w:rPr>
              <w:br/>
              <w:t>hitos</w:t>
            </w:r>
          </w:p>
        </w:tc>
        <w:tc>
          <w:tcPr>
            <w:tcW w:w="0" w:type="auto"/>
            <w:tcBorders>
              <w:top w:val="nil"/>
              <w:left w:val="nil"/>
              <w:bottom w:val="single" w:sz="4" w:space="0" w:color="auto"/>
              <w:right w:val="single" w:sz="4" w:space="0" w:color="auto"/>
            </w:tcBorders>
            <w:shd w:val="clear" w:color="auto" w:fill="auto"/>
            <w:noWrap/>
            <w:vAlign w:val="center"/>
            <w:hideMark/>
          </w:tcPr>
          <w:p w14:paraId="1063F0E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651E1C9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4F3AE58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218459B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83%</w:t>
            </w:r>
          </w:p>
        </w:tc>
        <w:tc>
          <w:tcPr>
            <w:tcW w:w="0" w:type="auto"/>
            <w:tcBorders>
              <w:top w:val="nil"/>
              <w:left w:val="nil"/>
              <w:bottom w:val="single" w:sz="4" w:space="0" w:color="auto"/>
              <w:right w:val="single" w:sz="4" w:space="0" w:color="auto"/>
            </w:tcBorders>
            <w:shd w:val="clear" w:color="auto" w:fill="auto"/>
            <w:noWrap/>
            <w:vAlign w:val="center"/>
            <w:hideMark/>
          </w:tcPr>
          <w:p w14:paraId="6D737E8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83%</w:t>
            </w:r>
          </w:p>
        </w:tc>
      </w:tr>
      <w:tr w:rsidR="00106EFB" w:rsidRPr="00106EFB" w14:paraId="374D75AD" w14:textId="77777777" w:rsidTr="00860016">
        <w:trPr>
          <w:trHeight w:val="9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FA02EE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18</w:t>
            </w:r>
          </w:p>
        </w:tc>
        <w:tc>
          <w:tcPr>
            <w:tcW w:w="1319" w:type="dxa"/>
            <w:tcBorders>
              <w:top w:val="nil"/>
              <w:left w:val="nil"/>
              <w:bottom w:val="single" w:sz="4" w:space="0" w:color="auto"/>
              <w:right w:val="single" w:sz="4" w:space="0" w:color="auto"/>
            </w:tcBorders>
            <w:shd w:val="clear" w:color="auto" w:fill="auto"/>
            <w:noWrap/>
            <w:vAlign w:val="center"/>
            <w:hideMark/>
          </w:tcPr>
          <w:p w14:paraId="6F33FAB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Registros y Autorizaciones</w:t>
            </w:r>
          </w:p>
        </w:tc>
        <w:tc>
          <w:tcPr>
            <w:tcW w:w="0" w:type="auto"/>
            <w:tcBorders>
              <w:top w:val="nil"/>
              <w:left w:val="nil"/>
              <w:bottom w:val="single" w:sz="4" w:space="0" w:color="auto"/>
              <w:right w:val="single" w:sz="4" w:space="0" w:color="auto"/>
            </w:tcBorders>
            <w:shd w:val="clear" w:color="auto" w:fill="auto"/>
            <w:vAlign w:val="center"/>
            <w:hideMark/>
          </w:tcPr>
          <w:p w14:paraId="3826CC4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Certificado Digital de las </w:t>
            </w:r>
            <w:r w:rsidRPr="00106EFB">
              <w:rPr>
                <w:rFonts w:eastAsia="Times New Roman"/>
                <w:spacing w:val="0"/>
                <w:lang w:val="es-DO" w:eastAsia="es-DO"/>
              </w:rPr>
              <w:br/>
              <w:t xml:space="preserve">Entidades de Intermediación </w:t>
            </w:r>
            <w:r w:rsidRPr="00106EFB">
              <w:rPr>
                <w:rFonts w:eastAsia="Times New Roman"/>
                <w:spacing w:val="0"/>
                <w:lang w:val="es-DO" w:eastAsia="es-DO"/>
              </w:rPr>
              <w:br/>
              <w:t xml:space="preserve">Financiera (EIF) y Entidades </w:t>
            </w:r>
            <w:r w:rsidRPr="00106EFB">
              <w:rPr>
                <w:rFonts w:eastAsia="Times New Roman"/>
                <w:spacing w:val="0"/>
                <w:lang w:val="es-DO" w:eastAsia="es-DO"/>
              </w:rPr>
              <w:br/>
              <w:t>Cambiaria (EC</w:t>
            </w:r>
          </w:p>
        </w:tc>
        <w:tc>
          <w:tcPr>
            <w:tcW w:w="0" w:type="auto"/>
            <w:tcBorders>
              <w:top w:val="nil"/>
              <w:left w:val="nil"/>
              <w:bottom w:val="single" w:sz="4" w:space="0" w:color="auto"/>
              <w:right w:val="single" w:sz="4" w:space="0" w:color="auto"/>
            </w:tcBorders>
            <w:shd w:val="clear" w:color="auto" w:fill="auto"/>
            <w:vAlign w:val="center"/>
            <w:hideMark/>
          </w:tcPr>
          <w:p w14:paraId="43785CE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EIF y C </w:t>
            </w:r>
            <w:r w:rsidRPr="00106EFB">
              <w:rPr>
                <w:rFonts w:eastAsia="Times New Roman"/>
                <w:spacing w:val="0"/>
                <w:lang w:val="es-DO" w:eastAsia="es-DO"/>
              </w:rPr>
              <w:br/>
              <w:t>con certificado emitido</w:t>
            </w:r>
          </w:p>
        </w:tc>
        <w:tc>
          <w:tcPr>
            <w:tcW w:w="0" w:type="auto"/>
            <w:tcBorders>
              <w:top w:val="nil"/>
              <w:left w:val="nil"/>
              <w:bottom w:val="single" w:sz="4" w:space="0" w:color="auto"/>
              <w:right w:val="single" w:sz="4" w:space="0" w:color="auto"/>
            </w:tcBorders>
            <w:shd w:val="clear" w:color="auto" w:fill="auto"/>
            <w:noWrap/>
            <w:vAlign w:val="center"/>
            <w:hideMark/>
          </w:tcPr>
          <w:p w14:paraId="7B909C7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75D0B62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62E83C3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25C2D8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254A87E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6D2E7644"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1A851E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19</w:t>
            </w:r>
          </w:p>
        </w:tc>
        <w:tc>
          <w:tcPr>
            <w:tcW w:w="1319" w:type="dxa"/>
            <w:tcBorders>
              <w:top w:val="nil"/>
              <w:left w:val="nil"/>
              <w:bottom w:val="single" w:sz="4" w:space="0" w:color="auto"/>
              <w:right w:val="single" w:sz="4" w:space="0" w:color="auto"/>
            </w:tcBorders>
            <w:shd w:val="clear" w:color="auto" w:fill="auto"/>
            <w:noWrap/>
            <w:vAlign w:val="center"/>
            <w:hideMark/>
          </w:tcPr>
          <w:p w14:paraId="2159EB0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Oficina de Servicios y </w:t>
            </w:r>
            <w:r w:rsidRPr="00106EFB">
              <w:rPr>
                <w:rFonts w:eastAsia="Times New Roman"/>
                <w:spacing w:val="0"/>
                <w:lang w:val="es-DO" w:eastAsia="es-DO"/>
              </w:rPr>
              <w:br/>
              <w:t xml:space="preserve">Protección al usuario </w:t>
            </w:r>
            <w:r w:rsidRPr="00106EFB">
              <w:rPr>
                <w:rFonts w:eastAsia="Times New Roman"/>
                <w:spacing w:val="0"/>
                <w:lang w:val="es-DO" w:eastAsia="es-DO"/>
              </w:rPr>
              <w:br/>
              <w:t>(ProUsuario)</w:t>
            </w:r>
          </w:p>
        </w:tc>
        <w:tc>
          <w:tcPr>
            <w:tcW w:w="0" w:type="auto"/>
            <w:tcBorders>
              <w:top w:val="nil"/>
              <w:left w:val="nil"/>
              <w:bottom w:val="single" w:sz="4" w:space="0" w:color="auto"/>
              <w:right w:val="single" w:sz="4" w:space="0" w:color="auto"/>
            </w:tcBorders>
            <w:shd w:val="clear" w:color="auto" w:fill="auto"/>
            <w:vAlign w:val="center"/>
            <w:hideMark/>
          </w:tcPr>
          <w:p w14:paraId="119A073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WhatsApp como Canal de </w:t>
            </w:r>
            <w:r w:rsidRPr="00106EFB">
              <w:rPr>
                <w:rFonts w:eastAsia="Times New Roman"/>
                <w:spacing w:val="0"/>
                <w:lang w:val="es-DO" w:eastAsia="es-DO"/>
              </w:rPr>
              <w:br/>
              <w:t>Atención (Fase 2)</w:t>
            </w:r>
          </w:p>
        </w:tc>
        <w:tc>
          <w:tcPr>
            <w:tcW w:w="0" w:type="auto"/>
            <w:tcBorders>
              <w:top w:val="nil"/>
              <w:left w:val="nil"/>
              <w:bottom w:val="single" w:sz="4" w:space="0" w:color="auto"/>
              <w:right w:val="single" w:sz="4" w:space="0" w:color="auto"/>
            </w:tcBorders>
            <w:shd w:val="clear" w:color="auto" w:fill="auto"/>
            <w:vAlign w:val="center"/>
            <w:hideMark/>
          </w:tcPr>
          <w:p w14:paraId="5D12BD9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Procesos internos </w:t>
            </w:r>
            <w:r w:rsidRPr="00106EFB">
              <w:rPr>
                <w:rFonts w:eastAsia="Times New Roman"/>
                <w:spacing w:val="0"/>
                <w:lang w:val="es-DO" w:eastAsia="es-DO"/>
              </w:rPr>
              <w:br/>
              <w:t xml:space="preserve">tramitados en el plazo </w:t>
            </w:r>
            <w:r w:rsidRPr="00106EFB">
              <w:rPr>
                <w:rFonts w:eastAsia="Times New Roman"/>
                <w:spacing w:val="0"/>
                <w:lang w:val="es-DO" w:eastAsia="es-DO"/>
              </w:rPr>
              <w:br/>
              <w:t>establecido</w:t>
            </w:r>
          </w:p>
        </w:tc>
        <w:tc>
          <w:tcPr>
            <w:tcW w:w="0" w:type="auto"/>
            <w:tcBorders>
              <w:top w:val="nil"/>
              <w:left w:val="nil"/>
              <w:bottom w:val="single" w:sz="4" w:space="0" w:color="auto"/>
              <w:right w:val="single" w:sz="4" w:space="0" w:color="auto"/>
            </w:tcBorders>
            <w:shd w:val="clear" w:color="auto" w:fill="auto"/>
            <w:noWrap/>
            <w:vAlign w:val="center"/>
            <w:hideMark/>
          </w:tcPr>
          <w:p w14:paraId="33010F9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4ABF1E3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20F71D7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43313C6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52E66E9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24C4CED3" w14:textId="77777777" w:rsidTr="00860016">
        <w:trPr>
          <w:trHeight w:val="120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A7C0AD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21</w:t>
            </w:r>
          </w:p>
        </w:tc>
        <w:tc>
          <w:tcPr>
            <w:tcW w:w="1319" w:type="dxa"/>
            <w:tcBorders>
              <w:top w:val="nil"/>
              <w:left w:val="nil"/>
              <w:bottom w:val="single" w:sz="4" w:space="0" w:color="auto"/>
              <w:right w:val="single" w:sz="4" w:space="0" w:color="auto"/>
            </w:tcBorders>
            <w:shd w:val="clear" w:color="auto" w:fill="auto"/>
            <w:noWrap/>
            <w:vAlign w:val="center"/>
            <w:hideMark/>
          </w:tcPr>
          <w:p w14:paraId="73B9730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Gestión de Riesgo Operacional</w:t>
            </w:r>
          </w:p>
        </w:tc>
        <w:tc>
          <w:tcPr>
            <w:tcW w:w="0" w:type="auto"/>
            <w:tcBorders>
              <w:top w:val="nil"/>
              <w:left w:val="nil"/>
              <w:bottom w:val="single" w:sz="4" w:space="0" w:color="auto"/>
              <w:right w:val="single" w:sz="4" w:space="0" w:color="auto"/>
            </w:tcBorders>
            <w:shd w:val="clear" w:color="auto" w:fill="auto"/>
            <w:vAlign w:val="center"/>
            <w:hideMark/>
          </w:tcPr>
          <w:p w14:paraId="2C7E12C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Implementación del Sistema </w:t>
            </w:r>
            <w:r w:rsidRPr="00106EFB">
              <w:rPr>
                <w:rFonts w:eastAsia="Times New Roman"/>
                <w:spacing w:val="0"/>
                <w:lang w:val="es-DO" w:eastAsia="es-DO"/>
              </w:rPr>
              <w:br/>
              <w:t xml:space="preserve">de Gestión de Continuidad de </w:t>
            </w:r>
            <w:r w:rsidRPr="00106EFB">
              <w:rPr>
                <w:rFonts w:eastAsia="Times New Roman"/>
                <w:spacing w:val="0"/>
                <w:lang w:val="es-DO" w:eastAsia="es-DO"/>
              </w:rPr>
              <w:br/>
              <w:t>Negocio (SGCN) de la SB</w:t>
            </w:r>
          </w:p>
        </w:tc>
        <w:tc>
          <w:tcPr>
            <w:tcW w:w="0" w:type="auto"/>
            <w:tcBorders>
              <w:top w:val="nil"/>
              <w:left w:val="nil"/>
              <w:bottom w:val="single" w:sz="4" w:space="0" w:color="auto"/>
              <w:right w:val="single" w:sz="4" w:space="0" w:color="auto"/>
            </w:tcBorders>
            <w:shd w:val="clear" w:color="auto" w:fill="auto"/>
            <w:vAlign w:val="center"/>
            <w:hideMark/>
          </w:tcPr>
          <w:p w14:paraId="7BA4451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del </w:t>
            </w:r>
            <w:r w:rsidRPr="00106EFB">
              <w:rPr>
                <w:rFonts w:eastAsia="Times New Roman"/>
                <w:spacing w:val="0"/>
                <w:lang w:val="es-DO" w:eastAsia="es-DO"/>
              </w:rPr>
              <w:br/>
              <w:t xml:space="preserve">Sistema de Gestión de </w:t>
            </w:r>
            <w:r w:rsidRPr="00106EFB">
              <w:rPr>
                <w:rFonts w:eastAsia="Times New Roman"/>
                <w:spacing w:val="0"/>
                <w:lang w:val="es-DO" w:eastAsia="es-DO"/>
              </w:rPr>
              <w:br/>
              <w:t xml:space="preserve">Continuidad de Negocio </w:t>
            </w:r>
            <w:r w:rsidRPr="00106EFB">
              <w:rPr>
                <w:rFonts w:eastAsia="Times New Roman"/>
                <w:spacing w:val="0"/>
                <w:lang w:val="es-DO" w:eastAsia="es-DO"/>
              </w:rPr>
              <w:br/>
              <w:t>(SGCN)</w:t>
            </w:r>
          </w:p>
        </w:tc>
        <w:tc>
          <w:tcPr>
            <w:tcW w:w="0" w:type="auto"/>
            <w:tcBorders>
              <w:top w:val="nil"/>
              <w:left w:val="nil"/>
              <w:bottom w:val="single" w:sz="4" w:space="0" w:color="auto"/>
              <w:right w:val="single" w:sz="4" w:space="0" w:color="auto"/>
            </w:tcBorders>
            <w:shd w:val="clear" w:color="auto" w:fill="auto"/>
            <w:noWrap/>
            <w:vAlign w:val="center"/>
            <w:hideMark/>
          </w:tcPr>
          <w:p w14:paraId="67FAB46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7E6DC5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0EA0773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D0A188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90%</w:t>
            </w:r>
          </w:p>
        </w:tc>
        <w:tc>
          <w:tcPr>
            <w:tcW w:w="0" w:type="auto"/>
            <w:tcBorders>
              <w:top w:val="nil"/>
              <w:left w:val="nil"/>
              <w:bottom w:val="single" w:sz="4" w:space="0" w:color="auto"/>
              <w:right w:val="single" w:sz="4" w:space="0" w:color="auto"/>
            </w:tcBorders>
            <w:shd w:val="clear" w:color="auto" w:fill="auto"/>
            <w:noWrap/>
            <w:vAlign w:val="center"/>
            <w:hideMark/>
          </w:tcPr>
          <w:p w14:paraId="475BB89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90%</w:t>
            </w:r>
          </w:p>
        </w:tc>
      </w:tr>
      <w:tr w:rsidR="00106EFB" w:rsidRPr="00106EFB" w14:paraId="1909913E"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D3F2BF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22</w:t>
            </w:r>
          </w:p>
        </w:tc>
        <w:tc>
          <w:tcPr>
            <w:tcW w:w="1319" w:type="dxa"/>
            <w:tcBorders>
              <w:top w:val="nil"/>
              <w:left w:val="nil"/>
              <w:bottom w:val="single" w:sz="4" w:space="0" w:color="auto"/>
              <w:right w:val="single" w:sz="4" w:space="0" w:color="auto"/>
            </w:tcBorders>
            <w:shd w:val="clear" w:color="auto" w:fill="auto"/>
            <w:noWrap/>
            <w:vAlign w:val="center"/>
            <w:hideMark/>
          </w:tcPr>
          <w:p w14:paraId="6B85E51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Seguridad de la Información</w:t>
            </w:r>
          </w:p>
        </w:tc>
        <w:tc>
          <w:tcPr>
            <w:tcW w:w="0" w:type="auto"/>
            <w:tcBorders>
              <w:top w:val="nil"/>
              <w:left w:val="nil"/>
              <w:bottom w:val="single" w:sz="4" w:space="0" w:color="auto"/>
              <w:right w:val="single" w:sz="4" w:space="0" w:color="auto"/>
            </w:tcBorders>
            <w:shd w:val="clear" w:color="auto" w:fill="auto"/>
            <w:vAlign w:val="center"/>
            <w:hideMark/>
          </w:tcPr>
          <w:p w14:paraId="0AB1843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Certificación ISO27001</w:t>
            </w:r>
          </w:p>
        </w:tc>
        <w:tc>
          <w:tcPr>
            <w:tcW w:w="0" w:type="auto"/>
            <w:tcBorders>
              <w:top w:val="nil"/>
              <w:left w:val="nil"/>
              <w:bottom w:val="single" w:sz="4" w:space="0" w:color="auto"/>
              <w:right w:val="single" w:sz="4" w:space="0" w:color="auto"/>
            </w:tcBorders>
            <w:shd w:val="clear" w:color="auto" w:fill="auto"/>
            <w:vAlign w:val="center"/>
            <w:hideMark/>
          </w:tcPr>
          <w:p w14:paraId="5729C69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según </w:t>
            </w:r>
            <w:r w:rsidRPr="00106EFB">
              <w:rPr>
                <w:rFonts w:eastAsia="Times New Roman"/>
                <w:spacing w:val="0"/>
                <w:lang w:val="es-DO" w:eastAsia="es-DO"/>
              </w:rPr>
              <w:br/>
              <w:t>hitos</w:t>
            </w:r>
          </w:p>
        </w:tc>
        <w:tc>
          <w:tcPr>
            <w:tcW w:w="0" w:type="auto"/>
            <w:tcBorders>
              <w:top w:val="nil"/>
              <w:left w:val="nil"/>
              <w:bottom w:val="single" w:sz="4" w:space="0" w:color="auto"/>
              <w:right w:val="single" w:sz="4" w:space="0" w:color="auto"/>
            </w:tcBorders>
            <w:shd w:val="clear" w:color="auto" w:fill="auto"/>
            <w:noWrap/>
            <w:vAlign w:val="center"/>
            <w:hideMark/>
          </w:tcPr>
          <w:p w14:paraId="78B4407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3619ABC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11E00B6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5B22FA0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55%</w:t>
            </w:r>
          </w:p>
        </w:tc>
        <w:tc>
          <w:tcPr>
            <w:tcW w:w="0" w:type="auto"/>
            <w:tcBorders>
              <w:top w:val="nil"/>
              <w:left w:val="nil"/>
              <w:bottom w:val="single" w:sz="4" w:space="0" w:color="auto"/>
              <w:right w:val="single" w:sz="4" w:space="0" w:color="auto"/>
            </w:tcBorders>
            <w:shd w:val="clear" w:color="auto" w:fill="auto"/>
            <w:noWrap/>
            <w:vAlign w:val="center"/>
            <w:hideMark/>
          </w:tcPr>
          <w:p w14:paraId="67E00AC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55%</w:t>
            </w:r>
          </w:p>
        </w:tc>
      </w:tr>
      <w:tr w:rsidR="00106EFB" w:rsidRPr="00106EFB" w14:paraId="1A33D38B"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F15A60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23</w:t>
            </w:r>
          </w:p>
        </w:tc>
        <w:tc>
          <w:tcPr>
            <w:tcW w:w="1319" w:type="dxa"/>
            <w:tcBorders>
              <w:top w:val="nil"/>
              <w:left w:val="nil"/>
              <w:bottom w:val="single" w:sz="4" w:space="0" w:color="auto"/>
              <w:right w:val="single" w:sz="4" w:space="0" w:color="auto"/>
            </w:tcBorders>
            <w:shd w:val="clear" w:color="auto" w:fill="auto"/>
            <w:noWrap/>
            <w:vAlign w:val="center"/>
            <w:hideMark/>
          </w:tcPr>
          <w:p w14:paraId="1C90393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Secretaría</w:t>
            </w:r>
          </w:p>
        </w:tc>
        <w:tc>
          <w:tcPr>
            <w:tcW w:w="0" w:type="auto"/>
            <w:tcBorders>
              <w:top w:val="nil"/>
              <w:left w:val="nil"/>
              <w:bottom w:val="single" w:sz="4" w:space="0" w:color="auto"/>
              <w:right w:val="single" w:sz="4" w:space="0" w:color="auto"/>
            </w:tcBorders>
            <w:shd w:val="clear" w:color="auto" w:fill="auto"/>
            <w:vAlign w:val="center"/>
            <w:hideMark/>
          </w:tcPr>
          <w:p w14:paraId="63EF831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 Implementación de Órganos </w:t>
            </w:r>
            <w:r w:rsidRPr="00106EFB">
              <w:rPr>
                <w:rFonts w:eastAsia="Times New Roman"/>
                <w:spacing w:val="0"/>
                <w:lang w:val="es-DO" w:eastAsia="es-DO"/>
              </w:rPr>
              <w:br/>
              <w:t>de Gobernanza en la SB</w:t>
            </w:r>
          </w:p>
        </w:tc>
        <w:tc>
          <w:tcPr>
            <w:tcW w:w="0" w:type="auto"/>
            <w:tcBorders>
              <w:top w:val="nil"/>
              <w:left w:val="nil"/>
              <w:bottom w:val="single" w:sz="4" w:space="0" w:color="auto"/>
              <w:right w:val="single" w:sz="4" w:space="0" w:color="auto"/>
            </w:tcBorders>
            <w:shd w:val="clear" w:color="auto" w:fill="auto"/>
            <w:vAlign w:val="center"/>
            <w:hideMark/>
          </w:tcPr>
          <w:p w14:paraId="7684E53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según </w:t>
            </w:r>
            <w:r w:rsidRPr="00106EFB">
              <w:rPr>
                <w:rFonts w:eastAsia="Times New Roman"/>
                <w:spacing w:val="0"/>
                <w:lang w:val="es-DO" w:eastAsia="es-DO"/>
              </w:rPr>
              <w:br/>
              <w:t>hitos</w:t>
            </w:r>
          </w:p>
        </w:tc>
        <w:tc>
          <w:tcPr>
            <w:tcW w:w="0" w:type="auto"/>
            <w:tcBorders>
              <w:top w:val="nil"/>
              <w:left w:val="nil"/>
              <w:bottom w:val="single" w:sz="4" w:space="0" w:color="auto"/>
              <w:right w:val="single" w:sz="4" w:space="0" w:color="auto"/>
            </w:tcBorders>
            <w:shd w:val="clear" w:color="auto" w:fill="auto"/>
            <w:noWrap/>
            <w:vAlign w:val="center"/>
            <w:hideMark/>
          </w:tcPr>
          <w:p w14:paraId="635A635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DA2044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6B8A10E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2AB8096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714C610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7EA8D26B"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5147286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25</w:t>
            </w:r>
          </w:p>
        </w:tc>
        <w:tc>
          <w:tcPr>
            <w:tcW w:w="1319" w:type="dxa"/>
            <w:tcBorders>
              <w:top w:val="nil"/>
              <w:left w:val="nil"/>
              <w:bottom w:val="single" w:sz="4" w:space="0" w:color="auto"/>
              <w:right w:val="single" w:sz="4" w:space="0" w:color="auto"/>
            </w:tcBorders>
            <w:shd w:val="clear" w:color="auto" w:fill="auto"/>
            <w:noWrap/>
            <w:vAlign w:val="center"/>
            <w:hideMark/>
          </w:tcPr>
          <w:p w14:paraId="31E4E38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Tecnología</w:t>
            </w:r>
          </w:p>
        </w:tc>
        <w:tc>
          <w:tcPr>
            <w:tcW w:w="0" w:type="auto"/>
            <w:tcBorders>
              <w:top w:val="nil"/>
              <w:left w:val="nil"/>
              <w:bottom w:val="single" w:sz="4" w:space="0" w:color="auto"/>
              <w:right w:val="single" w:sz="4" w:space="0" w:color="auto"/>
            </w:tcBorders>
            <w:shd w:val="clear" w:color="auto" w:fill="auto"/>
            <w:vAlign w:val="center"/>
            <w:hideMark/>
          </w:tcPr>
          <w:p w14:paraId="34F8DD0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Implementación </w:t>
            </w:r>
            <w:r w:rsidRPr="00106EFB">
              <w:rPr>
                <w:rFonts w:eastAsia="Times New Roman"/>
                <w:spacing w:val="0"/>
                <w:lang w:val="es-DO" w:eastAsia="es-DO"/>
              </w:rPr>
              <w:br/>
              <w:t>Herramienta de Calidad de Datos</w:t>
            </w:r>
          </w:p>
        </w:tc>
        <w:tc>
          <w:tcPr>
            <w:tcW w:w="0" w:type="auto"/>
            <w:tcBorders>
              <w:top w:val="nil"/>
              <w:left w:val="nil"/>
              <w:bottom w:val="single" w:sz="4" w:space="0" w:color="auto"/>
              <w:right w:val="single" w:sz="4" w:space="0" w:color="auto"/>
            </w:tcBorders>
            <w:shd w:val="clear" w:color="auto" w:fill="auto"/>
            <w:vAlign w:val="center"/>
            <w:hideMark/>
          </w:tcPr>
          <w:p w14:paraId="4A431C9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según </w:t>
            </w:r>
            <w:r w:rsidRPr="00106EFB">
              <w:rPr>
                <w:rFonts w:eastAsia="Times New Roman"/>
                <w:spacing w:val="0"/>
                <w:lang w:val="es-DO" w:eastAsia="es-DO"/>
              </w:rPr>
              <w:br/>
              <w:t>hitos</w:t>
            </w:r>
          </w:p>
        </w:tc>
        <w:tc>
          <w:tcPr>
            <w:tcW w:w="0" w:type="auto"/>
            <w:tcBorders>
              <w:top w:val="nil"/>
              <w:left w:val="nil"/>
              <w:bottom w:val="single" w:sz="4" w:space="0" w:color="auto"/>
              <w:right w:val="single" w:sz="4" w:space="0" w:color="auto"/>
            </w:tcBorders>
            <w:shd w:val="clear" w:color="auto" w:fill="auto"/>
            <w:noWrap/>
            <w:vAlign w:val="center"/>
            <w:hideMark/>
          </w:tcPr>
          <w:p w14:paraId="0BADCE8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25D84DC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762BE0F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C626D9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60%</w:t>
            </w:r>
          </w:p>
        </w:tc>
        <w:tc>
          <w:tcPr>
            <w:tcW w:w="0" w:type="auto"/>
            <w:tcBorders>
              <w:top w:val="nil"/>
              <w:left w:val="nil"/>
              <w:bottom w:val="single" w:sz="4" w:space="0" w:color="auto"/>
              <w:right w:val="single" w:sz="4" w:space="0" w:color="auto"/>
            </w:tcBorders>
            <w:shd w:val="clear" w:color="auto" w:fill="auto"/>
            <w:noWrap/>
            <w:vAlign w:val="center"/>
            <w:hideMark/>
          </w:tcPr>
          <w:p w14:paraId="371368D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60%</w:t>
            </w:r>
          </w:p>
        </w:tc>
      </w:tr>
      <w:tr w:rsidR="00106EFB" w:rsidRPr="00106EFB" w14:paraId="7BD06029" w14:textId="77777777" w:rsidTr="00860016">
        <w:trPr>
          <w:trHeight w:val="96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D9D516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26</w:t>
            </w:r>
          </w:p>
        </w:tc>
        <w:tc>
          <w:tcPr>
            <w:tcW w:w="1319" w:type="dxa"/>
            <w:tcBorders>
              <w:top w:val="nil"/>
              <w:left w:val="nil"/>
              <w:bottom w:val="single" w:sz="4" w:space="0" w:color="auto"/>
              <w:right w:val="single" w:sz="4" w:space="0" w:color="auto"/>
            </w:tcBorders>
            <w:shd w:val="clear" w:color="auto" w:fill="auto"/>
            <w:noWrap/>
            <w:vAlign w:val="center"/>
            <w:hideMark/>
          </w:tcPr>
          <w:p w14:paraId="0749948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Gestión de Edificaciones y </w:t>
            </w:r>
            <w:r w:rsidRPr="00106EFB">
              <w:rPr>
                <w:rFonts w:eastAsia="Times New Roman"/>
                <w:spacing w:val="0"/>
                <w:lang w:val="es-DO" w:eastAsia="es-DO"/>
              </w:rPr>
              <w:br/>
              <w:t>Servicios</w:t>
            </w:r>
          </w:p>
        </w:tc>
        <w:tc>
          <w:tcPr>
            <w:tcW w:w="0" w:type="auto"/>
            <w:tcBorders>
              <w:top w:val="nil"/>
              <w:left w:val="nil"/>
              <w:bottom w:val="single" w:sz="4" w:space="0" w:color="auto"/>
              <w:right w:val="single" w:sz="4" w:space="0" w:color="auto"/>
            </w:tcBorders>
            <w:shd w:val="clear" w:color="auto" w:fill="auto"/>
            <w:vAlign w:val="center"/>
            <w:hideMark/>
          </w:tcPr>
          <w:p w14:paraId="2CD2941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Regularización Aceras, </w:t>
            </w:r>
            <w:r w:rsidRPr="00106EFB">
              <w:rPr>
                <w:rFonts w:eastAsia="Times New Roman"/>
                <w:spacing w:val="0"/>
                <w:lang w:val="es-DO" w:eastAsia="es-DO"/>
              </w:rPr>
              <w:br/>
              <w:t xml:space="preserve">Retiros y Linderos, y Readecuación </w:t>
            </w:r>
            <w:r w:rsidRPr="00106EFB">
              <w:rPr>
                <w:rFonts w:eastAsia="Times New Roman"/>
                <w:spacing w:val="0"/>
                <w:lang w:val="es-DO" w:eastAsia="es-DO"/>
              </w:rPr>
              <w:br/>
              <w:t xml:space="preserve">Acceso Peatonal y Vehicular en la </w:t>
            </w:r>
            <w:r w:rsidRPr="00106EFB">
              <w:rPr>
                <w:rFonts w:eastAsia="Times New Roman"/>
                <w:spacing w:val="0"/>
                <w:lang w:val="es-DO" w:eastAsia="es-DO"/>
              </w:rPr>
              <w:br/>
              <w:t>Sede de la SB</w:t>
            </w:r>
          </w:p>
        </w:tc>
        <w:tc>
          <w:tcPr>
            <w:tcW w:w="0" w:type="auto"/>
            <w:tcBorders>
              <w:top w:val="nil"/>
              <w:left w:val="nil"/>
              <w:bottom w:val="single" w:sz="4" w:space="0" w:color="auto"/>
              <w:right w:val="single" w:sz="4" w:space="0" w:color="auto"/>
            </w:tcBorders>
            <w:shd w:val="clear" w:color="auto" w:fill="auto"/>
            <w:vAlign w:val="center"/>
            <w:hideMark/>
          </w:tcPr>
          <w:p w14:paraId="2587386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Porcentaje de avance</w:t>
            </w:r>
          </w:p>
        </w:tc>
        <w:tc>
          <w:tcPr>
            <w:tcW w:w="0" w:type="auto"/>
            <w:tcBorders>
              <w:top w:val="nil"/>
              <w:left w:val="nil"/>
              <w:bottom w:val="single" w:sz="4" w:space="0" w:color="auto"/>
              <w:right w:val="single" w:sz="4" w:space="0" w:color="auto"/>
            </w:tcBorders>
            <w:shd w:val="clear" w:color="auto" w:fill="auto"/>
            <w:noWrap/>
            <w:vAlign w:val="center"/>
            <w:hideMark/>
          </w:tcPr>
          <w:p w14:paraId="4F8B944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38C4E90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752C549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40B6BED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40%</w:t>
            </w:r>
          </w:p>
        </w:tc>
        <w:tc>
          <w:tcPr>
            <w:tcW w:w="0" w:type="auto"/>
            <w:tcBorders>
              <w:top w:val="nil"/>
              <w:left w:val="nil"/>
              <w:bottom w:val="single" w:sz="4" w:space="0" w:color="auto"/>
              <w:right w:val="single" w:sz="4" w:space="0" w:color="auto"/>
            </w:tcBorders>
            <w:shd w:val="clear" w:color="auto" w:fill="auto"/>
            <w:noWrap/>
            <w:vAlign w:val="center"/>
            <w:hideMark/>
          </w:tcPr>
          <w:p w14:paraId="3DC2F8D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40%</w:t>
            </w:r>
          </w:p>
        </w:tc>
      </w:tr>
      <w:tr w:rsidR="00106EFB" w:rsidRPr="00106EFB" w14:paraId="5FB78C08"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0405F6D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27</w:t>
            </w:r>
          </w:p>
        </w:tc>
        <w:tc>
          <w:tcPr>
            <w:tcW w:w="1319" w:type="dxa"/>
            <w:tcBorders>
              <w:top w:val="nil"/>
              <w:left w:val="nil"/>
              <w:bottom w:val="single" w:sz="4" w:space="0" w:color="auto"/>
              <w:right w:val="single" w:sz="4" w:space="0" w:color="auto"/>
            </w:tcBorders>
            <w:shd w:val="clear" w:color="auto" w:fill="auto"/>
            <w:noWrap/>
            <w:vAlign w:val="center"/>
            <w:hideMark/>
          </w:tcPr>
          <w:p w14:paraId="73DC3A6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Gestión de Edificaciones y </w:t>
            </w:r>
            <w:r w:rsidRPr="00106EFB">
              <w:rPr>
                <w:rFonts w:eastAsia="Times New Roman"/>
                <w:spacing w:val="0"/>
                <w:lang w:val="es-DO" w:eastAsia="es-DO"/>
              </w:rPr>
              <w:br/>
              <w:t>Servicios</w:t>
            </w:r>
          </w:p>
        </w:tc>
        <w:tc>
          <w:tcPr>
            <w:tcW w:w="0" w:type="auto"/>
            <w:tcBorders>
              <w:top w:val="nil"/>
              <w:left w:val="nil"/>
              <w:bottom w:val="single" w:sz="4" w:space="0" w:color="auto"/>
              <w:right w:val="single" w:sz="4" w:space="0" w:color="auto"/>
            </w:tcBorders>
            <w:shd w:val="clear" w:color="auto" w:fill="auto"/>
            <w:vAlign w:val="center"/>
            <w:hideMark/>
          </w:tcPr>
          <w:p w14:paraId="62B94B2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Readecuación de Oficinas </w:t>
            </w:r>
            <w:r w:rsidRPr="00106EFB">
              <w:rPr>
                <w:rFonts w:eastAsia="Times New Roman"/>
                <w:spacing w:val="0"/>
                <w:lang w:val="es-DO" w:eastAsia="es-DO"/>
              </w:rPr>
              <w:br/>
              <w:t>ProUsuario Regional Norte (Santiago)</w:t>
            </w:r>
          </w:p>
        </w:tc>
        <w:tc>
          <w:tcPr>
            <w:tcW w:w="0" w:type="auto"/>
            <w:tcBorders>
              <w:top w:val="nil"/>
              <w:left w:val="nil"/>
              <w:bottom w:val="single" w:sz="4" w:space="0" w:color="auto"/>
              <w:right w:val="single" w:sz="4" w:space="0" w:color="auto"/>
            </w:tcBorders>
            <w:shd w:val="clear" w:color="auto" w:fill="auto"/>
            <w:vAlign w:val="center"/>
            <w:hideMark/>
          </w:tcPr>
          <w:p w14:paraId="7984C07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Porcentaje de avance</w:t>
            </w:r>
          </w:p>
        </w:tc>
        <w:tc>
          <w:tcPr>
            <w:tcW w:w="0" w:type="auto"/>
            <w:tcBorders>
              <w:top w:val="nil"/>
              <w:left w:val="nil"/>
              <w:bottom w:val="single" w:sz="4" w:space="0" w:color="auto"/>
              <w:right w:val="single" w:sz="4" w:space="0" w:color="auto"/>
            </w:tcBorders>
            <w:shd w:val="clear" w:color="auto" w:fill="auto"/>
            <w:noWrap/>
            <w:vAlign w:val="center"/>
            <w:hideMark/>
          </w:tcPr>
          <w:p w14:paraId="74D7FF3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D66387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75903D0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9836BE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66%</w:t>
            </w:r>
          </w:p>
        </w:tc>
        <w:tc>
          <w:tcPr>
            <w:tcW w:w="0" w:type="auto"/>
            <w:tcBorders>
              <w:top w:val="nil"/>
              <w:left w:val="nil"/>
              <w:bottom w:val="single" w:sz="4" w:space="0" w:color="auto"/>
              <w:right w:val="single" w:sz="4" w:space="0" w:color="auto"/>
            </w:tcBorders>
            <w:shd w:val="clear" w:color="auto" w:fill="auto"/>
            <w:noWrap/>
            <w:vAlign w:val="center"/>
            <w:hideMark/>
          </w:tcPr>
          <w:p w14:paraId="01CE3AE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40%</w:t>
            </w:r>
          </w:p>
        </w:tc>
      </w:tr>
      <w:tr w:rsidR="00106EFB" w:rsidRPr="00106EFB" w14:paraId="6842D961"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F840B5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28</w:t>
            </w:r>
          </w:p>
        </w:tc>
        <w:tc>
          <w:tcPr>
            <w:tcW w:w="1319" w:type="dxa"/>
            <w:tcBorders>
              <w:top w:val="nil"/>
              <w:left w:val="nil"/>
              <w:bottom w:val="single" w:sz="4" w:space="0" w:color="auto"/>
              <w:right w:val="single" w:sz="4" w:space="0" w:color="auto"/>
            </w:tcBorders>
            <w:shd w:val="clear" w:color="auto" w:fill="auto"/>
            <w:noWrap/>
            <w:vAlign w:val="center"/>
            <w:hideMark/>
          </w:tcPr>
          <w:p w14:paraId="27B4D45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Gestión de Edificacion</w:t>
            </w:r>
            <w:r w:rsidRPr="00106EFB">
              <w:rPr>
                <w:rFonts w:eastAsia="Times New Roman"/>
                <w:spacing w:val="0"/>
                <w:lang w:val="es-DO" w:eastAsia="es-DO"/>
              </w:rPr>
              <w:lastRenderedPageBreak/>
              <w:t xml:space="preserve">es y </w:t>
            </w:r>
            <w:r w:rsidRPr="00106EFB">
              <w:rPr>
                <w:rFonts w:eastAsia="Times New Roman"/>
                <w:spacing w:val="0"/>
                <w:lang w:val="es-DO" w:eastAsia="es-DO"/>
              </w:rPr>
              <w:br/>
              <w:t>Servicios</w:t>
            </w:r>
          </w:p>
        </w:tc>
        <w:tc>
          <w:tcPr>
            <w:tcW w:w="0" w:type="auto"/>
            <w:tcBorders>
              <w:top w:val="nil"/>
              <w:left w:val="nil"/>
              <w:bottom w:val="single" w:sz="4" w:space="0" w:color="auto"/>
              <w:right w:val="single" w:sz="4" w:space="0" w:color="auto"/>
            </w:tcBorders>
            <w:shd w:val="clear" w:color="auto" w:fill="auto"/>
            <w:vAlign w:val="center"/>
            <w:hideMark/>
          </w:tcPr>
          <w:p w14:paraId="5F41DF9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 xml:space="preserve">Readecuación de </w:t>
            </w:r>
            <w:r w:rsidRPr="00106EFB">
              <w:rPr>
                <w:rFonts w:eastAsia="Times New Roman"/>
                <w:spacing w:val="0"/>
                <w:lang w:val="es-DO" w:eastAsia="es-DO"/>
              </w:rPr>
              <w:lastRenderedPageBreak/>
              <w:t xml:space="preserve">Oficinas </w:t>
            </w:r>
            <w:r w:rsidRPr="00106EFB">
              <w:rPr>
                <w:rFonts w:eastAsia="Times New Roman"/>
                <w:spacing w:val="0"/>
                <w:lang w:val="es-DO" w:eastAsia="es-DO"/>
              </w:rPr>
              <w:br/>
              <w:t>ProUsuario, IFIL y Supervisión</w:t>
            </w:r>
          </w:p>
        </w:tc>
        <w:tc>
          <w:tcPr>
            <w:tcW w:w="0" w:type="auto"/>
            <w:tcBorders>
              <w:top w:val="nil"/>
              <w:left w:val="nil"/>
              <w:bottom w:val="single" w:sz="4" w:space="0" w:color="auto"/>
              <w:right w:val="single" w:sz="4" w:space="0" w:color="auto"/>
            </w:tcBorders>
            <w:shd w:val="clear" w:color="auto" w:fill="auto"/>
            <w:vAlign w:val="center"/>
            <w:hideMark/>
          </w:tcPr>
          <w:p w14:paraId="7D2CB97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Porcentaje de avance</w:t>
            </w:r>
          </w:p>
        </w:tc>
        <w:tc>
          <w:tcPr>
            <w:tcW w:w="0" w:type="auto"/>
            <w:tcBorders>
              <w:top w:val="nil"/>
              <w:left w:val="nil"/>
              <w:bottom w:val="single" w:sz="4" w:space="0" w:color="auto"/>
              <w:right w:val="single" w:sz="4" w:space="0" w:color="auto"/>
            </w:tcBorders>
            <w:shd w:val="clear" w:color="auto" w:fill="auto"/>
            <w:noWrap/>
            <w:vAlign w:val="center"/>
            <w:hideMark/>
          </w:tcPr>
          <w:p w14:paraId="37D3065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35A7B6E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7E1FF68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2B41B7F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50%</w:t>
            </w:r>
          </w:p>
        </w:tc>
        <w:tc>
          <w:tcPr>
            <w:tcW w:w="0" w:type="auto"/>
            <w:tcBorders>
              <w:top w:val="nil"/>
              <w:left w:val="nil"/>
              <w:bottom w:val="single" w:sz="4" w:space="0" w:color="auto"/>
              <w:right w:val="single" w:sz="4" w:space="0" w:color="auto"/>
            </w:tcBorders>
            <w:shd w:val="clear" w:color="auto" w:fill="auto"/>
            <w:noWrap/>
            <w:vAlign w:val="center"/>
            <w:hideMark/>
          </w:tcPr>
          <w:p w14:paraId="133B629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50%</w:t>
            </w:r>
          </w:p>
        </w:tc>
      </w:tr>
      <w:tr w:rsidR="00106EFB" w:rsidRPr="00106EFB" w14:paraId="5D373E55"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679A4ED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31</w:t>
            </w:r>
          </w:p>
        </w:tc>
        <w:tc>
          <w:tcPr>
            <w:tcW w:w="1319" w:type="dxa"/>
            <w:tcBorders>
              <w:top w:val="nil"/>
              <w:left w:val="nil"/>
              <w:bottom w:val="single" w:sz="4" w:space="0" w:color="auto"/>
              <w:right w:val="single" w:sz="4" w:space="0" w:color="auto"/>
            </w:tcBorders>
            <w:shd w:val="clear" w:color="auto" w:fill="auto"/>
            <w:noWrap/>
            <w:vAlign w:val="center"/>
            <w:hideMark/>
          </w:tcPr>
          <w:p w14:paraId="25D001A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Relaciones Internacionales e </w:t>
            </w:r>
            <w:r w:rsidRPr="00106EFB">
              <w:rPr>
                <w:rFonts w:eastAsia="Times New Roman"/>
                <w:spacing w:val="0"/>
                <w:lang w:val="es-DO" w:eastAsia="es-DO"/>
              </w:rPr>
              <w:br/>
              <w:t>Interinstitucionales</w:t>
            </w:r>
          </w:p>
        </w:tc>
        <w:tc>
          <w:tcPr>
            <w:tcW w:w="0" w:type="auto"/>
            <w:tcBorders>
              <w:top w:val="nil"/>
              <w:left w:val="nil"/>
              <w:bottom w:val="single" w:sz="4" w:space="0" w:color="auto"/>
              <w:right w:val="single" w:sz="4" w:space="0" w:color="auto"/>
            </w:tcBorders>
            <w:shd w:val="clear" w:color="auto" w:fill="auto"/>
            <w:vAlign w:val="center"/>
            <w:hideMark/>
          </w:tcPr>
          <w:p w14:paraId="37DB175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Cierre de Brechas de Género </w:t>
            </w:r>
            <w:r w:rsidRPr="00106EFB">
              <w:rPr>
                <w:rFonts w:eastAsia="Times New Roman"/>
                <w:spacing w:val="0"/>
                <w:lang w:val="es-DO" w:eastAsia="es-DO"/>
              </w:rPr>
              <w:br/>
              <w:t>Institucional 2023</w:t>
            </w:r>
          </w:p>
        </w:tc>
        <w:tc>
          <w:tcPr>
            <w:tcW w:w="0" w:type="auto"/>
            <w:tcBorders>
              <w:top w:val="nil"/>
              <w:left w:val="nil"/>
              <w:bottom w:val="single" w:sz="4" w:space="0" w:color="auto"/>
              <w:right w:val="single" w:sz="4" w:space="0" w:color="auto"/>
            </w:tcBorders>
            <w:shd w:val="clear" w:color="auto" w:fill="auto"/>
            <w:vAlign w:val="center"/>
            <w:hideMark/>
          </w:tcPr>
          <w:p w14:paraId="6B1B31A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según hitos</w:t>
            </w:r>
          </w:p>
        </w:tc>
        <w:tc>
          <w:tcPr>
            <w:tcW w:w="0" w:type="auto"/>
            <w:tcBorders>
              <w:top w:val="nil"/>
              <w:left w:val="nil"/>
              <w:bottom w:val="single" w:sz="4" w:space="0" w:color="auto"/>
              <w:right w:val="single" w:sz="4" w:space="0" w:color="auto"/>
            </w:tcBorders>
            <w:shd w:val="clear" w:color="auto" w:fill="auto"/>
            <w:noWrap/>
            <w:vAlign w:val="center"/>
            <w:hideMark/>
          </w:tcPr>
          <w:p w14:paraId="0D4BE33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3358032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527DD10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FC8B59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1EA1BC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33D513D1"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2B5F3BD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32</w:t>
            </w:r>
          </w:p>
        </w:tc>
        <w:tc>
          <w:tcPr>
            <w:tcW w:w="1319" w:type="dxa"/>
            <w:tcBorders>
              <w:top w:val="nil"/>
              <w:left w:val="nil"/>
              <w:bottom w:val="single" w:sz="4" w:space="0" w:color="auto"/>
              <w:right w:val="single" w:sz="4" w:space="0" w:color="auto"/>
            </w:tcBorders>
            <w:shd w:val="clear" w:color="auto" w:fill="auto"/>
            <w:noWrap/>
            <w:vAlign w:val="center"/>
            <w:hideMark/>
          </w:tcPr>
          <w:p w14:paraId="7F867AD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Gestión Humana</w:t>
            </w:r>
          </w:p>
        </w:tc>
        <w:tc>
          <w:tcPr>
            <w:tcW w:w="0" w:type="auto"/>
            <w:tcBorders>
              <w:top w:val="nil"/>
              <w:left w:val="nil"/>
              <w:bottom w:val="single" w:sz="4" w:space="0" w:color="auto"/>
              <w:right w:val="single" w:sz="4" w:space="0" w:color="auto"/>
            </w:tcBorders>
            <w:shd w:val="clear" w:color="auto" w:fill="auto"/>
            <w:vAlign w:val="center"/>
            <w:hideMark/>
          </w:tcPr>
          <w:p w14:paraId="652399F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Programa Bienestar Laboral</w:t>
            </w:r>
          </w:p>
        </w:tc>
        <w:tc>
          <w:tcPr>
            <w:tcW w:w="0" w:type="auto"/>
            <w:tcBorders>
              <w:top w:val="nil"/>
              <w:left w:val="nil"/>
              <w:bottom w:val="single" w:sz="4" w:space="0" w:color="auto"/>
              <w:right w:val="single" w:sz="4" w:space="0" w:color="auto"/>
            </w:tcBorders>
            <w:shd w:val="clear" w:color="auto" w:fill="auto"/>
            <w:vAlign w:val="center"/>
            <w:hideMark/>
          </w:tcPr>
          <w:p w14:paraId="21D68F5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del proyecto según hitos</w:t>
            </w:r>
          </w:p>
        </w:tc>
        <w:tc>
          <w:tcPr>
            <w:tcW w:w="0" w:type="auto"/>
            <w:tcBorders>
              <w:top w:val="nil"/>
              <w:left w:val="nil"/>
              <w:bottom w:val="single" w:sz="4" w:space="0" w:color="auto"/>
              <w:right w:val="single" w:sz="4" w:space="0" w:color="auto"/>
            </w:tcBorders>
            <w:shd w:val="clear" w:color="auto" w:fill="auto"/>
            <w:noWrap/>
            <w:vAlign w:val="center"/>
            <w:hideMark/>
          </w:tcPr>
          <w:p w14:paraId="3F45EB0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7857218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41ADD65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4503A39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37A79A3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70ACCBA4"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06603D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33</w:t>
            </w:r>
          </w:p>
        </w:tc>
        <w:tc>
          <w:tcPr>
            <w:tcW w:w="1319" w:type="dxa"/>
            <w:tcBorders>
              <w:top w:val="nil"/>
              <w:left w:val="nil"/>
              <w:bottom w:val="single" w:sz="4" w:space="0" w:color="auto"/>
              <w:right w:val="single" w:sz="4" w:space="0" w:color="auto"/>
            </w:tcBorders>
            <w:shd w:val="clear" w:color="auto" w:fill="auto"/>
            <w:noWrap/>
            <w:vAlign w:val="center"/>
            <w:hideMark/>
          </w:tcPr>
          <w:p w14:paraId="34AEB49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Innovación e Inclusión </w:t>
            </w:r>
            <w:r w:rsidRPr="00106EFB">
              <w:rPr>
                <w:rFonts w:eastAsia="Times New Roman"/>
                <w:spacing w:val="0"/>
                <w:lang w:val="es-DO" w:eastAsia="es-DO"/>
              </w:rPr>
              <w:br/>
              <w:t>Financiera</w:t>
            </w:r>
          </w:p>
        </w:tc>
        <w:tc>
          <w:tcPr>
            <w:tcW w:w="0" w:type="auto"/>
            <w:tcBorders>
              <w:top w:val="nil"/>
              <w:left w:val="nil"/>
              <w:bottom w:val="single" w:sz="4" w:space="0" w:color="auto"/>
              <w:right w:val="single" w:sz="4" w:space="0" w:color="auto"/>
            </w:tcBorders>
            <w:shd w:val="clear" w:color="auto" w:fill="auto"/>
            <w:vAlign w:val="center"/>
            <w:hideMark/>
          </w:tcPr>
          <w:p w14:paraId="2D53AC8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Open </w:t>
            </w:r>
            <w:proofErr w:type="spellStart"/>
            <w:r w:rsidRPr="00106EFB">
              <w:rPr>
                <w:rFonts w:eastAsia="Times New Roman"/>
                <w:spacing w:val="0"/>
                <w:lang w:val="es-DO" w:eastAsia="es-DO"/>
              </w:rPr>
              <w:t>Banking</w:t>
            </w:r>
            <w:proofErr w:type="spellEnd"/>
            <w:r w:rsidRPr="00106EFB">
              <w:rPr>
                <w:rFonts w:eastAsia="Times New Roman"/>
                <w:spacing w:val="0"/>
                <w:lang w:val="es-DO" w:eastAsia="es-DO"/>
              </w:rPr>
              <w:t xml:space="preserve"> - Fase 2</w:t>
            </w:r>
          </w:p>
        </w:tc>
        <w:tc>
          <w:tcPr>
            <w:tcW w:w="0" w:type="auto"/>
            <w:tcBorders>
              <w:top w:val="nil"/>
              <w:left w:val="nil"/>
              <w:bottom w:val="single" w:sz="4" w:space="0" w:color="auto"/>
              <w:right w:val="single" w:sz="4" w:space="0" w:color="auto"/>
            </w:tcBorders>
            <w:shd w:val="clear" w:color="auto" w:fill="auto"/>
            <w:vAlign w:val="center"/>
            <w:hideMark/>
          </w:tcPr>
          <w:p w14:paraId="7E0E611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según </w:t>
            </w:r>
            <w:r w:rsidRPr="00106EFB">
              <w:rPr>
                <w:rFonts w:eastAsia="Times New Roman"/>
                <w:spacing w:val="0"/>
                <w:lang w:val="es-DO" w:eastAsia="es-DO"/>
              </w:rPr>
              <w:br/>
              <w:t>hitos</w:t>
            </w:r>
          </w:p>
        </w:tc>
        <w:tc>
          <w:tcPr>
            <w:tcW w:w="0" w:type="auto"/>
            <w:tcBorders>
              <w:top w:val="nil"/>
              <w:left w:val="nil"/>
              <w:bottom w:val="single" w:sz="4" w:space="0" w:color="auto"/>
              <w:right w:val="single" w:sz="4" w:space="0" w:color="auto"/>
            </w:tcBorders>
            <w:shd w:val="clear" w:color="auto" w:fill="auto"/>
            <w:noWrap/>
            <w:vAlign w:val="center"/>
            <w:hideMark/>
          </w:tcPr>
          <w:p w14:paraId="08AF124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3F5D4214"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77BCBEA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EEAC7CA"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90%</w:t>
            </w:r>
          </w:p>
        </w:tc>
        <w:tc>
          <w:tcPr>
            <w:tcW w:w="0" w:type="auto"/>
            <w:tcBorders>
              <w:top w:val="nil"/>
              <w:left w:val="nil"/>
              <w:bottom w:val="single" w:sz="4" w:space="0" w:color="auto"/>
              <w:right w:val="single" w:sz="4" w:space="0" w:color="auto"/>
            </w:tcBorders>
            <w:shd w:val="clear" w:color="auto" w:fill="auto"/>
            <w:noWrap/>
            <w:vAlign w:val="center"/>
            <w:hideMark/>
          </w:tcPr>
          <w:p w14:paraId="2FFF500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90%</w:t>
            </w:r>
          </w:p>
        </w:tc>
      </w:tr>
      <w:tr w:rsidR="00106EFB" w:rsidRPr="00106EFB" w14:paraId="20B8F137" w14:textId="77777777" w:rsidTr="00860016">
        <w:trPr>
          <w:trHeight w:val="72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300D42E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34</w:t>
            </w:r>
          </w:p>
        </w:tc>
        <w:tc>
          <w:tcPr>
            <w:tcW w:w="1319" w:type="dxa"/>
            <w:tcBorders>
              <w:top w:val="nil"/>
              <w:left w:val="nil"/>
              <w:bottom w:val="single" w:sz="4" w:space="0" w:color="auto"/>
              <w:right w:val="single" w:sz="4" w:space="0" w:color="auto"/>
            </w:tcBorders>
            <w:shd w:val="clear" w:color="auto" w:fill="auto"/>
            <w:noWrap/>
            <w:vAlign w:val="center"/>
            <w:hideMark/>
          </w:tcPr>
          <w:p w14:paraId="07CC2FD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Innovación e Inclusión </w:t>
            </w:r>
            <w:r w:rsidRPr="00106EFB">
              <w:rPr>
                <w:rFonts w:eastAsia="Times New Roman"/>
                <w:spacing w:val="0"/>
                <w:lang w:val="es-DO" w:eastAsia="es-DO"/>
              </w:rPr>
              <w:br/>
              <w:t>Financiera</w:t>
            </w:r>
          </w:p>
        </w:tc>
        <w:tc>
          <w:tcPr>
            <w:tcW w:w="0" w:type="auto"/>
            <w:tcBorders>
              <w:top w:val="nil"/>
              <w:left w:val="nil"/>
              <w:bottom w:val="single" w:sz="4" w:space="0" w:color="auto"/>
              <w:right w:val="single" w:sz="4" w:space="0" w:color="auto"/>
            </w:tcBorders>
            <w:shd w:val="clear" w:color="auto" w:fill="auto"/>
            <w:vAlign w:val="center"/>
            <w:hideMark/>
          </w:tcPr>
          <w:p w14:paraId="3F5362F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Sello Subagentes Bancarios - </w:t>
            </w:r>
            <w:r w:rsidRPr="00106EFB">
              <w:rPr>
                <w:rFonts w:eastAsia="Times New Roman"/>
                <w:spacing w:val="0"/>
                <w:lang w:val="es-DO" w:eastAsia="es-DO"/>
              </w:rPr>
              <w:br/>
              <w:t>Sello SAB</w:t>
            </w:r>
          </w:p>
        </w:tc>
        <w:tc>
          <w:tcPr>
            <w:tcW w:w="0" w:type="auto"/>
            <w:tcBorders>
              <w:top w:val="nil"/>
              <w:left w:val="nil"/>
              <w:bottom w:val="single" w:sz="4" w:space="0" w:color="auto"/>
              <w:right w:val="single" w:sz="4" w:space="0" w:color="auto"/>
            </w:tcBorders>
            <w:shd w:val="clear" w:color="auto" w:fill="auto"/>
            <w:vAlign w:val="center"/>
            <w:hideMark/>
          </w:tcPr>
          <w:p w14:paraId="7D08186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w:t>
            </w:r>
            <w:r w:rsidRPr="00106EFB">
              <w:rPr>
                <w:rFonts w:eastAsia="Times New Roman"/>
                <w:spacing w:val="0"/>
                <w:lang w:val="es-DO" w:eastAsia="es-DO"/>
              </w:rPr>
              <w:br/>
              <w:t xml:space="preserve">implementación según </w:t>
            </w:r>
            <w:r w:rsidRPr="00106EFB">
              <w:rPr>
                <w:rFonts w:eastAsia="Times New Roman"/>
                <w:spacing w:val="0"/>
                <w:lang w:val="es-DO" w:eastAsia="es-DO"/>
              </w:rPr>
              <w:br/>
              <w:t>hitos</w:t>
            </w:r>
          </w:p>
        </w:tc>
        <w:tc>
          <w:tcPr>
            <w:tcW w:w="0" w:type="auto"/>
            <w:tcBorders>
              <w:top w:val="nil"/>
              <w:left w:val="nil"/>
              <w:bottom w:val="single" w:sz="4" w:space="0" w:color="auto"/>
              <w:right w:val="single" w:sz="4" w:space="0" w:color="auto"/>
            </w:tcBorders>
            <w:shd w:val="clear" w:color="auto" w:fill="auto"/>
            <w:noWrap/>
            <w:vAlign w:val="center"/>
            <w:hideMark/>
          </w:tcPr>
          <w:p w14:paraId="3A9D51F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405DE75D"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6D81BFF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25AD3C4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1EDF41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7CC3C830"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720A97E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35</w:t>
            </w:r>
          </w:p>
        </w:tc>
        <w:tc>
          <w:tcPr>
            <w:tcW w:w="1319" w:type="dxa"/>
            <w:tcBorders>
              <w:top w:val="nil"/>
              <w:left w:val="nil"/>
              <w:bottom w:val="single" w:sz="4" w:space="0" w:color="auto"/>
              <w:right w:val="single" w:sz="4" w:space="0" w:color="auto"/>
            </w:tcBorders>
            <w:shd w:val="clear" w:color="auto" w:fill="auto"/>
            <w:noWrap/>
            <w:vAlign w:val="center"/>
            <w:hideMark/>
          </w:tcPr>
          <w:p w14:paraId="1B738B3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Prevención </w:t>
            </w:r>
            <w:r w:rsidRPr="00106EFB">
              <w:rPr>
                <w:rFonts w:eastAsia="Times New Roman"/>
                <w:spacing w:val="0"/>
                <w:lang w:val="es-DO" w:eastAsia="es-DO"/>
              </w:rPr>
              <w:br/>
              <w:t xml:space="preserve">Lavado de Activos y </w:t>
            </w:r>
            <w:r w:rsidRPr="00106EFB">
              <w:rPr>
                <w:rFonts w:eastAsia="Times New Roman"/>
                <w:spacing w:val="0"/>
                <w:lang w:val="es-DO" w:eastAsia="es-DO"/>
              </w:rPr>
              <w:br/>
              <w:t xml:space="preserve">Financiamiento al Terrorismo </w:t>
            </w:r>
            <w:r w:rsidRPr="00106EFB">
              <w:rPr>
                <w:rFonts w:eastAsia="Times New Roman"/>
                <w:spacing w:val="0"/>
                <w:lang w:val="es-DO" w:eastAsia="es-DO"/>
              </w:rPr>
              <w:br/>
              <w:t>(PLAFT)</w:t>
            </w:r>
          </w:p>
        </w:tc>
        <w:tc>
          <w:tcPr>
            <w:tcW w:w="0" w:type="auto"/>
            <w:tcBorders>
              <w:top w:val="nil"/>
              <w:left w:val="nil"/>
              <w:bottom w:val="single" w:sz="4" w:space="0" w:color="auto"/>
              <w:right w:val="single" w:sz="4" w:space="0" w:color="auto"/>
            </w:tcBorders>
            <w:shd w:val="clear" w:color="auto" w:fill="auto"/>
            <w:vAlign w:val="center"/>
            <w:hideMark/>
          </w:tcPr>
          <w:p w14:paraId="3AB052E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In situ a Sujetos </w:t>
            </w:r>
            <w:r w:rsidRPr="00106EFB">
              <w:rPr>
                <w:rFonts w:eastAsia="Times New Roman"/>
                <w:spacing w:val="0"/>
                <w:lang w:val="es-DO" w:eastAsia="es-DO"/>
              </w:rPr>
              <w:br/>
              <w:t>Obligados</w:t>
            </w:r>
          </w:p>
        </w:tc>
        <w:tc>
          <w:tcPr>
            <w:tcW w:w="0" w:type="auto"/>
            <w:tcBorders>
              <w:top w:val="nil"/>
              <w:left w:val="nil"/>
              <w:bottom w:val="single" w:sz="4" w:space="0" w:color="auto"/>
              <w:right w:val="single" w:sz="4" w:space="0" w:color="auto"/>
            </w:tcBorders>
            <w:shd w:val="clear" w:color="auto" w:fill="auto"/>
            <w:vAlign w:val="center"/>
            <w:hideMark/>
          </w:tcPr>
          <w:p w14:paraId="196A7D22"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según hitos</w:t>
            </w:r>
          </w:p>
        </w:tc>
        <w:tc>
          <w:tcPr>
            <w:tcW w:w="0" w:type="auto"/>
            <w:tcBorders>
              <w:top w:val="nil"/>
              <w:left w:val="nil"/>
              <w:bottom w:val="single" w:sz="4" w:space="0" w:color="auto"/>
              <w:right w:val="single" w:sz="4" w:space="0" w:color="auto"/>
            </w:tcBorders>
            <w:shd w:val="clear" w:color="auto" w:fill="auto"/>
            <w:noWrap/>
            <w:vAlign w:val="center"/>
            <w:hideMark/>
          </w:tcPr>
          <w:p w14:paraId="254F40D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6C7665F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1533B9D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7C6D044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7D4936A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69C72844"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7DE3D9F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36</w:t>
            </w:r>
          </w:p>
        </w:tc>
        <w:tc>
          <w:tcPr>
            <w:tcW w:w="1319" w:type="dxa"/>
            <w:tcBorders>
              <w:top w:val="nil"/>
              <w:left w:val="nil"/>
              <w:bottom w:val="single" w:sz="4" w:space="0" w:color="auto"/>
              <w:right w:val="single" w:sz="4" w:space="0" w:color="auto"/>
            </w:tcBorders>
            <w:shd w:val="clear" w:color="auto" w:fill="auto"/>
            <w:noWrap/>
            <w:vAlign w:val="center"/>
            <w:hideMark/>
          </w:tcPr>
          <w:p w14:paraId="292CB9CF"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Supervisión Prevención </w:t>
            </w:r>
            <w:r w:rsidRPr="00106EFB">
              <w:rPr>
                <w:rFonts w:eastAsia="Times New Roman"/>
                <w:spacing w:val="0"/>
                <w:lang w:val="es-DO" w:eastAsia="es-DO"/>
              </w:rPr>
              <w:br/>
              <w:t xml:space="preserve">Lavado de Activos y </w:t>
            </w:r>
            <w:r w:rsidRPr="00106EFB">
              <w:rPr>
                <w:rFonts w:eastAsia="Times New Roman"/>
                <w:spacing w:val="0"/>
                <w:lang w:val="es-DO" w:eastAsia="es-DO"/>
              </w:rPr>
              <w:br/>
            </w:r>
            <w:r w:rsidRPr="00106EFB">
              <w:rPr>
                <w:rFonts w:eastAsia="Times New Roman"/>
                <w:spacing w:val="0"/>
                <w:lang w:val="es-DO" w:eastAsia="es-DO"/>
              </w:rPr>
              <w:lastRenderedPageBreak/>
              <w:t xml:space="preserve">Financiamiento al Terrorismo </w:t>
            </w:r>
            <w:r w:rsidRPr="00106EFB">
              <w:rPr>
                <w:rFonts w:eastAsia="Times New Roman"/>
                <w:spacing w:val="0"/>
                <w:lang w:val="es-DO" w:eastAsia="es-DO"/>
              </w:rPr>
              <w:br/>
              <w:t>(PLAFT)</w:t>
            </w:r>
          </w:p>
        </w:tc>
        <w:tc>
          <w:tcPr>
            <w:tcW w:w="0" w:type="auto"/>
            <w:tcBorders>
              <w:top w:val="nil"/>
              <w:left w:val="nil"/>
              <w:bottom w:val="single" w:sz="4" w:space="0" w:color="auto"/>
              <w:right w:val="single" w:sz="4" w:space="0" w:color="auto"/>
            </w:tcBorders>
            <w:shd w:val="clear" w:color="auto" w:fill="auto"/>
            <w:vAlign w:val="center"/>
            <w:hideMark/>
          </w:tcPr>
          <w:p w14:paraId="33E10A26"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 xml:space="preserve">Supervisión Extra Situ a </w:t>
            </w:r>
            <w:r w:rsidRPr="00106EFB">
              <w:rPr>
                <w:rFonts w:eastAsia="Times New Roman"/>
                <w:spacing w:val="0"/>
                <w:lang w:val="es-DO" w:eastAsia="es-DO"/>
              </w:rPr>
              <w:br/>
            </w:r>
            <w:r w:rsidRPr="00106EFB">
              <w:rPr>
                <w:rFonts w:eastAsia="Times New Roman"/>
                <w:spacing w:val="0"/>
                <w:lang w:val="es-DO" w:eastAsia="es-DO"/>
              </w:rPr>
              <w:lastRenderedPageBreak/>
              <w:t>Sujetos Obligados</w:t>
            </w:r>
          </w:p>
        </w:tc>
        <w:tc>
          <w:tcPr>
            <w:tcW w:w="0" w:type="auto"/>
            <w:tcBorders>
              <w:top w:val="nil"/>
              <w:left w:val="nil"/>
              <w:bottom w:val="single" w:sz="4" w:space="0" w:color="auto"/>
              <w:right w:val="single" w:sz="4" w:space="0" w:color="auto"/>
            </w:tcBorders>
            <w:shd w:val="clear" w:color="auto" w:fill="auto"/>
            <w:vAlign w:val="center"/>
            <w:hideMark/>
          </w:tcPr>
          <w:p w14:paraId="5B4F2660"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lastRenderedPageBreak/>
              <w:t xml:space="preserve">Porcentaje de avance </w:t>
            </w:r>
            <w:r w:rsidRPr="00106EFB">
              <w:rPr>
                <w:rFonts w:eastAsia="Times New Roman"/>
                <w:spacing w:val="0"/>
                <w:lang w:val="es-DO" w:eastAsia="es-DO"/>
              </w:rPr>
              <w:br/>
              <w:t xml:space="preserve">según hitos </w:t>
            </w:r>
          </w:p>
        </w:tc>
        <w:tc>
          <w:tcPr>
            <w:tcW w:w="0" w:type="auto"/>
            <w:tcBorders>
              <w:top w:val="nil"/>
              <w:left w:val="nil"/>
              <w:bottom w:val="single" w:sz="4" w:space="0" w:color="auto"/>
              <w:right w:val="single" w:sz="4" w:space="0" w:color="auto"/>
            </w:tcBorders>
            <w:shd w:val="clear" w:color="auto" w:fill="auto"/>
            <w:noWrap/>
            <w:vAlign w:val="center"/>
            <w:hideMark/>
          </w:tcPr>
          <w:p w14:paraId="0680112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7A1F1507"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1576A428"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3845AB1"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0797E8B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r w:rsidR="00106EFB" w:rsidRPr="00106EFB" w14:paraId="3B14F61B" w14:textId="77777777" w:rsidTr="00860016">
        <w:trPr>
          <w:trHeight w:val="480"/>
        </w:trPr>
        <w:tc>
          <w:tcPr>
            <w:tcW w:w="505" w:type="dxa"/>
            <w:tcBorders>
              <w:top w:val="nil"/>
              <w:left w:val="single" w:sz="4" w:space="0" w:color="auto"/>
              <w:bottom w:val="single" w:sz="4" w:space="0" w:color="auto"/>
              <w:right w:val="single" w:sz="4" w:space="0" w:color="auto"/>
            </w:tcBorders>
            <w:shd w:val="clear" w:color="auto" w:fill="auto"/>
            <w:noWrap/>
            <w:vAlign w:val="center"/>
            <w:hideMark/>
          </w:tcPr>
          <w:p w14:paraId="1860A19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37</w:t>
            </w:r>
          </w:p>
        </w:tc>
        <w:tc>
          <w:tcPr>
            <w:tcW w:w="1319" w:type="dxa"/>
            <w:tcBorders>
              <w:top w:val="nil"/>
              <w:left w:val="nil"/>
              <w:bottom w:val="single" w:sz="4" w:space="0" w:color="auto"/>
              <w:right w:val="single" w:sz="4" w:space="0" w:color="auto"/>
            </w:tcBorders>
            <w:shd w:val="clear" w:color="auto" w:fill="auto"/>
            <w:noWrap/>
            <w:vAlign w:val="center"/>
            <w:hideMark/>
          </w:tcPr>
          <w:p w14:paraId="4E24762C"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Sanciones</w:t>
            </w:r>
          </w:p>
        </w:tc>
        <w:tc>
          <w:tcPr>
            <w:tcW w:w="0" w:type="auto"/>
            <w:tcBorders>
              <w:top w:val="nil"/>
              <w:left w:val="nil"/>
              <w:bottom w:val="single" w:sz="4" w:space="0" w:color="auto"/>
              <w:right w:val="single" w:sz="4" w:space="0" w:color="auto"/>
            </w:tcBorders>
            <w:shd w:val="clear" w:color="auto" w:fill="auto"/>
            <w:vAlign w:val="center"/>
            <w:hideMark/>
          </w:tcPr>
          <w:p w14:paraId="67D65F08" w14:textId="77777777" w:rsidR="00106EFB" w:rsidRPr="00106EFB" w:rsidRDefault="00106EFB" w:rsidP="00860016">
            <w:pPr>
              <w:spacing w:after="0" w:line="240" w:lineRule="auto"/>
              <w:jc w:val="center"/>
              <w:rPr>
                <w:rFonts w:eastAsia="Times New Roman"/>
                <w:spacing w:val="0"/>
                <w:lang w:val="es-DO" w:eastAsia="es-DO"/>
              </w:rPr>
            </w:pPr>
            <w:proofErr w:type="spellStart"/>
            <w:r w:rsidRPr="00106EFB">
              <w:rPr>
                <w:rFonts w:eastAsia="Times New Roman"/>
                <w:spacing w:val="0"/>
                <w:lang w:val="es-DO" w:eastAsia="es-DO"/>
              </w:rPr>
              <w:t>Dashboard</w:t>
            </w:r>
            <w:proofErr w:type="spellEnd"/>
            <w:r w:rsidRPr="00106EFB">
              <w:rPr>
                <w:rFonts w:eastAsia="Times New Roman"/>
                <w:spacing w:val="0"/>
                <w:lang w:val="es-DO" w:eastAsia="es-DO"/>
              </w:rPr>
              <w:t xml:space="preserve"> Sanciones</w:t>
            </w:r>
          </w:p>
        </w:tc>
        <w:tc>
          <w:tcPr>
            <w:tcW w:w="0" w:type="auto"/>
            <w:tcBorders>
              <w:top w:val="nil"/>
              <w:left w:val="nil"/>
              <w:bottom w:val="single" w:sz="4" w:space="0" w:color="auto"/>
              <w:right w:val="single" w:sz="4" w:space="0" w:color="auto"/>
            </w:tcBorders>
            <w:shd w:val="clear" w:color="auto" w:fill="auto"/>
            <w:vAlign w:val="center"/>
            <w:hideMark/>
          </w:tcPr>
          <w:p w14:paraId="2608A91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 xml:space="preserve">Porcentaje de avance </w:t>
            </w:r>
            <w:r w:rsidRPr="00106EFB">
              <w:rPr>
                <w:rFonts w:eastAsia="Times New Roman"/>
                <w:spacing w:val="0"/>
                <w:lang w:val="es-DO" w:eastAsia="es-DO"/>
              </w:rPr>
              <w:br/>
              <w:t xml:space="preserve">según hitos </w:t>
            </w:r>
          </w:p>
        </w:tc>
        <w:tc>
          <w:tcPr>
            <w:tcW w:w="0" w:type="auto"/>
            <w:tcBorders>
              <w:top w:val="nil"/>
              <w:left w:val="nil"/>
              <w:bottom w:val="single" w:sz="4" w:space="0" w:color="auto"/>
              <w:right w:val="single" w:sz="4" w:space="0" w:color="auto"/>
            </w:tcBorders>
            <w:shd w:val="clear" w:color="auto" w:fill="auto"/>
            <w:noWrap/>
            <w:vAlign w:val="center"/>
            <w:hideMark/>
          </w:tcPr>
          <w:p w14:paraId="354AF859"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Anual</w:t>
            </w:r>
          </w:p>
        </w:tc>
        <w:tc>
          <w:tcPr>
            <w:tcW w:w="0" w:type="auto"/>
            <w:tcBorders>
              <w:top w:val="nil"/>
              <w:left w:val="nil"/>
              <w:bottom w:val="single" w:sz="4" w:space="0" w:color="auto"/>
              <w:right w:val="single" w:sz="4" w:space="0" w:color="auto"/>
            </w:tcBorders>
            <w:shd w:val="clear" w:color="auto" w:fill="auto"/>
            <w:noWrap/>
            <w:vAlign w:val="center"/>
            <w:hideMark/>
          </w:tcPr>
          <w:p w14:paraId="18263BE3"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n/a</w:t>
            </w:r>
          </w:p>
        </w:tc>
        <w:tc>
          <w:tcPr>
            <w:tcW w:w="0" w:type="auto"/>
            <w:tcBorders>
              <w:top w:val="nil"/>
              <w:left w:val="nil"/>
              <w:bottom w:val="single" w:sz="4" w:space="0" w:color="auto"/>
              <w:right w:val="single" w:sz="4" w:space="0" w:color="auto"/>
            </w:tcBorders>
            <w:shd w:val="clear" w:color="auto" w:fill="auto"/>
            <w:noWrap/>
            <w:vAlign w:val="center"/>
            <w:hideMark/>
          </w:tcPr>
          <w:p w14:paraId="0DD426DE"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1EE3DD5B"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c>
          <w:tcPr>
            <w:tcW w:w="0" w:type="auto"/>
            <w:tcBorders>
              <w:top w:val="nil"/>
              <w:left w:val="nil"/>
              <w:bottom w:val="single" w:sz="4" w:space="0" w:color="auto"/>
              <w:right w:val="single" w:sz="4" w:space="0" w:color="auto"/>
            </w:tcBorders>
            <w:shd w:val="clear" w:color="auto" w:fill="auto"/>
            <w:noWrap/>
            <w:vAlign w:val="center"/>
            <w:hideMark/>
          </w:tcPr>
          <w:p w14:paraId="26AFA335" w14:textId="77777777" w:rsidR="00106EFB" w:rsidRPr="00106EFB" w:rsidRDefault="00106EFB" w:rsidP="00860016">
            <w:pPr>
              <w:spacing w:after="0" w:line="240" w:lineRule="auto"/>
              <w:jc w:val="center"/>
              <w:rPr>
                <w:rFonts w:eastAsia="Times New Roman"/>
                <w:spacing w:val="0"/>
                <w:lang w:val="es-DO" w:eastAsia="es-DO"/>
              </w:rPr>
            </w:pPr>
            <w:r w:rsidRPr="00106EFB">
              <w:rPr>
                <w:rFonts w:eastAsia="Times New Roman"/>
                <w:spacing w:val="0"/>
                <w:lang w:val="es-DO" w:eastAsia="es-DO"/>
              </w:rPr>
              <w:t>100%</w:t>
            </w:r>
          </w:p>
        </w:tc>
      </w:tr>
    </w:tbl>
    <w:p w14:paraId="7B6466F0" w14:textId="3B8FFD02" w:rsidR="0057082E" w:rsidRPr="00E90EB4" w:rsidRDefault="00860016" w:rsidP="0057082E">
      <w:pPr>
        <w:spacing w:line="360" w:lineRule="auto"/>
        <w:jc w:val="center"/>
        <w:rPr>
          <w:lang w:val="es-DO"/>
        </w:rPr>
      </w:pPr>
      <w:r>
        <w:rPr>
          <w:b/>
          <w:bCs/>
          <w:lang w:val="es-DO"/>
        </w:rPr>
        <w:br w:type="textWrapping" w:clear="all"/>
      </w:r>
      <w:r w:rsidR="0057082E" w:rsidRPr="007B7853">
        <w:rPr>
          <w:b/>
          <w:bCs/>
          <w:lang w:val="es-DO"/>
        </w:rPr>
        <w:t>Fuente</w:t>
      </w:r>
      <w:r w:rsidR="0057082E" w:rsidRPr="00C865B6">
        <w:rPr>
          <w:lang w:val="es-DO"/>
        </w:rPr>
        <w:t xml:space="preserve">: </w:t>
      </w:r>
      <w:r w:rsidR="0057082E" w:rsidRPr="007B7853">
        <w:rPr>
          <w:lang w:val="es-DO"/>
        </w:rPr>
        <w:t xml:space="preserve">Departamento </w:t>
      </w:r>
      <w:r w:rsidR="0057082E">
        <w:rPr>
          <w:lang w:val="es-DO"/>
        </w:rPr>
        <w:t>Planificación Institucional</w:t>
      </w:r>
      <w:r w:rsidR="0057082E" w:rsidRPr="007B7853">
        <w:rPr>
          <w:lang w:val="es-DO"/>
        </w:rPr>
        <w:t>. Superintendencia de Bancos de la República Dominicana, 202</w:t>
      </w:r>
      <w:r w:rsidR="0057082E">
        <w:rPr>
          <w:lang w:val="es-DO"/>
        </w:rPr>
        <w:t>3.</w:t>
      </w:r>
    </w:p>
    <w:p w14:paraId="486C04D3" w14:textId="77777777" w:rsidR="000C6843" w:rsidRPr="000C6843" w:rsidRDefault="000C6843" w:rsidP="006B204A">
      <w:pPr>
        <w:pStyle w:val="paragraph"/>
        <w:spacing w:before="0" w:beforeAutospacing="0" w:after="0" w:afterAutospacing="0" w:line="360" w:lineRule="auto"/>
        <w:jc w:val="both"/>
        <w:textAlignment w:val="baseline"/>
        <w:rPr>
          <w:vanish/>
          <w:sz w:val="18"/>
          <w:szCs w:val="18"/>
          <w:specVanish/>
        </w:rPr>
      </w:pPr>
    </w:p>
    <w:p w14:paraId="1DEF1833" w14:textId="7301EC90" w:rsidR="00757CDC" w:rsidRPr="00274E67" w:rsidRDefault="000C6843" w:rsidP="000C6843">
      <w:pPr>
        <w:rPr>
          <w:sz w:val="18"/>
          <w:szCs w:val="18"/>
          <w:lang w:val="es-DO"/>
        </w:rPr>
      </w:pPr>
      <w:r w:rsidRPr="00274E67">
        <w:rPr>
          <w:sz w:val="18"/>
          <w:szCs w:val="18"/>
          <w:lang w:val="es-DO"/>
        </w:rPr>
        <w:t xml:space="preserve"> </w:t>
      </w:r>
    </w:p>
    <w:p w14:paraId="6438ABC4" w14:textId="77777777" w:rsidR="000C6843" w:rsidRPr="00274E67" w:rsidRDefault="000C6843" w:rsidP="000C6843">
      <w:pPr>
        <w:rPr>
          <w:sz w:val="18"/>
          <w:szCs w:val="18"/>
          <w:lang w:val="es-DO"/>
        </w:rPr>
      </w:pPr>
    </w:p>
    <w:p w14:paraId="0087BB00" w14:textId="77777777" w:rsidR="000C6843" w:rsidRDefault="000C6843" w:rsidP="000C6843">
      <w:pPr>
        <w:rPr>
          <w:sz w:val="18"/>
          <w:szCs w:val="18"/>
          <w:lang w:val="es-DO"/>
        </w:rPr>
      </w:pPr>
    </w:p>
    <w:p w14:paraId="5609BF1A" w14:textId="77777777" w:rsidR="008D40CE" w:rsidRDefault="008D40CE" w:rsidP="000C6843">
      <w:pPr>
        <w:rPr>
          <w:sz w:val="18"/>
          <w:szCs w:val="18"/>
          <w:lang w:val="es-DO"/>
        </w:rPr>
        <w:sectPr w:rsidR="008D40CE" w:rsidSect="001E74F4">
          <w:headerReference w:type="default" r:id="rId27"/>
          <w:footerReference w:type="default" r:id="rId28"/>
          <w:pgSz w:w="12240" w:h="15840"/>
          <w:pgMar w:top="1701" w:right="2160" w:bottom="1701" w:left="2160" w:header="720" w:footer="402" w:gutter="0"/>
          <w:pgNumType w:start="1"/>
          <w:cols w:space="720"/>
          <w:docGrid w:linePitch="360"/>
        </w:sectPr>
      </w:pPr>
    </w:p>
    <w:p w14:paraId="7D06AE28" w14:textId="398FE3D9" w:rsidR="006D1150" w:rsidRPr="006D1150" w:rsidRDefault="006D1150" w:rsidP="006D1150">
      <w:pPr>
        <w:spacing w:after="0" w:line="240" w:lineRule="auto"/>
        <w:jc w:val="center"/>
        <w:rPr>
          <w:b/>
          <w:bCs/>
          <w:lang w:val="es-DO"/>
        </w:rPr>
      </w:pPr>
      <w:r w:rsidRPr="00C865B6">
        <w:rPr>
          <w:b/>
          <w:bCs/>
          <w:lang w:val="es-DO"/>
        </w:rPr>
        <w:lastRenderedPageBreak/>
        <w:t xml:space="preserve">Anexo </w:t>
      </w:r>
      <w:r>
        <w:rPr>
          <w:b/>
          <w:bCs/>
          <w:lang w:val="es-DO"/>
        </w:rPr>
        <w:t>5</w:t>
      </w:r>
      <w:r w:rsidRPr="00C865B6">
        <w:rPr>
          <w:b/>
          <w:bCs/>
          <w:lang w:val="es-DO"/>
        </w:rPr>
        <w:t>.</w:t>
      </w:r>
      <w:r>
        <w:rPr>
          <w:b/>
          <w:bCs/>
          <w:lang w:val="es-DO"/>
        </w:rPr>
        <w:t xml:space="preserve"> </w:t>
      </w:r>
      <w:r w:rsidRPr="006D1150">
        <w:rPr>
          <w:b/>
          <w:bCs/>
          <w:lang w:val="es-DO"/>
        </w:rPr>
        <w:t>Matriz Logros Relevantes – Datos Cuantitativos.</w:t>
      </w:r>
    </w:p>
    <w:p w14:paraId="04544080" w14:textId="77777777" w:rsidR="006D1150" w:rsidRPr="006D1150" w:rsidRDefault="006D1150" w:rsidP="006D1150">
      <w:pPr>
        <w:spacing w:after="0" w:line="240" w:lineRule="auto"/>
        <w:jc w:val="center"/>
        <w:rPr>
          <w:b/>
          <w:bCs/>
          <w:lang w:val="es-DO"/>
        </w:rPr>
      </w:pPr>
    </w:p>
    <w:p w14:paraId="343F36D1" w14:textId="2F3B2DAA" w:rsidR="006D1150" w:rsidRPr="006D1150" w:rsidRDefault="006D1150" w:rsidP="006D1150">
      <w:pPr>
        <w:spacing w:after="0" w:line="240" w:lineRule="auto"/>
        <w:jc w:val="center"/>
        <w:rPr>
          <w:b/>
          <w:bCs/>
          <w:lang w:val="es-DO"/>
        </w:rPr>
      </w:pPr>
      <w:r w:rsidRPr="006D1150">
        <w:rPr>
          <w:b/>
          <w:bCs/>
          <w:lang w:val="es-DO"/>
        </w:rPr>
        <w:t>enero – diciembre 2023</w:t>
      </w:r>
    </w:p>
    <w:p w14:paraId="586C12A7" w14:textId="77777777" w:rsidR="008D40CE" w:rsidRPr="006D1150" w:rsidRDefault="008D40CE" w:rsidP="006D1150">
      <w:pPr>
        <w:jc w:val="center"/>
        <w:rPr>
          <w:lang w:val="es-DO"/>
        </w:rPr>
      </w:pPr>
    </w:p>
    <w:tbl>
      <w:tblPr>
        <w:tblpPr w:leftFromText="141" w:rightFromText="141" w:vertAnchor="text" w:horzAnchor="margin" w:tblpXSpec="center" w:tblpY="283"/>
        <w:tblW w:w="5000" w:type="pct"/>
        <w:tblBorders>
          <w:top w:val="single" w:sz="4" w:space="0" w:color="404040" w:themeColor="text1" w:themeTint="BF"/>
          <w:left w:val="single" w:sz="4" w:space="0" w:color="404040" w:themeColor="text1" w:themeTint="BF"/>
          <w:bottom w:val="single" w:sz="4" w:space="0" w:color="404040" w:themeColor="text1" w:themeTint="BF"/>
          <w:right w:val="single" w:sz="4" w:space="0" w:color="404040" w:themeColor="text1" w:themeTint="BF"/>
          <w:insideH w:val="single" w:sz="4" w:space="0" w:color="404040" w:themeColor="text1" w:themeTint="BF"/>
          <w:insideV w:val="single" w:sz="4" w:space="0" w:color="404040" w:themeColor="text1" w:themeTint="BF"/>
        </w:tblBorders>
        <w:tblCellMar>
          <w:left w:w="70" w:type="dxa"/>
          <w:right w:w="70" w:type="dxa"/>
        </w:tblCellMar>
        <w:tblLook w:val="04A0" w:firstRow="1" w:lastRow="0" w:firstColumn="1" w:lastColumn="0" w:noHBand="0" w:noVBand="1"/>
      </w:tblPr>
      <w:tblGrid>
        <w:gridCol w:w="1215"/>
        <w:gridCol w:w="480"/>
        <w:gridCol w:w="591"/>
        <w:gridCol w:w="1117"/>
        <w:gridCol w:w="442"/>
        <w:gridCol w:w="977"/>
        <w:gridCol w:w="1183"/>
        <w:gridCol w:w="423"/>
        <w:gridCol w:w="526"/>
        <w:gridCol w:w="977"/>
        <w:gridCol w:w="1117"/>
        <w:gridCol w:w="1117"/>
        <w:gridCol w:w="1080"/>
        <w:gridCol w:w="1183"/>
      </w:tblGrid>
      <w:tr w:rsidR="007400C6" w:rsidRPr="00D11C11" w14:paraId="2C60809D" w14:textId="77777777" w:rsidTr="007400C6">
        <w:trPr>
          <w:trHeight w:val="331"/>
          <w:tblHeader/>
        </w:trPr>
        <w:tc>
          <w:tcPr>
            <w:tcW w:w="48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07C4F237" w14:textId="77777777" w:rsidR="004C43F1" w:rsidRPr="00D11C11" w:rsidRDefault="004C43F1" w:rsidP="003A11A2">
            <w:pPr>
              <w:spacing w:after="0" w:line="240" w:lineRule="auto"/>
              <w:jc w:val="center"/>
              <w:rPr>
                <w:rFonts w:eastAsia="Times New Roman"/>
                <w:b/>
                <w:bCs/>
                <w:color w:val="FFFFFF" w:themeColor="background1"/>
                <w:lang w:val="es-DO" w:eastAsia="es-DO"/>
              </w:rPr>
            </w:pPr>
            <w:proofErr w:type="spellStart"/>
            <w:r w:rsidRPr="00D11C11">
              <w:rPr>
                <w:rFonts w:eastAsia="Times New Roman"/>
                <w:b/>
                <w:bCs/>
                <w:color w:val="FFFFFF" w:themeColor="background1"/>
                <w:lang w:eastAsia="es-DO"/>
              </w:rPr>
              <w:t>Producto</w:t>
            </w:r>
            <w:proofErr w:type="spellEnd"/>
            <w:r w:rsidRPr="00D11C11">
              <w:rPr>
                <w:rFonts w:eastAsia="Times New Roman"/>
                <w:b/>
                <w:bCs/>
                <w:color w:val="FFFFFF" w:themeColor="background1"/>
                <w:lang w:eastAsia="es-DO"/>
              </w:rPr>
              <w:t xml:space="preserve"> / </w:t>
            </w:r>
            <w:proofErr w:type="spellStart"/>
            <w:r w:rsidRPr="00D11C11">
              <w:rPr>
                <w:rFonts w:eastAsia="Times New Roman"/>
                <w:b/>
                <w:bCs/>
                <w:color w:val="FFFFFF" w:themeColor="background1"/>
                <w:lang w:eastAsia="es-DO"/>
              </w:rPr>
              <w:t>servicio</w:t>
            </w:r>
            <w:proofErr w:type="spellEnd"/>
          </w:p>
        </w:tc>
        <w:tc>
          <w:tcPr>
            <w:tcW w:w="19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298CD5C3" w14:textId="77777777" w:rsidR="004C43F1" w:rsidRPr="00D11C11" w:rsidRDefault="004C43F1" w:rsidP="003A11A2">
            <w:pPr>
              <w:spacing w:after="0" w:line="240" w:lineRule="auto"/>
              <w:jc w:val="center"/>
              <w:rPr>
                <w:rFonts w:eastAsia="Times New Roman"/>
                <w:b/>
                <w:bCs/>
                <w:color w:val="FFFFFF" w:themeColor="background1"/>
                <w:lang w:val="es-DO" w:eastAsia="es-DO"/>
              </w:rPr>
            </w:pPr>
            <w:proofErr w:type="spellStart"/>
            <w:r w:rsidRPr="00D11C11">
              <w:rPr>
                <w:rFonts w:eastAsia="Times New Roman"/>
                <w:b/>
                <w:bCs/>
                <w:color w:val="FFFFFF" w:themeColor="background1"/>
                <w:lang w:eastAsia="es-DO"/>
              </w:rPr>
              <w:t>Enero</w:t>
            </w:r>
            <w:proofErr w:type="spellEnd"/>
          </w:p>
        </w:tc>
        <w:tc>
          <w:tcPr>
            <w:tcW w:w="238"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1AF17302" w14:textId="77777777" w:rsidR="004C43F1" w:rsidRPr="00D11C11" w:rsidRDefault="004C43F1" w:rsidP="003A11A2">
            <w:pPr>
              <w:spacing w:after="0" w:line="240" w:lineRule="auto"/>
              <w:jc w:val="center"/>
              <w:rPr>
                <w:rFonts w:eastAsia="Times New Roman"/>
                <w:b/>
                <w:bCs/>
                <w:color w:val="FFFFFF" w:themeColor="background1"/>
                <w:lang w:val="es-DO" w:eastAsia="es-DO"/>
              </w:rPr>
            </w:pPr>
            <w:proofErr w:type="spellStart"/>
            <w:r w:rsidRPr="00D11C11">
              <w:rPr>
                <w:rFonts w:eastAsia="Times New Roman"/>
                <w:b/>
                <w:bCs/>
                <w:color w:val="FFFFFF" w:themeColor="background1"/>
                <w:lang w:eastAsia="es-DO"/>
              </w:rPr>
              <w:t>Febrero</w:t>
            </w:r>
            <w:proofErr w:type="spellEnd"/>
          </w:p>
        </w:tc>
        <w:tc>
          <w:tcPr>
            <w:tcW w:w="4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3BD5CD0C"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eastAsia="es-DO"/>
              </w:rPr>
              <w:t>Marzo</w:t>
            </w:r>
          </w:p>
        </w:tc>
        <w:tc>
          <w:tcPr>
            <w:tcW w:w="178"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14281D7A"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eastAsia="es-DO"/>
              </w:rPr>
              <w:t>Abril</w:t>
            </w:r>
          </w:p>
        </w:tc>
        <w:tc>
          <w:tcPr>
            <w:tcW w:w="39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61FF9C2C"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eastAsia="es-DO"/>
              </w:rPr>
              <w:t>Mayo</w:t>
            </w:r>
          </w:p>
        </w:tc>
        <w:tc>
          <w:tcPr>
            <w:tcW w:w="47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26172F6F"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eastAsia="es-DO"/>
              </w:rPr>
              <w:t>Junio</w:t>
            </w:r>
          </w:p>
        </w:tc>
        <w:tc>
          <w:tcPr>
            <w:tcW w:w="170"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62837AEE"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val="es-DO" w:eastAsia="es-DO"/>
              </w:rPr>
              <w:t>Julio</w:t>
            </w:r>
          </w:p>
        </w:tc>
        <w:tc>
          <w:tcPr>
            <w:tcW w:w="212"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690FF2D8"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val="es-DO" w:eastAsia="es-DO"/>
              </w:rPr>
              <w:t xml:space="preserve">Agosto </w:t>
            </w:r>
          </w:p>
        </w:tc>
        <w:tc>
          <w:tcPr>
            <w:tcW w:w="393"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23E44860"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val="es-DO" w:eastAsia="es-DO"/>
              </w:rPr>
              <w:t>Septiembre</w:t>
            </w:r>
          </w:p>
        </w:tc>
        <w:tc>
          <w:tcPr>
            <w:tcW w:w="4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07B940AD"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val="es-DO" w:eastAsia="es-DO"/>
              </w:rPr>
              <w:t>Octubre</w:t>
            </w:r>
          </w:p>
        </w:tc>
        <w:tc>
          <w:tcPr>
            <w:tcW w:w="449"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68F2F05B"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val="es-DO" w:eastAsia="es-DO"/>
              </w:rPr>
              <w:t>Noviembre</w:t>
            </w:r>
          </w:p>
        </w:tc>
        <w:tc>
          <w:tcPr>
            <w:tcW w:w="435"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noWrap/>
            <w:vAlign w:val="center"/>
            <w:hideMark/>
          </w:tcPr>
          <w:p w14:paraId="4AFBC626"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val="es-DO" w:eastAsia="es-DO"/>
              </w:rPr>
              <w:t>Diciembre</w:t>
            </w:r>
          </w:p>
        </w:tc>
        <w:tc>
          <w:tcPr>
            <w:tcW w:w="476" w:type="pct"/>
            <w:tcBorders>
              <w:top w:val="single" w:sz="4" w:space="0" w:color="595959" w:themeColor="text1" w:themeTint="A6"/>
              <w:left w:val="single" w:sz="4" w:space="0" w:color="595959" w:themeColor="text1" w:themeTint="A6"/>
              <w:bottom w:val="single" w:sz="4" w:space="0" w:color="595959" w:themeColor="text1" w:themeTint="A6"/>
              <w:right w:val="single" w:sz="4" w:space="0" w:color="595959" w:themeColor="text1" w:themeTint="A6"/>
            </w:tcBorders>
            <w:shd w:val="clear" w:color="auto" w:fill="003876"/>
            <w:vAlign w:val="center"/>
            <w:hideMark/>
          </w:tcPr>
          <w:p w14:paraId="37ED79A5" w14:textId="77777777" w:rsidR="004C43F1" w:rsidRPr="00D11C11" w:rsidRDefault="004C43F1" w:rsidP="003A11A2">
            <w:pPr>
              <w:spacing w:after="0" w:line="240" w:lineRule="auto"/>
              <w:jc w:val="center"/>
              <w:rPr>
                <w:rFonts w:eastAsia="Times New Roman"/>
                <w:b/>
                <w:bCs/>
                <w:color w:val="FFFFFF" w:themeColor="background1"/>
                <w:lang w:val="es-DO" w:eastAsia="es-DO"/>
              </w:rPr>
            </w:pPr>
            <w:r w:rsidRPr="00D11C11">
              <w:rPr>
                <w:rFonts w:eastAsia="Times New Roman"/>
                <w:b/>
                <w:bCs/>
                <w:color w:val="FFFFFF" w:themeColor="background1"/>
                <w:lang w:eastAsia="es-DO"/>
              </w:rPr>
              <w:t xml:space="preserve">Total </w:t>
            </w:r>
            <w:proofErr w:type="spellStart"/>
            <w:r w:rsidRPr="00D11C11">
              <w:rPr>
                <w:rFonts w:eastAsia="Times New Roman"/>
                <w:b/>
                <w:bCs/>
                <w:color w:val="FFFFFF" w:themeColor="background1"/>
                <w:lang w:eastAsia="es-DO"/>
              </w:rPr>
              <w:t>año</w:t>
            </w:r>
            <w:proofErr w:type="spellEnd"/>
            <w:r w:rsidRPr="00D11C11">
              <w:rPr>
                <w:rFonts w:eastAsia="Times New Roman"/>
                <w:b/>
                <w:bCs/>
                <w:color w:val="FFFFFF" w:themeColor="background1"/>
                <w:lang w:eastAsia="es-DO"/>
              </w:rPr>
              <w:t xml:space="preserve"> 2023</w:t>
            </w:r>
          </w:p>
        </w:tc>
      </w:tr>
      <w:tr w:rsidR="007400C6" w:rsidRPr="00D11C11" w14:paraId="18BBD0F5" w14:textId="77777777" w:rsidTr="007400C6">
        <w:trPr>
          <w:trHeight w:val="331"/>
        </w:trPr>
        <w:tc>
          <w:tcPr>
            <w:tcW w:w="489" w:type="pct"/>
            <w:tcBorders>
              <w:top w:val="single" w:sz="4" w:space="0" w:color="595959" w:themeColor="text1" w:themeTint="A6"/>
            </w:tcBorders>
            <w:shd w:val="clear" w:color="auto" w:fill="auto"/>
            <w:vAlign w:val="center"/>
            <w:hideMark/>
          </w:tcPr>
          <w:p w14:paraId="0D32E06E" w14:textId="753B7C6B" w:rsidR="004C43F1" w:rsidRPr="00D13B4F" w:rsidRDefault="00D13B4F" w:rsidP="003A11A2">
            <w:pPr>
              <w:spacing w:after="0" w:line="240" w:lineRule="auto"/>
              <w:rPr>
                <w:rFonts w:eastAsia="Times New Roman"/>
                <w:b/>
                <w:bCs/>
                <w:lang w:val="es-DO" w:eastAsia="es-DO"/>
              </w:rPr>
            </w:pPr>
            <w:r w:rsidRPr="00D13B4F">
              <w:rPr>
                <w:rFonts w:eastAsia="Times New Roman"/>
                <w:b/>
                <w:bCs/>
                <w:lang w:val="es-DO" w:eastAsia="es-DO"/>
              </w:rPr>
              <w:t>Oficina de Gestión de Proyectos de la SB</w:t>
            </w:r>
          </w:p>
        </w:tc>
        <w:tc>
          <w:tcPr>
            <w:tcW w:w="193" w:type="pct"/>
            <w:tcBorders>
              <w:top w:val="single" w:sz="4" w:space="0" w:color="595959" w:themeColor="text1" w:themeTint="A6"/>
            </w:tcBorders>
            <w:shd w:val="clear" w:color="auto" w:fill="auto"/>
            <w:noWrap/>
            <w:vAlign w:val="center"/>
          </w:tcPr>
          <w:p w14:paraId="73D883D2" w14:textId="7A4337E7" w:rsidR="004C43F1" w:rsidRPr="001E237E" w:rsidRDefault="004C43F1" w:rsidP="003A11A2">
            <w:pPr>
              <w:spacing w:after="0" w:line="240" w:lineRule="auto"/>
              <w:jc w:val="center"/>
              <w:rPr>
                <w:rFonts w:eastAsia="Times New Roman"/>
                <w:lang w:val="es-DO" w:eastAsia="es-DO"/>
              </w:rPr>
            </w:pPr>
          </w:p>
        </w:tc>
        <w:tc>
          <w:tcPr>
            <w:tcW w:w="238" w:type="pct"/>
            <w:tcBorders>
              <w:top w:val="single" w:sz="4" w:space="0" w:color="595959" w:themeColor="text1" w:themeTint="A6"/>
            </w:tcBorders>
            <w:shd w:val="clear" w:color="auto" w:fill="auto"/>
            <w:noWrap/>
            <w:vAlign w:val="center"/>
          </w:tcPr>
          <w:p w14:paraId="54460167" w14:textId="197A0CA1" w:rsidR="004C43F1" w:rsidRPr="001E237E" w:rsidRDefault="004C43F1" w:rsidP="003A11A2">
            <w:pPr>
              <w:spacing w:after="0" w:line="240" w:lineRule="auto"/>
              <w:jc w:val="center"/>
              <w:rPr>
                <w:rFonts w:eastAsia="Times New Roman"/>
                <w:lang w:val="es-DO" w:eastAsia="es-DO"/>
              </w:rPr>
            </w:pPr>
          </w:p>
        </w:tc>
        <w:tc>
          <w:tcPr>
            <w:tcW w:w="449" w:type="pct"/>
            <w:tcBorders>
              <w:top w:val="single" w:sz="4" w:space="0" w:color="595959" w:themeColor="text1" w:themeTint="A6"/>
            </w:tcBorders>
            <w:shd w:val="clear" w:color="auto" w:fill="auto"/>
            <w:noWrap/>
            <w:vAlign w:val="center"/>
          </w:tcPr>
          <w:p w14:paraId="1CB0BED6" w14:textId="193B7812" w:rsidR="004C43F1" w:rsidRPr="001E237E" w:rsidRDefault="004C43F1" w:rsidP="003A11A2">
            <w:pPr>
              <w:spacing w:after="0" w:line="240" w:lineRule="auto"/>
              <w:jc w:val="center"/>
              <w:rPr>
                <w:rFonts w:eastAsia="Times New Roman"/>
                <w:lang w:val="es-DO" w:eastAsia="es-DO"/>
              </w:rPr>
            </w:pPr>
          </w:p>
        </w:tc>
        <w:tc>
          <w:tcPr>
            <w:tcW w:w="178" w:type="pct"/>
            <w:tcBorders>
              <w:top w:val="single" w:sz="4" w:space="0" w:color="595959" w:themeColor="text1" w:themeTint="A6"/>
            </w:tcBorders>
            <w:shd w:val="clear" w:color="auto" w:fill="auto"/>
            <w:noWrap/>
            <w:vAlign w:val="center"/>
          </w:tcPr>
          <w:p w14:paraId="4395D93B" w14:textId="21FD9B4C" w:rsidR="004C43F1" w:rsidRPr="001E237E" w:rsidRDefault="004C43F1" w:rsidP="003A11A2">
            <w:pPr>
              <w:spacing w:after="0" w:line="240" w:lineRule="auto"/>
              <w:jc w:val="center"/>
              <w:rPr>
                <w:rFonts w:eastAsia="Times New Roman"/>
                <w:lang w:val="es-DO" w:eastAsia="es-DO"/>
              </w:rPr>
            </w:pPr>
          </w:p>
        </w:tc>
        <w:tc>
          <w:tcPr>
            <w:tcW w:w="393" w:type="pct"/>
            <w:tcBorders>
              <w:top w:val="single" w:sz="4" w:space="0" w:color="595959" w:themeColor="text1" w:themeTint="A6"/>
            </w:tcBorders>
            <w:shd w:val="clear" w:color="auto" w:fill="auto"/>
            <w:noWrap/>
            <w:vAlign w:val="center"/>
          </w:tcPr>
          <w:p w14:paraId="66BB7CD4" w14:textId="6B61CCE0" w:rsidR="004C43F1" w:rsidRPr="001E237E" w:rsidRDefault="004C43F1" w:rsidP="003A11A2">
            <w:pPr>
              <w:spacing w:after="0" w:line="240" w:lineRule="auto"/>
              <w:jc w:val="center"/>
              <w:rPr>
                <w:rFonts w:eastAsia="Times New Roman"/>
                <w:lang w:val="es-DO" w:eastAsia="es-DO"/>
              </w:rPr>
            </w:pPr>
          </w:p>
        </w:tc>
        <w:tc>
          <w:tcPr>
            <w:tcW w:w="476" w:type="pct"/>
            <w:tcBorders>
              <w:top w:val="single" w:sz="4" w:space="0" w:color="595959" w:themeColor="text1" w:themeTint="A6"/>
            </w:tcBorders>
            <w:shd w:val="clear" w:color="auto" w:fill="auto"/>
            <w:noWrap/>
            <w:vAlign w:val="center"/>
          </w:tcPr>
          <w:p w14:paraId="41B0CD66" w14:textId="05C82C8D" w:rsidR="004C43F1" w:rsidRPr="001E237E" w:rsidRDefault="004C43F1" w:rsidP="003A11A2">
            <w:pPr>
              <w:spacing w:after="0" w:line="240" w:lineRule="auto"/>
              <w:jc w:val="center"/>
              <w:rPr>
                <w:rFonts w:eastAsia="Times New Roman"/>
                <w:lang w:val="es-DO" w:eastAsia="es-DO"/>
              </w:rPr>
            </w:pPr>
          </w:p>
        </w:tc>
        <w:tc>
          <w:tcPr>
            <w:tcW w:w="170" w:type="pct"/>
            <w:tcBorders>
              <w:top w:val="single" w:sz="4" w:space="0" w:color="595959" w:themeColor="text1" w:themeTint="A6"/>
            </w:tcBorders>
            <w:shd w:val="clear" w:color="auto" w:fill="auto"/>
            <w:noWrap/>
            <w:vAlign w:val="center"/>
          </w:tcPr>
          <w:p w14:paraId="36C4899D" w14:textId="3341FE5E" w:rsidR="004C43F1" w:rsidRPr="001E237E" w:rsidRDefault="004C43F1" w:rsidP="003A11A2">
            <w:pPr>
              <w:spacing w:after="0" w:line="240" w:lineRule="auto"/>
              <w:jc w:val="center"/>
              <w:rPr>
                <w:rFonts w:eastAsia="Times New Roman"/>
                <w:lang w:val="es-DO" w:eastAsia="es-DO"/>
              </w:rPr>
            </w:pPr>
          </w:p>
        </w:tc>
        <w:tc>
          <w:tcPr>
            <w:tcW w:w="212" w:type="pct"/>
            <w:tcBorders>
              <w:top w:val="single" w:sz="4" w:space="0" w:color="595959" w:themeColor="text1" w:themeTint="A6"/>
            </w:tcBorders>
            <w:shd w:val="clear" w:color="auto" w:fill="auto"/>
            <w:noWrap/>
            <w:vAlign w:val="center"/>
          </w:tcPr>
          <w:p w14:paraId="2CE0116C" w14:textId="72188F65" w:rsidR="004C43F1" w:rsidRPr="001E237E" w:rsidRDefault="004C43F1" w:rsidP="003A11A2">
            <w:pPr>
              <w:spacing w:after="0" w:line="240" w:lineRule="auto"/>
              <w:jc w:val="center"/>
              <w:rPr>
                <w:rFonts w:eastAsia="Times New Roman"/>
                <w:lang w:val="es-DO" w:eastAsia="es-DO"/>
              </w:rPr>
            </w:pPr>
          </w:p>
        </w:tc>
        <w:tc>
          <w:tcPr>
            <w:tcW w:w="393" w:type="pct"/>
            <w:tcBorders>
              <w:top w:val="single" w:sz="4" w:space="0" w:color="595959" w:themeColor="text1" w:themeTint="A6"/>
            </w:tcBorders>
            <w:shd w:val="clear" w:color="auto" w:fill="auto"/>
            <w:noWrap/>
            <w:vAlign w:val="center"/>
          </w:tcPr>
          <w:p w14:paraId="2B09175B" w14:textId="310A457D" w:rsidR="004C43F1" w:rsidRPr="001E237E" w:rsidRDefault="004C43F1" w:rsidP="003A11A2">
            <w:pPr>
              <w:spacing w:after="0" w:line="240" w:lineRule="auto"/>
              <w:jc w:val="center"/>
              <w:rPr>
                <w:rFonts w:eastAsia="Times New Roman"/>
                <w:lang w:val="es-DO" w:eastAsia="es-DO"/>
              </w:rPr>
            </w:pPr>
          </w:p>
        </w:tc>
        <w:tc>
          <w:tcPr>
            <w:tcW w:w="449" w:type="pct"/>
            <w:tcBorders>
              <w:top w:val="single" w:sz="4" w:space="0" w:color="595959" w:themeColor="text1" w:themeTint="A6"/>
            </w:tcBorders>
            <w:shd w:val="clear" w:color="auto" w:fill="auto"/>
            <w:noWrap/>
            <w:vAlign w:val="center"/>
          </w:tcPr>
          <w:p w14:paraId="16D1BD9A" w14:textId="543FDCE6" w:rsidR="004C43F1" w:rsidRPr="001E237E" w:rsidRDefault="004C43F1" w:rsidP="003A11A2">
            <w:pPr>
              <w:spacing w:after="0" w:line="240" w:lineRule="auto"/>
              <w:jc w:val="center"/>
              <w:rPr>
                <w:rFonts w:eastAsia="Times New Roman"/>
                <w:lang w:val="es-DO" w:eastAsia="es-DO"/>
              </w:rPr>
            </w:pPr>
          </w:p>
        </w:tc>
        <w:tc>
          <w:tcPr>
            <w:tcW w:w="449" w:type="pct"/>
            <w:tcBorders>
              <w:top w:val="single" w:sz="4" w:space="0" w:color="595959" w:themeColor="text1" w:themeTint="A6"/>
            </w:tcBorders>
            <w:shd w:val="clear" w:color="auto" w:fill="auto"/>
            <w:noWrap/>
            <w:vAlign w:val="center"/>
          </w:tcPr>
          <w:p w14:paraId="076371A0" w14:textId="562942F9" w:rsidR="004C43F1" w:rsidRPr="001E237E" w:rsidRDefault="001E237E" w:rsidP="003A11A2">
            <w:pPr>
              <w:spacing w:after="0" w:line="240" w:lineRule="auto"/>
              <w:jc w:val="center"/>
              <w:rPr>
                <w:rFonts w:eastAsia="Times New Roman"/>
                <w:lang w:val="es-DO" w:eastAsia="es-DO"/>
              </w:rPr>
            </w:pPr>
            <w:r w:rsidRPr="001E237E">
              <w:rPr>
                <w:rFonts w:eastAsia="Times New Roman"/>
                <w:lang w:val="es-DO" w:eastAsia="es-DO"/>
              </w:rPr>
              <w:t>100%</w:t>
            </w:r>
          </w:p>
        </w:tc>
        <w:tc>
          <w:tcPr>
            <w:tcW w:w="435" w:type="pct"/>
            <w:tcBorders>
              <w:top w:val="single" w:sz="4" w:space="0" w:color="595959" w:themeColor="text1" w:themeTint="A6"/>
            </w:tcBorders>
            <w:shd w:val="clear" w:color="auto" w:fill="auto"/>
            <w:noWrap/>
            <w:vAlign w:val="center"/>
          </w:tcPr>
          <w:p w14:paraId="0D0AAED7" w14:textId="0760AF4F" w:rsidR="004C43F1" w:rsidRPr="001E237E" w:rsidRDefault="004C43F1" w:rsidP="003A11A2">
            <w:pPr>
              <w:spacing w:after="0" w:line="240" w:lineRule="auto"/>
              <w:jc w:val="center"/>
              <w:rPr>
                <w:rFonts w:eastAsia="Times New Roman"/>
                <w:lang w:val="es-DO" w:eastAsia="es-DO"/>
              </w:rPr>
            </w:pPr>
          </w:p>
        </w:tc>
        <w:tc>
          <w:tcPr>
            <w:tcW w:w="476" w:type="pct"/>
            <w:tcBorders>
              <w:top w:val="single" w:sz="4" w:space="0" w:color="595959" w:themeColor="text1" w:themeTint="A6"/>
            </w:tcBorders>
            <w:shd w:val="clear" w:color="auto" w:fill="auto"/>
            <w:noWrap/>
            <w:vAlign w:val="center"/>
          </w:tcPr>
          <w:p w14:paraId="6DE22BEB" w14:textId="4BD60927" w:rsidR="004C43F1" w:rsidRPr="001E237E" w:rsidRDefault="00497A7D" w:rsidP="003A11A2">
            <w:pPr>
              <w:spacing w:after="0" w:line="240" w:lineRule="auto"/>
              <w:jc w:val="center"/>
              <w:rPr>
                <w:rFonts w:eastAsia="Times New Roman"/>
                <w:lang w:val="es-DO" w:eastAsia="es-DO"/>
              </w:rPr>
            </w:pPr>
            <w:r w:rsidRPr="001E237E">
              <w:rPr>
                <w:rFonts w:eastAsia="Times New Roman"/>
                <w:lang w:val="es-DO" w:eastAsia="es-DO"/>
              </w:rPr>
              <w:t>1</w:t>
            </w:r>
            <w:r w:rsidR="001E237E">
              <w:rPr>
                <w:rFonts w:eastAsia="Times New Roman"/>
                <w:lang w:val="es-DO" w:eastAsia="es-DO"/>
              </w:rPr>
              <w:t>00%</w:t>
            </w:r>
          </w:p>
        </w:tc>
      </w:tr>
      <w:tr w:rsidR="007400C6" w:rsidRPr="00D11C11" w14:paraId="606B9749" w14:textId="77777777" w:rsidTr="007400C6">
        <w:trPr>
          <w:trHeight w:val="331"/>
        </w:trPr>
        <w:tc>
          <w:tcPr>
            <w:tcW w:w="489" w:type="pct"/>
            <w:shd w:val="clear" w:color="auto" w:fill="auto"/>
            <w:vAlign w:val="center"/>
          </w:tcPr>
          <w:p w14:paraId="7D3B06E0" w14:textId="0336FE78" w:rsidR="00497A7D" w:rsidRPr="00D74F69" w:rsidRDefault="00497A7D" w:rsidP="00D13B4F">
            <w:pPr>
              <w:spacing w:after="0" w:line="240" w:lineRule="auto"/>
              <w:rPr>
                <w:rFonts w:eastAsia="Times New Roman"/>
                <w:lang w:val="es-DO" w:eastAsia="es-DO"/>
              </w:rPr>
            </w:pPr>
            <w:r w:rsidRPr="00D74F69">
              <w:rPr>
                <w:rFonts w:eastAsia="Times New Roman"/>
                <w:lang w:val="es-DO" w:eastAsia="es-DO"/>
              </w:rPr>
              <w:t>Inversión producto</w:t>
            </w:r>
            <w:r w:rsidRPr="00D74F69">
              <w:rPr>
                <w:rFonts w:eastAsia="Times New Roman"/>
                <w:lang w:val="es-DO" w:eastAsia="es-DO"/>
              </w:rPr>
              <w:t xml:space="preserve"> - </w:t>
            </w:r>
            <w:r w:rsidRPr="00D74F69">
              <w:rPr>
                <w:rFonts w:eastAsia="Times New Roman"/>
                <w:lang w:val="es-DO" w:eastAsia="es-DO"/>
              </w:rPr>
              <w:t>Oficina de Gestión de Proyectos de la SB</w:t>
            </w:r>
          </w:p>
        </w:tc>
        <w:tc>
          <w:tcPr>
            <w:tcW w:w="193" w:type="pct"/>
            <w:shd w:val="clear" w:color="auto" w:fill="auto"/>
            <w:noWrap/>
            <w:vAlign w:val="center"/>
          </w:tcPr>
          <w:p w14:paraId="5C83AA85" w14:textId="77777777" w:rsidR="00497A7D" w:rsidRPr="001E237E" w:rsidRDefault="00497A7D" w:rsidP="00D13B4F">
            <w:pPr>
              <w:spacing w:after="0" w:line="240" w:lineRule="auto"/>
              <w:jc w:val="center"/>
              <w:rPr>
                <w:rFonts w:eastAsia="Times New Roman"/>
                <w:lang w:val="es-DO" w:eastAsia="es-DO"/>
              </w:rPr>
            </w:pPr>
          </w:p>
        </w:tc>
        <w:tc>
          <w:tcPr>
            <w:tcW w:w="238" w:type="pct"/>
            <w:shd w:val="clear" w:color="auto" w:fill="auto"/>
            <w:noWrap/>
            <w:vAlign w:val="center"/>
          </w:tcPr>
          <w:p w14:paraId="4231A6EE" w14:textId="77777777" w:rsidR="00497A7D" w:rsidRPr="001E237E" w:rsidRDefault="00497A7D" w:rsidP="00D13B4F">
            <w:pPr>
              <w:spacing w:after="0" w:line="240" w:lineRule="auto"/>
              <w:jc w:val="center"/>
              <w:rPr>
                <w:rFonts w:eastAsia="Times New Roman"/>
                <w:lang w:val="es-DO" w:eastAsia="es-DO"/>
              </w:rPr>
            </w:pPr>
          </w:p>
        </w:tc>
        <w:tc>
          <w:tcPr>
            <w:tcW w:w="449" w:type="pct"/>
            <w:shd w:val="clear" w:color="auto" w:fill="auto"/>
            <w:noWrap/>
            <w:vAlign w:val="center"/>
          </w:tcPr>
          <w:p w14:paraId="05DDC08C" w14:textId="77777777" w:rsidR="00497A7D" w:rsidRPr="001E237E" w:rsidRDefault="00497A7D" w:rsidP="00D13B4F">
            <w:pPr>
              <w:spacing w:after="0" w:line="240" w:lineRule="auto"/>
              <w:jc w:val="center"/>
              <w:rPr>
                <w:rFonts w:eastAsia="Times New Roman"/>
                <w:lang w:val="es-DO" w:eastAsia="es-DO"/>
              </w:rPr>
            </w:pPr>
          </w:p>
        </w:tc>
        <w:tc>
          <w:tcPr>
            <w:tcW w:w="178" w:type="pct"/>
            <w:shd w:val="clear" w:color="auto" w:fill="auto"/>
            <w:noWrap/>
            <w:vAlign w:val="center"/>
          </w:tcPr>
          <w:p w14:paraId="2730644C" w14:textId="77777777" w:rsidR="00497A7D" w:rsidRPr="001E237E" w:rsidRDefault="00497A7D" w:rsidP="00D13B4F">
            <w:pPr>
              <w:spacing w:after="0" w:line="240" w:lineRule="auto"/>
              <w:jc w:val="center"/>
              <w:rPr>
                <w:rFonts w:eastAsia="Times New Roman"/>
                <w:lang w:val="es-DO" w:eastAsia="es-DO"/>
              </w:rPr>
            </w:pPr>
          </w:p>
        </w:tc>
        <w:tc>
          <w:tcPr>
            <w:tcW w:w="393" w:type="pct"/>
            <w:shd w:val="clear" w:color="auto" w:fill="auto"/>
            <w:noWrap/>
            <w:vAlign w:val="center"/>
          </w:tcPr>
          <w:p w14:paraId="06847C3F" w14:textId="77777777" w:rsidR="00497A7D" w:rsidRPr="001E237E" w:rsidRDefault="00497A7D" w:rsidP="00D13B4F">
            <w:pPr>
              <w:spacing w:after="0" w:line="240" w:lineRule="auto"/>
              <w:jc w:val="center"/>
              <w:rPr>
                <w:rFonts w:eastAsia="Times New Roman"/>
                <w:lang w:val="es-DO" w:eastAsia="es-DO"/>
              </w:rPr>
            </w:pPr>
          </w:p>
        </w:tc>
        <w:tc>
          <w:tcPr>
            <w:tcW w:w="476" w:type="pct"/>
            <w:shd w:val="clear" w:color="auto" w:fill="auto"/>
            <w:noWrap/>
            <w:vAlign w:val="center"/>
          </w:tcPr>
          <w:p w14:paraId="239F3F0D" w14:textId="77777777" w:rsidR="00497A7D" w:rsidRPr="001E237E" w:rsidRDefault="00497A7D" w:rsidP="00D13B4F">
            <w:pPr>
              <w:spacing w:after="0" w:line="240" w:lineRule="auto"/>
              <w:jc w:val="center"/>
              <w:rPr>
                <w:rFonts w:eastAsia="Times New Roman"/>
                <w:lang w:val="es-DO" w:eastAsia="es-DO"/>
              </w:rPr>
            </w:pPr>
          </w:p>
        </w:tc>
        <w:tc>
          <w:tcPr>
            <w:tcW w:w="170" w:type="pct"/>
            <w:shd w:val="clear" w:color="auto" w:fill="auto"/>
            <w:noWrap/>
            <w:vAlign w:val="center"/>
          </w:tcPr>
          <w:p w14:paraId="2F42981C" w14:textId="77777777" w:rsidR="00497A7D" w:rsidRPr="001E237E" w:rsidRDefault="00497A7D" w:rsidP="00D13B4F">
            <w:pPr>
              <w:spacing w:after="0" w:line="240" w:lineRule="auto"/>
              <w:jc w:val="center"/>
              <w:rPr>
                <w:rFonts w:eastAsia="Times New Roman"/>
                <w:lang w:val="es-DO" w:eastAsia="es-DO"/>
              </w:rPr>
            </w:pPr>
          </w:p>
        </w:tc>
        <w:tc>
          <w:tcPr>
            <w:tcW w:w="212" w:type="pct"/>
            <w:shd w:val="clear" w:color="auto" w:fill="auto"/>
            <w:noWrap/>
            <w:vAlign w:val="center"/>
          </w:tcPr>
          <w:p w14:paraId="28D24177" w14:textId="77777777" w:rsidR="00497A7D" w:rsidRPr="001E237E" w:rsidRDefault="00497A7D" w:rsidP="00D13B4F">
            <w:pPr>
              <w:spacing w:after="0" w:line="240" w:lineRule="auto"/>
              <w:jc w:val="center"/>
              <w:rPr>
                <w:rFonts w:eastAsia="Times New Roman"/>
                <w:lang w:val="es-DO" w:eastAsia="es-DO"/>
              </w:rPr>
            </w:pPr>
          </w:p>
        </w:tc>
        <w:tc>
          <w:tcPr>
            <w:tcW w:w="393" w:type="pct"/>
            <w:shd w:val="clear" w:color="auto" w:fill="auto"/>
            <w:noWrap/>
            <w:vAlign w:val="center"/>
          </w:tcPr>
          <w:p w14:paraId="25263D29" w14:textId="77777777" w:rsidR="00497A7D" w:rsidRPr="001E237E" w:rsidRDefault="00497A7D" w:rsidP="00D13B4F">
            <w:pPr>
              <w:spacing w:after="0" w:line="240" w:lineRule="auto"/>
              <w:jc w:val="center"/>
              <w:rPr>
                <w:rFonts w:eastAsia="Times New Roman"/>
                <w:lang w:val="es-DO" w:eastAsia="es-DO"/>
              </w:rPr>
            </w:pPr>
          </w:p>
        </w:tc>
        <w:tc>
          <w:tcPr>
            <w:tcW w:w="449" w:type="pct"/>
            <w:shd w:val="clear" w:color="auto" w:fill="auto"/>
            <w:noWrap/>
            <w:vAlign w:val="center"/>
          </w:tcPr>
          <w:p w14:paraId="470519F2" w14:textId="77777777" w:rsidR="00497A7D" w:rsidRPr="001E237E" w:rsidRDefault="00497A7D" w:rsidP="00D13B4F">
            <w:pPr>
              <w:spacing w:after="0" w:line="240" w:lineRule="auto"/>
              <w:jc w:val="center"/>
              <w:rPr>
                <w:rFonts w:eastAsia="Times New Roman"/>
                <w:lang w:val="es-DO" w:eastAsia="es-DO"/>
              </w:rPr>
            </w:pPr>
          </w:p>
        </w:tc>
        <w:tc>
          <w:tcPr>
            <w:tcW w:w="449" w:type="pct"/>
            <w:shd w:val="clear" w:color="auto" w:fill="auto"/>
            <w:noWrap/>
            <w:vAlign w:val="center"/>
          </w:tcPr>
          <w:p w14:paraId="29C140C4" w14:textId="2727644C" w:rsidR="00497A7D" w:rsidRPr="001E237E" w:rsidRDefault="00497A7D" w:rsidP="00D13B4F">
            <w:pPr>
              <w:spacing w:after="0" w:line="240" w:lineRule="auto"/>
              <w:jc w:val="center"/>
              <w:rPr>
                <w:rFonts w:eastAsia="Times New Roman"/>
                <w:lang w:val="es-DO" w:eastAsia="es-DO"/>
              </w:rPr>
            </w:pPr>
            <w:r w:rsidRPr="001E237E">
              <w:rPr>
                <w:rFonts w:eastAsia="Times New Roman"/>
                <w:lang w:val="es-DO" w:eastAsia="es-DO"/>
              </w:rPr>
              <w:t>RD$ 450,000.00</w:t>
            </w:r>
          </w:p>
        </w:tc>
        <w:tc>
          <w:tcPr>
            <w:tcW w:w="435" w:type="pct"/>
            <w:shd w:val="clear" w:color="auto" w:fill="auto"/>
            <w:noWrap/>
            <w:vAlign w:val="center"/>
          </w:tcPr>
          <w:p w14:paraId="75DE6F99" w14:textId="77777777" w:rsidR="00497A7D" w:rsidRPr="001E237E" w:rsidRDefault="00497A7D" w:rsidP="00D13B4F">
            <w:pPr>
              <w:spacing w:after="0" w:line="240" w:lineRule="auto"/>
              <w:jc w:val="center"/>
              <w:rPr>
                <w:rFonts w:eastAsia="Times New Roman"/>
                <w:lang w:val="es-DO" w:eastAsia="es-DO"/>
              </w:rPr>
            </w:pPr>
          </w:p>
        </w:tc>
        <w:tc>
          <w:tcPr>
            <w:tcW w:w="476" w:type="pct"/>
            <w:shd w:val="clear" w:color="auto" w:fill="auto"/>
            <w:noWrap/>
            <w:vAlign w:val="center"/>
          </w:tcPr>
          <w:p w14:paraId="716C3CF6" w14:textId="6D03CBFE" w:rsidR="00497A7D" w:rsidRPr="001E237E" w:rsidRDefault="00497A7D" w:rsidP="00D13B4F">
            <w:pPr>
              <w:spacing w:after="0" w:line="240" w:lineRule="auto"/>
              <w:jc w:val="center"/>
              <w:rPr>
                <w:rFonts w:eastAsia="Times New Roman"/>
                <w:lang w:val="es-DO" w:eastAsia="es-DO"/>
              </w:rPr>
            </w:pPr>
            <w:r w:rsidRPr="001E237E">
              <w:rPr>
                <w:rFonts w:eastAsia="Times New Roman"/>
                <w:lang w:val="es-DO" w:eastAsia="es-DO"/>
              </w:rPr>
              <w:t>RD$ 450,000.00</w:t>
            </w:r>
          </w:p>
        </w:tc>
      </w:tr>
      <w:tr w:rsidR="007400C6" w:rsidRPr="00497A7D" w14:paraId="2BB66BDD" w14:textId="77777777" w:rsidTr="007400C6">
        <w:trPr>
          <w:trHeight w:val="331"/>
        </w:trPr>
        <w:tc>
          <w:tcPr>
            <w:tcW w:w="489" w:type="pct"/>
            <w:shd w:val="clear" w:color="auto" w:fill="auto"/>
            <w:vAlign w:val="center"/>
            <w:hideMark/>
          </w:tcPr>
          <w:p w14:paraId="784C00C5" w14:textId="1475C2E0" w:rsidR="00D13B4F" w:rsidRPr="00D11C11" w:rsidRDefault="00D13B4F" w:rsidP="00D13B4F">
            <w:pPr>
              <w:spacing w:after="0" w:line="240" w:lineRule="auto"/>
              <w:rPr>
                <w:rFonts w:eastAsia="Times New Roman"/>
                <w:b/>
                <w:bCs/>
                <w:lang w:val="es-DO" w:eastAsia="es-DO"/>
              </w:rPr>
            </w:pPr>
            <w:r w:rsidRPr="00D13B4F">
              <w:rPr>
                <w:rFonts w:eastAsia="Times New Roman"/>
                <w:b/>
                <w:bCs/>
                <w:lang w:val="es-DO" w:eastAsia="es-DO"/>
              </w:rPr>
              <w:t xml:space="preserve">Fortalecimiento </w:t>
            </w:r>
            <w:r w:rsidRPr="00D13B4F">
              <w:rPr>
                <w:rFonts w:eastAsia="Times New Roman"/>
                <w:b/>
                <w:bCs/>
                <w:lang w:val="es-DO" w:eastAsia="es-DO"/>
              </w:rPr>
              <w:lastRenderedPageBreak/>
              <w:t>de los valores éticos institucionales</w:t>
            </w:r>
          </w:p>
        </w:tc>
        <w:tc>
          <w:tcPr>
            <w:tcW w:w="193" w:type="pct"/>
            <w:shd w:val="clear" w:color="auto" w:fill="auto"/>
            <w:noWrap/>
            <w:vAlign w:val="center"/>
          </w:tcPr>
          <w:p w14:paraId="16C6877F" w14:textId="3B74B51F" w:rsidR="00D13B4F" w:rsidRPr="001E237E" w:rsidRDefault="00D13B4F" w:rsidP="00D13B4F">
            <w:pPr>
              <w:spacing w:after="0" w:line="240" w:lineRule="auto"/>
              <w:jc w:val="center"/>
              <w:rPr>
                <w:rFonts w:eastAsia="Times New Roman"/>
                <w:lang w:val="es-DO" w:eastAsia="es-DO"/>
              </w:rPr>
            </w:pPr>
          </w:p>
        </w:tc>
        <w:tc>
          <w:tcPr>
            <w:tcW w:w="238" w:type="pct"/>
            <w:shd w:val="clear" w:color="auto" w:fill="auto"/>
            <w:noWrap/>
            <w:vAlign w:val="center"/>
          </w:tcPr>
          <w:p w14:paraId="5948C56A" w14:textId="47EBC86C" w:rsidR="00D13B4F" w:rsidRPr="001E237E" w:rsidRDefault="00D13B4F" w:rsidP="00D13B4F">
            <w:pPr>
              <w:spacing w:after="0" w:line="240" w:lineRule="auto"/>
              <w:jc w:val="center"/>
              <w:rPr>
                <w:rFonts w:eastAsia="Times New Roman"/>
                <w:lang w:val="es-DO" w:eastAsia="es-DO"/>
              </w:rPr>
            </w:pPr>
          </w:p>
        </w:tc>
        <w:tc>
          <w:tcPr>
            <w:tcW w:w="449" w:type="pct"/>
            <w:shd w:val="clear" w:color="auto" w:fill="auto"/>
            <w:noWrap/>
            <w:vAlign w:val="center"/>
          </w:tcPr>
          <w:p w14:paraId="57CA48C6" w14:textId="48FA5DC2" w:rsidR="00D13B4F" w:rsidRPr="001E237E" w:rsidRDefault="00D13B4F" w:rsidP="00D13B4F">
            <w:pPr>
              <w:spacing w:after="0" w:line="240" w:lineRule="auto"/>
              <w:jc w:val="center"/>
              <w:rPr>
                <w:rFonts w:eastAsia="Times New Roman"/>
                <w:lang w:val="es-DO" w:eastAsia="es-DO"/>
              </w:rPr>
            </w:pPr>
          </w:p>
        </w:tc>
        <w:tc>
          <w:tcPr>
            <w:tcW w:w="178" w:type="pct"/>
            <w:shd w:val="clear" w:color="auto" w:fill="auto"/>
            <w:noWrap/>
            <w:vAlign w:val="center"/>
          </w:tcPr>
          <w:p w14:paraId="0656C8E6" w14:textId="215EB2B4" w:rsidR="00D13B4F" w:rsidRPr="001E237E" w:rsidRDefault="00D13B4F" w:rsidP="00D13B4F">
            <w:pPr>
              <w:spacing w:after="0" w:line="240" w:lineRule="auto"/>
              <w:jc w:val="center"/>
              <w:rPr>
                <w:rFonts w:eastAsia="Times New Roman"/>
                <w:lang w:val="es-DO" w:eastAsia="es-DO"/>
              </w:rPr>
            </w:pPr>
          </w:p>
        </w:tc>
        <w:tc>
          <w:tcPr>
            <w:tcW w:w="393" w:type="pct"/>
            <w:shd w:val="clear" w:color="auto" w:fill="auto"/>
            <w:noWrap/>
            <w:vAlign w:val="center"/>
          </w:tcPr>
          <w:p w14:paraId="4A65C16C" w14:textId="7780C050" w:rsidR="00D13B4F" w:rsidRPr="001E237E" w:rsidRDefault="00D13B4F" w:rsidP="00D13B4F">
            <w:pPr>
              <w:spacing w:after="0" w:line="240" w:lineRule="auto"/>
              <w:jc w:val="center"/>
              <w:rPr>
                <w:rFonts w:eastAsia="Times New Roman"/>
                <w:lang w:val="es-DO" w:eastAsia="es-DO"/>
              </w:rPr>
            </w:pPr>
          </w:p>
        </w:tc>
        <w:tc>
          <w:tcPr>
            <w:tcW w:w="476" w:type="pct"/>
            <w:shd w:val="clear" w:color="auto" w:fill="auto"/>
            <w:noWrap/>
            <w:vAlign w:val="center"/>
          </w:tcPr>
          <w:p w14:paraId="3CBA29F8" w14:textId="42DEC6E3" w:rsidR="00D13B4F" w:rsidRPr="001E237E" w:rsidRDefault="00D13B4F" w:rsidP="00D13B4F">
            <w:pPr>
              <w:spacing w:after="0" w:line="240" w:lineRule="auto"/>
              <w:jc w:val="center"/>
              <w:rPr>
                <w:rFonts w:eastAsia="Times New Roman"/>
                <w:lang w:val="es-DO" w:eastAsia="es-DO"/>
              </w:rPr>
            </w:pPr>
          </w:p>
        </w:tc>
        <w:tc>
          <w:tcPr>
            <w:tcW w:w="170" w:type="pct"/>
            <w:shd w:val="clear" w:color="auto" w:fill="auto"/>
            <w:noWrap/>
            <w:vAlign w:val="center"/>
          </w:tcPr>
          <w:p w14:paraId="4CE8F1D9" w14:textId="6C9247F1" w:rsidR="00D13B4F" w:rsidRPr="001E237E" w:rsidRDefault="00D13B4F" w:rsidP="00D13B4F">
            <w:pPr>
              <w:spacing w:after="0" w:line="240" w:lineRule="auto"/>
              <w:jc w:val="center"/>
              <w:rPr>
                <w:rFonts w:eastAsia="Times New Roman"/>
                <w:lang w:val="es-DO" w:eastAsia="es-DO"/>
              </w:rPr>
            </w:pPr>
          </w:p>
        </w:tc>
        <w:tc>
          <w:tcPr>
            <w:tcW w:w="212" w:type="pct"/>
            <w:shd w:val="clear" w:color="auto" w:fill="auto"/>
            <w:noWrap/>
            <w:vAlign w:val="center"/>
          </w:tcPr>
          <w:p w14:paraId="1F92FB1C" w14:textId="1E48DEA6" w:rsidR="00D13B4F" w:rsidRPr="001E237E" w:rsidRDefault="00D13B4F" w:rsidP="00D13B4F">
            <w:pPr>
              <w:spacing w:after="0" w:line="240" w:lineRule="auto"/>
              <w:jc w:val="center"/>
              <w:rPr>
                <w:rFonts w:eastAsia="Times New Roman"/>
                <w:lang w:val="es-DO" w:eastAsia="es-DO"/>
              </w:rPr>
            </w:pPr>
          </w:p>
        </w:tc>
        <w:tc>
          <w:tcPr>
            <w:tcW w:w="393" w:type="pct"/>
            <w:shd w:val="clear" w:color="auto" w:fill="auto"/>
            <w:noWrap/>
            <w:vAlign w:val="center"/>
          </w:tcPr>
          <w:p w14:paraId="64B81C83" w14:textId="2AE805B2" w:rsidR="00D13B4F" w:rsidRPr="001E237E" w:rsidRDefault="001E237E" w:rsidP="00D13B4F">
            <w:pPr>
              <w:spacing w:after="0" w:line="240" w:lineRule="auto"/>
              <w:jc w:val="center"/>
              <w:rPr>
                <w:rFonts w:eastAsia="Times New Roman"/>
                <w:lang w:val="es-DO" w:eastAsia="es-DO"/>
              </w:rPr>
            </w:pPr>
            <w:r w:rsidRPr="001E237E">
              <w:rPr>
                <w:rFonts w:eastAsia="Times New Roman"/>
                <w:lang w:val="es-DO" w:eastAsia="es-DO"/>
              </w:rPr>
              <w:t>100%</w:t>
            </w:r>
          </w:p>
        </w:tc>
        <w:tc>
          <w:tcPr>
            <w:tcW w:w="449" w:type="pct"/>
            <w:shd w:val="clear" w:color="auto" w:fill="auto"/>
            <w:noWrap/>
            <w:vAlign w:val="center"/>
          </w:tcPr>
          <w:p w14:paraId="062AC867" w14:textId="312458FE" w:rsidR="00D13B4F" w:rsidRPr="001E237E" w:rsidRDefault="00D13B4F" w:rsidP="00D13B4F">
            <w:pPr>
              <w:spacing w:after="0" w:line="240" w:lineRule="auto"/>
              <w:jc w:val="center"/>
              <w:rPr>
                <w:rFonts w:eastAsia="Times New Roman"/>
                <w:lang w:val="es-DO" w:eastAsia="es-DO"/>
              </w:rPr>
            </w:pPr>
          </w:p>
        </w:tc>
        <w:tc>
          <w:tcPr>
            <w:tcW w:w="449" w:type="pct"/>
            <w:shd w:val="clear" w:color="auto" w:fill="auto"/>
            <w:noWrap/>
            <w:vAlign w:val="center"/>
          </w:tcPr>
          <w:p w14:paraId="3256BFBB" w14:textId="346F6938" w:rsidR="00D13B4F" w:rsidRPr="001E237E" w:rsidRDefault="00D13B4F" w:rsidP="00D13B4F">
            <w:pPr>
              <w:spacing w:after="0" w:line="240" w:lineRule="auto"/>
              <w:jc w:val="center"/>
              <w:rPr>
                <w:rFonts w:eastAsia="Times New Roman"/>
                <w:lang w:val="es-DO" w:eastAsia="es-DO"/>
              </w:rPr>
            </w:pPr>
          </w:p>
        </w:tc>
        <w:tc>
          <w:tcPr>
            <w:tcW w:w="435" w:type="pct"/>
            <w:shd w:val="clear" w:color="auto" w:fill="auto"/>
            <w:noWrap/>
            <w:vAlign w:val="center"/>
          </w:tcPr>
          <w:p w14:paraId="45063822" w14:textId="7FC49AB1" w:rsidR="00D13B4F" w:rsidRPr="001E237E" w:rsidRDefault="00D13B4F" w:rsidP="00D13B4F">
            <w:pPr>
              <w:spacing w:after="0" w:line="240" w:lineRule="auto"/>
              <w:jc w:val="center"/>
              <w:rPr>
                <w:rFonts w:eastAsia="Times New Roman"/>
                <w:lang w:val="es-DO" w:eastAsia="es-DO"/>
              </w:rPr>
            </w:pPr>
          </w:p>
        </w:tc>
        <w:tc>
          <w:tcPr>
            <w:tcW w:w="476" w:type="pct"/>
            <w:shd w:val="clear" w:color="auto" w:fill="auto"/>
            <w:noWrap/>
            <w:vAlign w:val="center"/>
          </w:tcPr>
          <w:p w14:paraId="1AA449F8" w14:textId="497C4480" w:rsidR="00D13B4F" w:rsidRPr="001E237E" w:rsidRDefault="001E237E" w:rsidP="00D13B4F">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32D07121" w14:textId="77777777" w:rsidTr="007400C6">
        <w:trPr>
          <w:trHeight w:val="331"/>
        </w:trPr>
        <w:tc>
          <w:tcPr>
            <w:tcW w:w="489" w:type="pct"/>
            <w:shd w:val="clear" w:color="auto" w:fill="auto"/>
            <w:vAlign w:val="center"/>
          </w:tcPr>
          <w:p w14:paraId="1054BCAD" w14:textId="62F4C25F" w:rsidR="004C43F1" w:rsidRPr="00D13B4F" w:rsidRDefault="00D13B4F" w:rsidP="003A11A2">
            <w:pPr>
              <w:spacing w:after="0" w:line="240" w:lineRule="auto"/>
              <w:rPr>
                <w:rFonts w:eastAsia="Times New Roman"/>
                <w:b/>
                <w:bCs/>
                <w:lang w:val="es-DO" w:eastAsia="es-DO"/>
              </w:rPr>
            </w:pPr>
            <w:r w:rsidRPr="00D13B4F">
              <w:rPr>
                <w:rFonts w:eastAsia="Times New Roman"/>
                <w:b/>
                <w:bCs/>
                <w:lang w:val="es-DO" w:eastAsia="es-DO"/>
              </w:rPr>
              <w:t>Acercamiento al Usuario (Fase III)</w:t>
            </w:r>
          </w:p>
        </w:tc>
        <w:tc>
          <w:tcPr>
            <w:tcW w:w="193" w:type="pct"/>
            <w:shd w:val="clear" w:color="auto" w:fill="auto"/>
            <w:noWrap/>
            <w:vAlign w:val="center"/>
          </w:tcPr>
          <w:p w14:paraId="1DD705F4" w14:textId="69E05EFF" w:rsidR="004C43F1" w:rsidRPr="001E237E" w:rsidRDefault="004C43F1" w:rsidP="003A11A2">
            <w:pPr>
              <w:spacing w:after="0" w:line="240" w:lineRule="auto"/>
              <w:jc w:val="center"/>
              <w:rPr>
                <w:rFonts w:eastAsia="Times New Roman"/>
                <w:lang w:val="es-DO" w:eastAsia="es-DO"/>
              </w:rPr>
            </w:pPr>
          </w:p>
        </w:tc>
        <w:tc>
          <w:tcPr>
            <w:tcW w:w="238" w:type="pct"/>
            <w:shd w:val="clear" w:color="auto" w:fill="auto"/>
            <w:noWrap/>
            <w:vAlign w:val="center"/>
          </w:tcPr>
          <w:p w14:paraId="5D0C1198" w14:textId="6578E46F" w:rsidR="004C43F1" w:rsidRPr="001E237E" w:rsidRDefault="004C43F1" w:rsidP="003A11A2">
            <w:pPr>
              <w:spacing w:after="0" w:line="240" w:lineRule="auto"/>
              <w:jc w:val="center"/>
              <w:rPr>
                <w:rFonts w:eastAsia="Times New Roman"/>
                <w:lang w:val="es-DO" w:eastAsia="es-DO"/>
              </w:rPr>
            </w:pPr>
          </w:p>
        </w:tc>
        <w:tc>
          <w:tcPr>
            <w:tcW w:w="449" w:type="pct"/>
            <w:shd w:val="clear" w:color="auto" w:fill="auto"/>
            <w:noWrap/>
            <w:vAlign w:val="center"/>
          </w:tcPr>
          <w:p w14:paraId="330BD7A6" w14:textId="3D5E4B3B" w:rsidR="004C43F1" w:rsidRPr="001E237E" w:rsidRDefault="004C43F1" w:rsidP="003A11A2">
            <w:pPr>
              <w:spacing w:after="0" w:line="240" w:lineRule="auto"/>
              <w:jc w:val="center"/>
              <w:rPr>
                <w:rFonts w:eastAsia="Times New Roman"/>
                <w:lang w:val="es-DO" w:eastAsia="es-DO"/>
              </w:rPr>
            </w:pPr>
          </w:p>
        </w:tc>
        <w:tc>
          <w:tcPr>
            <w:tcW w:w="178" w:type="pct"/>
            <w:shd w:val="clear" w:color="auto" w:fill="auto"/>
            <w:noWrap/>
            <w:vAlign w:val="center"/>
          </w:tcPr>
          <w:p w14:paraId="685CD691" w14:textId="00B1BAF7" w:rsidR="004C43F1" w:rsidRPr="001E237E" w:rsidRDefault="004C43F1" w:rsidP="003A11A2">
            <w:pPr>
              <w:spacing w:after="0" w:line="240" w:lineRule="auto"/>
              <w:jc w:val="center"/>
              <w:rPr>
                <w:rFonts w:eastAsia="Times New Roman"/>
                <w:lang w:val="es-DO" w:eastAsia="es-DO"/>
              </w:rPr>
            </w:pPr>
          </w:p>
        </w:tc>
        <w:tc>
          <w:tcPr>
            <w:tcW w:w="393" w:type="pct"/>
            <w:shd w:val="clear" w:color="auto" w:fill="auto"/>
            <w:noWrap/>
            <w:vAlign w:val="center"/>
          </w:tcPr>
          <w:p w14:paraId="4CA05BA8" w14:textId="34AA34A0" w:rsidR="004C43F1" w:rsidRPr="001E237E" w:rsidRDefault="004C43F1" w:rsidP="003A11A2">
            <w:pPr>
              <w:spacing w:after="0" w:line="240" w:lineRule="auto"/>
              <w:jc w:val="center"/>
              <w:rPr>
                <w:rFonts w:eastAsia="Times New Roman"/>
                <w:lang w:val="es-DO" w:eastAsia="es-DO"/>
              </w:rPr>
            </w:pPr>
          </w:p>
        </w:tc>
        <w:tc>
          <w:tcPr>
            <w:tcW w:w="476" w:type="pct"/>
            <w:shd w:val="clear" w:color="auto" w:fill="auto"/>
            <w:noWrap/>
            <w:vAlign w:val="center"/>
          </w:tcPr>
          <w:p w14:paraId="3EE913D9" w14:textId="0C88957E" w:rsidR="004C43F1" w:rsidRPr="001E237E" w:rsidRDefault="00D74F69" w:rsidP="003A11A2">
            <w:pPr>
              <w:spacing w:after="0" w:line="240" w:lineRule="auto"/>
              <w:jc w:val="center"/>
              <w:rPr>
                <w:rFonts w:eastAsia="Times New Roman"/>
                <w:lang w:val="es-DO" w:eastAsia="es-DO"/>
              </w:rPr>
            </w:pPr>
            <w:r>
              <w:rPr>
                <w:rFonts w:eastAsia="Times New Roman"/>
                <w:lang w:val="es-DO" w:eastAsia="es-DO"/>
              </w:rPr>
              <w:t>100%</w:t>
            </w:r>
          </w:p>
        </w:tc>
        <w:tc>
          <w:tcPr>
            <w:tcW w:w="170" w:type="pct"/>
            <w:shd w:val="clear" w:color="auto" w:fill="auto"/>
            <w:noWrap/>
            <w:vAlign w:val="center"/>
          </w:tcPr>
          <w:p w14:paraId="0EAB412E" w14:textId="26F60AD0" w:rsidR="004C43F1" w:rsidRPr="001E237E" w:rsidRDefault="004C43F1" w:rsidP="003A11A2">
            <w:pPr>
              <w:spacing w:after="0" w:line="240" w:lineRule="auto"/>
              <w:jc w:val="center"/>
              <w:rPr>
                <w:rFonts w:eastAsia="Times New Roman"/>
                <w:lang w:val="es-DO" w:eastAsia="es-DO"/>
              </w:rPr>
            </w:pPr>
          </w:p>
        </w:tc>
        <w:tc>
          <w:tcPr>
            <w:tcW w:w="212" w:type="pct"/>
            <w:shd w:val="clear" w:color="auto" w:fill="auto"/>
            <w:noWrap/>
            <w:vAlign w:val="center"/>
          </w:tcPr>
          <w:p w14:paraId="5AF030EA" w14:textId="63574B71" w:rsidR="004C43F1" w:rsidRPr="001E237E" w:rsidRDefault="004C43F1" w:rsidP="003A11A2">
            <w:pPr>
              <w:spacing w:after="0" w:line="240" w:lineRule="auto"/>
              <w:jc w:val="center"/>
              <w:rPr>
                <w:rFonts w:eastAsia="Times New Roman"/>
                <w:lang w:val="es-DO" w:eastAsia="es-DO"/>
              </w:rPr>
            </w:pPr>
          </w:p>
        </w:tc>
        <w:tc>
          <w:tcPr>
            <w:tcW w:w="393" w:type="pct"/>
            <w:shd w:val="clear" w:color="auto" w:fill="auto"/>
            <w:noWrap/>
            <w:vAlign w:val="center"/>
          </w:tcPr>
          <w:p w14:paraId="4B916B7B" w14:textId="0DE9F48C" w:rsidR="004C43F1" w:rsidRPr="001E237E" w:rsidRDefault="004C43F1" w:rsidP="003A11A2">
            <w:pPr>
              <w:spacing w:after="0" w:line="240" w:lineRule="auto"/>
              <w:jc w:val="center"/>
              <w:rPr>
                <w:rFonts w:eastAsia="Times New Roman"/>
                <w:lang w:val="es-DO" w:eastAsia="es-DO"/>
              </w:rPr>
            </w:pPr>
          </w:p>
        </w:tc>
        <w:tc>
          <w:tcPr>
            <w:tcW w:w="449" w:type="pct"/>
            <w:shd w:val="clear" w:color="auto" w:fill="auto"/>
            <w:noWrap/>
            <w:vAlign w:val="center"/>
          </w:tcPr>
          <w:p w14:paraId="24D52BCC" w14:textId="77A4F222" w:rsidR="004C43F1" w:rsidRPr="001E237E" w:rsidRDefault="004C43F1" w:rsidP="003A11A2">
            <w:pPr>
              <w:spacing w:after="0" w:line="240" w:lineRule="auto"/>
              <w:jc w:val="center"/>
              <w:rPr>
                <w:rFonts w:eastAsia="Times New Roman"/>
                <w:lang w:val="es-DO" w:eastAsia="es-DO"/>
              </w:rPr>
            </w:pPr>
          </w:p>
        </w:tc>
        <w:tc>
          <w:tcPr>
            <w:tcW w:w="449" w:type="pct"/>
            <w:shd w:val="clear" w:color="auto" w:fill="auto"/>
            <w:noWrap/>
            <w:vAlign w:val="center"/>
          </w:tcPr>
          <w:p w14:paraId="20FDE9FB" w14:textId="328D73EC" w:rsidR="004C43F1" w:rsidRPr="001E237E" w:rsidRDefault="004C43F1" w:rsidP="003A11A2">
            <w:pPr>
              <w:spacing w:after="0" w:line="240" w:lineRule="auto"/>
              <w:jc w:val="center"/>
              <w:rPr>
                <w:rFonts w:eastAsia="Times New Roman"/>
                <w:lang w:val="es-DO" w:eastAsia="es-DO"/>
              </w:rPr>
            </w:pPr>
          </w:p>
        </w:tc>
        <w:tc>
          <w:tcPr>
            <w:tcW w:w="435" w:type="pct"/>
            <w:shd w:val="clear" w:color="auto" w:fill="auto"/>
            <w:noWrap/>
            <w:vAlign w:val="center"/>
          </w:tcPr>
          <w:p w14:paraId="480616DA" w14:textId="6A35F1E3" w:rsidR="004C43F1" w:rsidRPr="001E237E" w:rsidRDefault="004C43F1" w:rsidP="003A11A2">
            <w:pPr>
              <w:spacing w:after="0" w:line="240" w:lineRule="auto"/>
              <w:jc w:val="center"/>
              <w:rPr>
                <w:rFonts w:eastAsia="Times New Roman"/>
                <w:lang w:val="es-DO" w:eastAsia="es-DO"/>
              </w:rPr>
            </w:pPr>
          </w:p>
        </w:tc>
        <w:tc>
          <w:tcPr>
            <w:tcW w:w="476" w:type="pct"/>
            <w:shd w:val="clear" w:color="auto" w:fill="auto"/>
            <w:noWrap/>
            <w:vAlign w:val="center"/>
          </w:tcPr>
          <w:p w14:paraId="2CA78CC7" w14:textId="4344DAB9" w:rsidR="004C43F1" w:rsidRPr="001E237E" w:rsidRDefault="00D74F69" w:rsidP="003A11A2">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6D5CBB65" w14:textId="77777777" w:rsidTr="007400C6">
        <w:trPr>
          <w:trHeight w:val="331"/>
        </w:trPr>
        <w:tc>
          <w:tcPr>
            <w:tcW w:w="489" w:type="pct"/>
            <w:shd w:val="clear" w:color="auto" w:fill="auto"/>
            <w:vAlign w:val="center"/>
          </w:tcPr>
          <w:p w14:paraId="3FDE5E6A" w14:textId="2BA3EC84" w:rsidR="00D74F69" w:rsidRPr="00D74F69" w:rsidRDefault="00D74F69" w:rsidP="003A11A2">
            <w:pPr>
              <w:spacing w:after="0" w:line="240" w:lineRule="auto"/>
              <w:rPr>
                <w:rFonts w:eastAsia="Times New Roman"/>
                <w:lang w:val="es-DO" w:eastAsia="es-DO"/>
              </w:rPr>
            </w:pPr>
            <w:r w:rsidRPr="00D74F69">
              <w:rPr>
                <w:rFonts w:eastAsia="Times New Roman"/>
                <w:lang w:val="es-DO" w:eastAsia="es-DO"/>
              </w:rPr>
              <w:t>Inversión producto - Acercamiento al Usuario (Fase III)</w:t>
            </w:r>
          </w:p>
        </w:tc>
        <w:tc>
          <w:tcPr>
            <w:tcW w:w="193" w:type="pct"/>
            <w:shd w:val="clear" w:color="auto" w:fill="auto"/>
            <w:noWrap/>
            <w:vAlign w:val="center"/>
          </w:tcPr>
          <w:p w14:paraId="50D8CDF7" w14:textId="77777777" w:rsidR="00D74F69" w:rsidRPr="001E237E" w:rsidRDefault="00D74F69" w:rsidP="003A11A2">
            <w:pPr>
              <w:spacing w:after="0" w:line="240" w:lineRule="auto"/>
              <w:jc w:val="center"/>
              <w:rPr>
                <w:rFonts w:eastAsia="Times New Roman"/>
                <w:lang w:val="es-DO" w:eastAsia="es-DO"/>
              </w:rPr>
            </w:pPr>
          </w:p>
        </w:tc>
        <w:tc>
          <w:tcPr>
            <w:tcW w:w="238" w:type="pct"/>
            <w:shd w:val="clear" w:color="auto" w:fill="auto"/>
            <w:noWrap/>
            <w:vAlign w:val="center"/>
          </w:tcPr>
          <w:p w14:paraId="2862652F" w14:textId="77777777" w:rsidR="00D74F69" w:rsidRPr="001E237E" w:rsidRDefault="00D74F69" w:rsidP="003A11A2">
            <w:pPr>
              <w:spacing w:after="0" w:line="240" w:lineRule="auto"/>
              <w:jc w:val="center"/>
              <w:rPr>
                <w:rFonts w:eastAsia="Times New Roman"/>
                <w:lang w:val="es-DO" w:eastAsia="es-DO"/>
              </w:rPr>
            </w:pPr>
          </w:p>
        </w:tc>
        <w:tc>
          <w:tcPr>
            <w:tcW w:w="449" w:type="pct"/>
            <w:shd w:val="clear" w:color="auto" w:fill="auto"/>
            <w:noWrap/>
            <w:vAlign w:val="center"/>
          </w:tcPr>
          <w:p w14:paraId="61D0777E" w14:textId="77777777" w:rsidR="00D74F69" w:rsidRPr="001E237E" w:rsidRDefault="00D74F69" w:rsidP="003A11A2">
            <w:pPr>
              <w:spacing w:after="0" w:line="240" w:lineRule="auto"/>
              <w:jc w:val="center"/>
              <w:rPr>
                <w:rFonts w:eastAsia="Times New Roman"/>
                <w:lang w:val="es-DO" w:eastAsia="es-DO"/>
              </w:rPr>
            </w:pPr>
          </w:p>
        </w:tc>
        <w:tc>
          <w:tcPr>
            <w:tcW w:w="178" w:type="pct"/>
            <w:shd w:val="clear" w:color="auto" w:fill="auto"/>
            <w:noWrap/>
            <w:vAlign w:val="center"/>
          </w:tcPr>
          <w:p w14:paraId="1584F830" w14:textId="77777777" w:rsidR="00D74F69" w:rsidRPr="001E237E" w:rsidRDefault="00D74F69" w:rsidP="003A11A2">
            <w:pPr>
              <w:spacing w:after="0" w:line="240" w:lineRule="auto"/>
              <w:jc w:val="center"/>
              <w:rPr>
                <w:rFonts w:eastAsia="Times New Roman"/>
                <w:lang w:val="es-DO" w:eastAsia="es-DO"/>
              </w:rPr>
            </w:pPr>
          </w:p>
        </w:tc>
        <w:tc>
          <w:tcPr>
            <w:tcW w:w="393" w:type="pct"/>
            <w:shd w:val="clear" w:color="auto" w:fill="auto"/>
            <w:noWrap/>
            <w:vAlign w:val="center"/>
          </w:tcPr>
          <w:p w14:paraId="293213FE" w14:textId="77777777" w:rsidR="00D74F69" w:rsidRPr="001E237E" w:rsidRDefault="00D74F69" w:rsidP="003A11A2">
            <w:pPr>
              <w:spacing w:after="0" w:line="240" w:lineRule="auto"/>
              <w:jc w:val="center"/>
              <w:rPr>
                <w:rFonts w:eastAsia="Times New Roman"/>
                <w:lang w:val="es-DO" w:eastAsia="es-DO"/>
              </w:rPr>
            </w:pPr>
          </w:p>
        </w:tc>
        <w:tc>
          <w:tcPr>
            <w:tcW w:w="476" w:type="pct"/>
            <w:shd w:val="clear" w:color="auto" w:fill="auto"/>
            <w:noWrap/>
            <w:vAlign w:val="center"/>
          </w:tcPr>
          <w:p w14:paraId="0135C6DA" w14:textId="63413FB0" w:rsidR="00D74F69" w:rsidRDefault="00D74F69" w:rsidP="003A11A2">
            <w:pPr>
              <w:spacing w:after="0" w:line="240" w:lineRule="auto"/>
              <w:jc w:val="center"/>
              <w:rPr>
                <w:rFonts w:eastAsia="Times New Roman"/>
                <w:lang w:val="es-DO" w:eastAsia="es-DO"/>
              </w:rPr>
            </w:pPr>
            <w:r>
              <w:rPr>
                <w:rFonts w:eastAsia="Times New Roman"/>
                <w:lang w:val="es-DO" w:eastAsia="es-DO"/>
              </w:rPr>
              <w:t xml:space="preserve">RD$ </w:t>
            </w:r>
            <w:r w:rsidRPr="00D74F69">
              <w:rPr>
                <w:rFonts w:eastAsia="Times New Roman"/>
                <w:lang w:val="es-DO" w:eastAsia="es-DO"/>
              </w:rPr>
              <w:t>30,572,718.00</w:t>
            </w:r>
          </w:p>
        </w:tc>
        <w:tc>
          <w:tcPr>
            <w:tcW w:w="170" w:type="pct"/>
            <w:shd w:val="clear" w:color="auto" w:fill="auto"/>
            <w:noWrap/>
            <w:vAlign w:val="center"/>
          </w:tcPr>
          <w:p w14:paraId="071A48EE" w14:textId="77777777" w:rsidR="00D74F69" w:rsidRPr="001E237E" w:rsidRDefault="00D74F69" w:rsidP="003A11A2">
            <w:pPr>
              <w:spacing w:after="0" w:line="240" w:lineRule="auto"/>
              <w:jc w:val="center"/>
              <w:rPr>
                <w:rFonts w:eastAsia="Times New Roman"/>
                <w:lang w:val="es-DO" w:eastAsia="es-DO"/>
              </w:rPr>
            </w:pPr>
          </w:p>
        </w:tc>
        <w:tc>
          <w:tcPr>
            <w:tcW w:w="212" w:type="pct"/>
            <w:shd w:val="clear" w:color="auto" w:fill="auto"/>
            <w:noWrap/>
            <w:vAlign w:val="center"/>
          </w:tcPr>
          <w:p w14:paraId="166C7AA0" w14:textId="77777777" w:rsidR="00D74F69" w:rsidRPr="001E237E" w:rsidRDefault="00D74F69" w:rsidP="003A11A2">
            <w:pPr>
              <w:spacing w:after="0" w:line="240" w:lineRule="auto"/>
              <w:jc w:val="center"/>
              <w:rPr>
                <w:rFonts w:eastAsia="Times New Roman"/>
                <w:lang w:val="es-DO" w:eastAsia="es-DO"/>
              </w:rPr>
            </w:pPr>
          </w:p>
        </w:tc>
        <w:tc>
          <w:tcPr>
            <w:tcW w:w="393" w:type="pct"/>
            <w:shd w:val="clear" w:color="auto" w:fill="auto"/>
            <w:noWrap/>
            <w:vAlign w:val="center"/>
          </w:tcPr>
          <w:p w14:paraId="5AA918E3" w14:textId="77777777" w:rsidR="00D74F69" w:rsidRPr="001E237E" w:rsidRDefault="00D74F69" w:rsidP="003A11A2">
            <w:pPr>
              <w:spacing w:after="0" w:line="240" w:lineRule="auto"/>
              <w:jc w:val="center"/>
              <w:rPr>
                <w:rFonts w:eastAsia="Times New Roman"/>
                <w:lang w:val="es-DO" w:eastAsia="es-DO"/>
              </w:rPr>
            </w:pPr>
          </w:p>
        </w:tc>
        <w:tc>
          <w:tcPr>
            <w:tcW w:w="449" w:type="pct"/>
            <w:shd w:val="clear" w:color="auto" w:fill="auto"/>
            <w:noWrap/>
            <w:vAlign w:val="center"/>
          </w:tcPr>
          <w:p w14:paraId="242CACF9" w14:textId="77777777" w:rsidR="00D74F69" w:rsidRPr="001E237E" w:rsidRDefault="00D74F69" w:rsidP="003A11A2">
            <w:pPr>
              <w:spacing w:after="0" w:line="240" w:lineRule="auto"/>
              <w:jc w:val="center"/>
              <w:rPr>
                <w:rFonts w:eastAsia="Times New Roman"/>
                <w:lang w:val="es-DO" w:eastAsia="es-DO"/>
              </w:rPr>
            </w:pPr>
          </w:p>
        </w:tc>
        <w:tc>
          <w:tcPr>
            <w:tcW w:w="449" w:type="pct"/>
            <w:shd w:val="clear" w:color="auto" w:fill="auto"/>
            <w:noWrap/>
            <w:vAlign w:val="center"/>
          </w:tcPr>
          <w:p w14:paraId="60F488D9" w14:textId="77777777" w:rsidR="00D74F69" w:rsidRPr="001E237E" w:rsidRDefault="00D74F69" w:rsidP="003A11A2">
            <w:pPr>
              <w:spacing w:after="0" w:line="240" w:lineRule="auto"/>
              <w:jc w:val="center"/>
              <w:rPr>
                <w:rFonts w:eastAsia="Times New Roman"/>
                <w:lang w:val="es-DO" w:eastAsia="es-DO"/>
              </w:rPr>
            </w:pPr>
          </w:p>
        </w:tc>
        <w:tc>
          <w:tcPr>
            <w:tcW w:w="435" w:type="pct"/>
            <w:shd w:val="clear" w:color="auto" w:fill="auto"/>
            <w:noWrap/>
            <w:vAlign w:val="center"/>
          </w:tcPr>
          <w:p w14:paraId="2032D61C" w14:textId="77777777" w:rsidR="00D74F69" w:rsidRPr="001E237E" w:rsidRDefault="00D74F69" w:rsidP="003A11A2">
            <w:pPr>
              <w:spacing w:after="0" w:line="240" w:lineRule="auto"/>
              <w:jc w:val="center"/>
              <w:rPr>
                <w:rFonts w:eastAsia="Times New Roman"/>
                <w:lang w:val="es-DO" w:eastAsia="es-DO"/>
              </w:rPr>
            </w:pPr>
          </w:p>
        </w:tc>
        <w:tc>
          <w:tcPr>
            <w:tcW w:w="476" w:type="pct"/>
            <w:shd w:val="clear" w:color="auto" w:fill="auto"/>
            <w:noWrap/>
            <w:vAlign w:val="center"/>
          </w:tcPr>
          <w:p w14:paraId="594CAB84" w14:textId="593540F7" w:rsidR="00D74F69" w:rsidRPr="001E237E" w:rsidRDefault="00D74F69" w:rsidP="003A11A2">
            <w:pPr>
              <w:spacing w:after="0" w:line="240" w:lineRule="auto"/>
              <w:jc w:val="center"/>
              <w:rPr>
                <w:rFonts w:eastAsia="Times New Roman"/>
                <w:lang w:val="es-DO" w:eastAsia="es-DO"/>
              </w:rPr>
            </w:pPr>
            <w:r>
              <w:rPr>
                <w:rFonts w:eastAsia="Times New Roman"/>
                <w:lang w:val="es-DO" w:eastAsia="es-DO"/>
              </w:rPr>
              <w:t xml:space="preserve">RD$ </w:t>
            </w:r>
            <w:r>
              <w:t>30,572,718.00</w:t>
            </w:r>
          </w:p>
        </w:tc>
      </w:tr>
      <w:tr w:rsidR="007400C6" w:rsidRPr="00D13B4F" w14:paraId="5A42DF7D" w14:textId="77777777" w:rsidTr="007400C6">
        <w:trPr>
          <w:trHeight w:val="331"/>
        </w:trPr>
        <w:tc>
          <w:tcPr>
            <w:tcW w:w="489" w:type="pct"/>
            <w:shd w:val="clear" w:color="auto" w:fill="auto"/>
            <w:vAlign w:val="center"/>
          </w:tcPr>
          <w:p w14:paraId="0190D9BB" w14:textId="0B9D1EB2" w:rsidR="004C43F1" w:rsidRPr="00D11C11" w:rsidRDefault="00D13B4F" w:rsidP="003A11A2">
            <w:pPr>
              <w:spacing w:after="0" w:line="240" w:lineRule="auto"/>
              <w:rPr>
                <w:rFonts w:eastAsia="Times New Roman"/>
                <w:b/>
                <w:bCs/>
                <w:lang w:val="es-DO" w:eastAsia="es-DO"/>
              </w:rPr>
            </w:pPr>
            <w:r w:rsidRPr="00D13B4F">
              <w:rPr>
                <w:rFonts w:eastAsia="Times New Roman"/>
                <w:b/>
                <w:bCs/>
                <w:lang w:val="es-DO" w:eastAsia="es-DO"/>
              </w:rPr>
              <w:t xml:space="preserve">Interoperabilidad Consultoría jurídica </w:t>
            </w:r>
            <w:r w:rsidRPr="00D13B4F">
              <w:rPr>
                <w:rFonts w:eastAsia="Times New Roman"/>
                <w:b/>
                <w:bCs/>
                <w:lang w:val="es-DO" w:eastAsia="es-DO"/>
              </w:rPr>
              <w:lastRenderedPageBreak/>
              <w:t>de la SB – Dirección Nacional de Registro de Títulos</w:t>
            </w:r>
          </w:p>
        </w:tc>
        <w:tc>
          <w:tcPr>
            <w:tcW w:w="193" w:type="pct"/>
            <w:shd w:val="clear" w:color="auto" w:fill="auto"/>
            <w:noWrap/>
            <w:vAlign w:val="center"/>
          </w:tcPr>
          <w:p w14:paraId="2CFD8D23" w14:textId="05507A8F" w:rsidR="004C43F1" w:rsidRPr="00D11C11" w:rsidRDefault="004C43F1" w:rsidP="003A11A2">
            <w:pPr>
              <w:spacing w:after="0" w:line="240" w:lineRule="auto"/>
              <w:jc w:val="center"/>
              <w:rPr>
                <w:rFonts w:eastAsia="Times New Roman"/>
                <w:lang w:val="es-DO" w:eastAsia="es-DO"/>
              </w:rPr>
            </w:pPr>
          </w:p>
        </w:tc>
        <w:tc>
          <w:tcPr>
            <w:tcW w:w="238" w:type="pct"/>
            <w:shd w:val="clear" w:color="auto" w:fill="auto"/>
            <w:noWrap/>
            <w:vAlign w:val="center"/>
          </w:tcPr>
          <w:p w14:paraId="161C4605" w14:textId="67F38C0B" w:rsidR="004C43F1" w:rsidRPr="00D11C11" w:rsidRDefault="004C43F1" w:rsidP="003A11A2">
            <w:pPr>
              <w:spacing w:after="0" w:line="240" w:lineRule="auto"/>
              <w:jc w:val="center"/>
              <w:rPr>
                <w:rFonts w:eastAsia="Times New Roman"/>
                <w:lang w:val="es-DO" w:eastAsia="es-DO"/>
              </w:rPr>
            </w:pPr>
          </w:p>
        </w:tc>
        <w:tc>
          <w:tcPr>
            <w:tcW w:w="449" w:type="pct"/>
            <w:shd w:val="clear" w:color="auto" w:fill="auto"/>
            <w:noWrap/>
            <w:vAlign w:val="center"/>
          </w:tcPr>
          <w:p w14:paraId="55B6E5AD" w14:textId="065AE443" w:rsidR="004C43F1" w:rsidRPr="00D11C11" w:rsidRDefault="004C43F1" w:rsidP="003A11A2">
            <w:pPr>
              <w:spacing w:after="0" w:line="240" w:lineRule="auto"/>
              <w:jc w:val="center"/>
              <w:rPr>
                <w:rFonts w:eastAsia="Times New Roman"/>
                <w:lang w:val="es-DO" w:eastAsia="es-DO"/>
              </w:rPr>
            </w:pPr>
          </w:p>
        </w:tc>
        <w:tc>
          <w:tcPr>
            <w:tcW w:w="178" w:type="pct"/>
            <w:shd w:val="clear" w:color="auto" w:fill="auto"/>
            <w:noWrap/>
            <w:vAlign w:val="center"/>
          </w:tcPr>
          <w:p w14:paraId="6495F45A" w14:textId="4EF77546" w:rsidR="004C43F1" w:rsidRPr="00D11C11" w:rsidRDefault="004C43F1" w:rsidP="003A11A2">
            <w:pPr>
              <w:spacing w:after="0" w:line="240" w:lineRule="auto"/>
              <w:jc w:val="center"/>
              <w:rPr>
                <w:rFonts w:eastAsia="Times New Roman"/>
                <w:lang w:val="es-DO" w:eastAsia="es-DO"/>
              </w:rPr>
            </w:pPr>
          </w:p>
        </w:tc>
        <w:tc>
          <w:tcPr>
            <w:tcW w:w="393" w:type="pct"/>
            <w:shd w:val="clear" w:color="auto" w:fill="auto"/>
            <w:noWrap/>
            <w:vAlign w:val="center"/>
          </w:tcPr>
          <w:p w14:paraId="67CC0266" w14:textId="7E02DD79" w:rsidR="004C43F1" w:rsidRPr="00D11C11" w:rsidRDefault="004C43F1" w:rsidP="003A11A2">
            <w:pPr>
              <w:spacing w:after="0" w:line="240" w:lineRule="auto"/>
              <w:jc w:val="center"/>
              <w:rPr>
                <w:rFonts w:eastAsia="Times New Roman"/>
                <w:lang w:val="es-DO" w:eastAsia="es-DO"/>
              </w:rPr>
            </w:pPr>
          </w:p>
        </w:tc>
        <w:tc>
          <w:tcPr>
            <w:tcW w:w="476" w:type="pct"/>
            <w:shd w:val="clear" w:color="auto" w:fill="auto"/>
            <w:noWrap/>
            <w:vAlign w:val="center"/>
          </w:tcPr>
          <w:p w14:paraId="1884FDDD" w14:textId="25D1D5C6" w:rsidR="004C43F1" w:rsidRPr="00D11C11" w:rsidRDefault="004C43F1" w:rsidP="003A11A2">
            <w:pPr>
              <w:spacing w:after="0" w:line="240" w:lineRule="auto"/>
              <w:jc w:val="center"/>
              <w:rPr>
                <w:rFonts w:eastAsia="Times New Roman"/>
                <w:lang w:val="es-DO" w:eastAsia="es-DO"/>
              </w:rPr>
            </w:pPr>
          </w:p>
        </w:tc>
        <w:tc>
          <w:tcPr>
            <w:tcW w:w="170" w:type="pct"/>
            <w:shd w:val="clear" w:color="auto" w:fill="auto"/>
            <w:noWrap/>
            <w:vAlign w:val="center"/>
          </w:tcPr>
          <w:p w14:paraId="410BD5F6" w14:textId="70486EDC" w:rsidR="004C43F1" w:rsidRPr="00D11C11" w:rsidRDefault="004C43F1" w:rsidP="003A11A2">
            <w:pPr>
              <w:spacing w:after="0" w:line="240" w:lineRule="auto"/>
              <w:jc w:val="center"/>
              <w:rPr>
                <w:rFonts w:eastAsia="Times New Roman"/>
                <w:lang w:val="es-DO" w:eastAsia="es-DO"/>
              </w:rPr>
            </w:pPr>
          </w:p>
        </w:tc>
        <w:tc>
          <w:tcPr>
            <w:tcW w:w="212" w:type="pct"/>
            <w:shd w:val="clear" w:color="auto" w:fill="auto"/>
            <w:noWrap/>
            <w:vAlign w:val="center"/>
          </w:tcPr>
          <w:p w14:paraId="7E1C0D90" w14:textId="428E831B" w:rsidR="004C43F1" w:rsidRPr="00D11C11" w:rsidRDefault="004C43F1" w:rsidP="003A11A2">
            <w:pPr>
              <w:spacing w:after="0" w:line="240" w:lineRule="auto"/>
              <w:jc w:val="center"/>
              <w:rPr>
                <w:rFonts w:eastAsia="Times New Roman"/>
                <w:lang w:val="es-DO" w:eastAsia="es-DO"/>
              </w:rPr>
            </w:pPr>
          </w:p>
        </w:tc>
        <w:tc>
          <w:tcPr>
            <w:tcW w:w="393" w:type="pct"/>
            <w:shd w:val="clear" w:color="auto" w:fill="auto"/>
            <w:noWrap/>
            <w:vAlign w:val="center"/>
          </w:tcPr>
          <w:p w14:paraId="15414D4B" w14:textId="7B5D3A32" w:rsidR="004C43F1" w:rsidRPr="00D11C11" w:rsidRDefault="004C43F1" w:rsidP="003A11A2">
            <w:pPr>
              <w:spacing w:after="0" w:line="240" w:lineRule="auto"/>
              <w:jc w:val="center"/>
              <w:rPr>
                <w:rFonts w:eastAsia="Times New Roman"/>
                <w:lang w:val="es-DO" w:eastAsia="es-DO"/>
              </w:rPr>
            </w:pPr>
          </w:p>
        </w:tc>
        <w:tc>
          <w:tcPr>
            <w:tcW w:w="449" w:type="pct"/>
            <w:shd w:val="clear" w:color="auto" w:fill="auto"/>
            <w:noWrap/>
            <w:vAlign w:val="center"/>
          </w:tcPr>
          <w:p w14:paraId="053EF304" w14:textId="3DD3A492" w:rsidR="004C43F1" w:rsidRPr="00D11C11" w:rsidRDefault="004C43F1" w:rsidP="003A11A2">
            <w:pPr>
              <w:spacing w:after="0" w:line="240" w:lineRule="auto"/>
              <w:jc w:val="center"/>
              <w:rPr>
                <w:rFonts w:eastAsia="Times New Roman"/>
                <w:lang w:val="es-DO" w:eastAsia="es-DO"/>
              </w:rPr>
            </w:pPr>
          </w:p>
        </w:tc>
        <w:tc>
          <w:tcPr>
            <w:tcW w:w="449" w:type="pct"/>
            <w:shd w:val="clear" w:color="auto" w:fill="auto"/>
            <w:noWrap/>
            <w:vAlign w:val="center"/>
          </w:tcPr>
          <w:p w14:paraId="5AFD9FD7" w14:textId="791B3563" w:rsidR="004C43F1" w:rsidRPr="00D11C11" w:rsidRDefault="00D74F69" w:rsidP="003A11A2">
            <w:pPr>
              <w:spacing w:after="0" w:line="240" w:lineRule="auto"/>
              <w:jc w:val="center"/>
              <w:rPr>
                <w:rFonts w:eastAsia="Times New Roman"/>
                <w:lang w:val="es-DO" w:eastAsia="es-DO"/>
              </w:rPr>
            </w:pPr>
            <w:r>
              <w:rPr>
                <w:rFonts w:eastAsia="Times New Roman"/>
                <w:lang w:val="es-DO" w:eastAsia="es-DO"/>
              </w:rPr>
              <w:t>100%</w:t>
            </w:r>
          </w:p>
        </w:tc>
        <w:tc>
          <w:tcPr>
            <w:tcW w:w="435" w:type="pct"/>
            <w:shd w:val="clear" w:color="auto" w:fill="auto"/>
            <w:noWrap/>
            <w:vAlign w:val="center"/>
          </w:tcPr>
          <w:p w14:paraId="4EE9EE92" w14:textId="5FA95352" w:rsidR="004C43F1" w:rsidRPr="00D11C11" w:rsidRDefault="004C43F1" w:rsidP="003A11A2">
            <w:pPr>
              <w:spacing w:after="0" w:line="240" w:lineRule="auto"/>
              <w:jc w:val="center"/>
              <w:rPr>
                <w:rFonts w:eastAsia="Times New Roman"/>
                <w:lang w:val="es-DO" w:eastAsia="es-DO"/>
              </w:rPr>
            </w:pPr>
          </w:p>
        </w:tc>
        <w:tc>
          <w:tcPr>
            <w:tcW w:w="476" w:type="pct"/>
            <w:shd w:val="clear" w:color="auto" w:fill="auto"/>
            <w:noWrap/>
            <w:vAlign w:val="center"/>
          </w:tcPr>
          <w:p w14:paraId="7F722D5A" w14:textId="03DCDA18" w:rsidR="004C43F1" w:rsidRPr="00D11C11" w:rsidRDefault="00D74F69" w:rsidP="003A11A2">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522AA974" w14:textId="77777777" w:rsidTr="007400C6">
        <w:trPr>
          <w:trHeight w:val="331"/>
        </w:trPr>
        <w:tc>
          <w:tcPr>
            <w:tcW w:w="489" w:type="pct"/>
            <w:shd w:val="clear" w:color="auto" w:fill="auto"/>
            <w:vAlign w:val="center"/>
          </w:tcPr>
          <w:p w14:paraId="06303985" w14:textId="1855226D" w:rsidR="00D74F69" w:rsidRPr="00D74F69" w:rsidRDefault="00D74F69" w:rsidP="003A11A2">
            <w:pPr>
              <w:spacing w:after="0" w:line="240" w:lineRule="auto"/>
              <w:rPr>
                <w:rFonts w:eastAsia="Times New Roman"/>
                <w:lang w:val="es-DO" w:eastAsia="es-DO"/>
              </w:rPr>
            </w:pPr>
            <w:r w:rsidRPr="00D74F69">
              <w:rPr>
                <w:rFonts w:eastAsia="Times New Roman"/>
                <w:lang w:val="es-DO" w:eastAsia="es-DO"/>
              </w:rPr>
              <w:t xml:space="preserve">Inversión producto </w:t>
            </w:r>
            <w:r w:rsidRPr="00D74F69">
              <w:rPr>
                <w:rFonts w:eastAsia="Times New Roman"/>
                <w:lang w:val="es-DO" w:eastAsia="es-DO"/>
              </w:rPr>
              <w:t>-</w:t>
            </w:r>
            <w:r>
              <w:rPr>
                <w:rFonts w:eastAsia="Times New Roman"/>
                <w:lang w:val="es-DO" w:eastAsia="es-DO"/>
              </w:rPr>
              <w:t xml:space="preserve"> </w:t>
            </w:r>
            <w:r w:rsidRPr="00CA7BDA">
              <w:rPr>
                <w:rFonts w:eastAsia="Times New Roman"/>
                <w:lang w:val="es-DO" w:eastAsia="es-DO"/>
              </w:rPr>
              <w:t>Interoperabilidad</w:t>
            </w:r>
            <w:r w:rsidRPr="00CA7BDA">
              <w:rPr>
                <w:rFonts w:eastAsia="Times New Roman"/>
                <w:lang w:val="es-DO" w:eastAsia="es-DO"/>
              </w:rPr>
              <w:t xml:space="preserve"> Consultoría jurídica de la SB – Dirección Nacional de</w:t>
            </w:r>
            <w:r w:rsidRPr="00D13B4F">
              <w:rPr>
                <w:rFonts w:eastAsia="Times New Roman"/>
                <w:b/>
                <w:bCs/>
                <w:lang w:val="es-DO" w:eastAsia="es-DO"/>
              </w:rPr>
              <w:t xml:space="preserve"> </w:t>
            </w:r>
            <w:r w:rsidRPr="00CA7BDA">
              <w:rPr>
                <w:rFonts w:eastAsia="Times New Roman"/>
                <w:lang w:val="es-DO" w:eastAsia="es-DO"/>
              </w:rPr>
              <w:t xml:space="preserve">Registro </w:t>
            </w:r>
            <w:r w:rsidRPr="00CA7BDA">
              <w:rPr>
                <w:rFonts w:eastAsia="Times New Roman"/>
                <w:lang w:val="es-DO" w:eastAsia="es-DO"/>
              </w:rPr>
              <w:lastRenderedPageBreak/>
              <w:t>de Títulos</w:t>
            </w:r>
          </w:p>
        </w:tc>
        <w:tc>
          <w:tcPr>
            <w:tcW w:w="193" w:type="pct"/>
            <w:shd w:val="clear" w:color="auto" w:fill="auto"/>
            <w:noWrap/>
            <w:vAlign w:val="center"/>
          </w:tcPr>
          <w:p w14:paraId="031B451D" w14:textId="77777777" w:rsidR="00D74F69" w:rsidRPr="00D11C11" w:rsidRDefault="00D74F69" w:rsidP="003A11A2">
            <w:pPr>
              <w:spacing w:after="0" w:line="240" w:lineRule="auto"/>
              <w:jc w:val="center"/>
              <w:rPr>
                <w:rFonts w:eastAsia="Times New Roman"/>
                <w:lang w:val="es-DO" w:eastAsia="es-DO"/>
              </w:rPr>
            </w:pPr>
          </w:p>
        </w:tc>
        <w:tc>
          <w:tcPr>
            <w:tcW w:w="238" w:type="pct"/>
            <w:shd w:val="clear" w:color="auto" w:fill="auto"/>
            <w:noWrap/>
            <w:vAlign w:val="center"/>
          </w:tcPr>
          <w:p w14:paraId="483719F0" w14:textId="77777777" w:rsidR="00D74F69" w:rsidRPr="00D11C11" w:rsidRDefault="00D74F69" w:rsidP="003A11A2">
            <w:pPr>
              <w:spacing w:after="0" w:line="240" w:lineRule="auto"/>
              <w:jc w:val="center"/>
              <w:rPr>
                <w:rFonts w:eastAsia="Times New Roman"/>
                <w:lang w:val="es-DO" w:eastAsia="es-DO"/>
              </w:rPr>
            </w:pPr>
          </w:p>
        </w:tc>
        <w:tc>
          <w:tcPr>
            <w:tcW w:w="449" w:type="pct"/>
            <w:shd w:val="clear" w:color="auto" w:fill="auto"/>
            <w:noWrap/>
            <w:vAlign w:val="center"/>
          </w:tcPr>
          <w:p w14:paraId="04EAF312" w14:textId="77777777" w:rsidR="00D74F69" w:rsidRPr="00D11C11" w:rsidRDefault="00D74F69" w:rsidP="003A11A2">
            <w:pPr>
              <w:spacing w:after="0" w:line="240" w:lineRule="auto"/>
              <w:jc w:val="center"/>
              <w:rPr>
                <w:rFonts w:eastAsia="Times New Roman"/>
                <w:lang w:val="es-DO" w:eastAsia="es-DO"/>
              </w:rPr>
            </w:pPr>
          </w:p>
        </w:tc>
        <w:tc>
          <w:tcPr>
            <w:tcW w:w="178" w:type="pct"/>
            <w:shd w:val="clear" w:color="auto" w:fill="auto"/>
            <w:noWrap/>
            <w:vAlign w:val="center"/>
          </w:tcPr>
          <w:p w14:paraId="447BACB7" w14:textId="77777777" w:rsidR="00D74F69" w:rsidRPr="00D11C11" w:rsidRDefault="00D74F69" w:rsidP="003A11A2">
            <w:pPr>
              <w:spacing w:after="0" w:line="240" w:lineRule="auto"/>
              <w:jc w:val="center"/>
              <w:rPr>
                <w:rFonts w:eastAsia="Times New Roman"/>
                <w:lang w:val="es-DO" w:eastAsia="es-DO"/>
              </w:rPr>
            </w:pPr>
          </w:p>
        </w:tc>
        <w:tc>
          <w:tcPr>
            <w:tcW w:w="393" w:type="pct"/>
            <w:shd w:val="clear" w:color="auto" w:fill="auto"/>
            <w:noWrap/>
            <w:vAlign w:val="center"/>
          </w:tcPr>
          <w:p w14:paraId="579DC4A4" w14:textId="77777777" w:rsidR="00D74F69" w:rsidRPr="00D11C11" w:rsidRDefault="00D74F69" w:rsidP="003A11A2">
            <w:pPr>
              <w:spacing w:after="0" w:line="240" w:lineRule="auto"/>
              <w:jc w:val="center"/>
              <w:rPr>
                <w:rFonts w:eastAsia="Times New Roman"/>
                <w:lang w:val="es-DO" w:eastAsia="es-DO"/>
              </w:rPr>
            </w:pPr>
          </w:p>
        </w:tc>
        <w:tc>
          <w:tcPr>
            <w:tcW w:w="476" w:type="pct"/>
            <w:shd w:val="clear" w:color="auto" w:fill="auto"/>
            <w:noWrap/>
            <w:vAlign w:val="center"/>
          </w:tcPr>
          <w:p w14:paraId="5A8DB173" w14:textId="77777777" w:rsidR="00D74F69" w:rsidRPr="00D11C11" w:rsidRDefault="00D74F69" w:rsidP="003A11A2">
            <w:pPr>
              <w:spacing w:after="0" w:line="240" w:lineRule="auto"/>
              <w:jc w:val="center"/>
              <w:rPr>
                <w:rFonts w:eastAsia="Times New Roman"/>
                <w:lang w:val="es-DO" w:eastAsia="es-DO"/>
              </w:rPr>
            </w:pPr>
          </w:p>
        </w:tc>
        <w:tc>
          <w:tcPr>
            <w:tcW w:w="170" w:type="pct"/>
            <w:shd w:val="clear" w:color="auto" w:fill="auto"/>
            <w:noWrap/>
            <w:vAlign w:val="center"/>
          </w:tcPr>
          <w:p w14:paraId="08DD7BDF" w14:textId="77777777" w:rsidR="00D74F69" w:rsidRPr="00D11C11" w:rsidRDefault="00D74F69" w:rsidP="003A11A2">
            <w:pPr>
              <w:spacing w:after="0" w:line="240" w:lineRule="auto"/>
              <w:jc w:val="center"/>
              <w:rPr>
                <w:rFonts w:eastAsia="Times New Roman"/>
                <w:lang w:val="es-DO" w:eastAsia="es-DO"/>
              </w:rPr>
            </w:pPr>
          </w:p>
        </w:tc>
        <w:tc>
          <w:tcPr>
            <w:tcW w:w="212" w:type="pct"/>
            <w:shd w:val="clear" w:color="auto" w:fill="auto"/>
            <w:noWrap/>
            <w:vAlign w:val="center"/>
          </w:tcPr>
          <w:p w14:paraId="33E5CD7D" w14:textId="77777777" w:rsidR="00D74F69" w:rsidRPr="00D11C11" w:rsidRDefault="00D74F69" w:rsidP="003A11A2">
            <w:pPr>
              <w:spacing w:after="0" w:line="240" w:lineRule="auto"/>
              <w:jc w:val="center"/>
              <w:rPr>
                <w:rFonts w:eastAsia="Times New Roman"/>
                <w:lang w:val="es-DO" w:eastAsia="es-DO"/>
              </w:rPr>
            </w:pPr>
          </w:p>
        </w:tc>
        <w:tc>
          <w:tcPr>
            <w:tcW w:w="393" w:type="pct"/>
            <w:shd w:val="clear" w:color="auto" w:fill="auto"/>
            <w:noWrap/>
            <w:vAlign w:val="center"/>
          </w:tcPr>
          <w:p w14:paraId="12090616" w14:textId="77777777" w:rsidR="00D74F69" w:rsidRPr="00D11C11" w:rsidRDefault="00D74F69" w:rsidP="003A11A2">
            <w:pPr>
              <w:spacing w:after="0" w:line="240" w:lineRule="auto"/>
              <w:jc w:val="center"/>
              <w:rPr>
                <w:rFonts w:eastAsia="Times New Roman"/>
                <w:lang w:val="es-DO" w:eastAsia="es-DO"/>
              </w:rPr>
            </w:pPr>
          </w:p>
        </w:tc>
        <w:tc>
          <w:tcPr>
            <w:tcW w:w="449" w:type="pct"/>
            <w:shd w:val="clear" w:color="auto" w:fill="auto"/>
            <w:noWrap/>
            <w:vAlign w:val="center"/>
          </w:tcPr>
          <w:p w14:paraId="7F3B2D04" w14:textId="77777777" w:rsidR="00D74F69" w:rsidRPr="00D11C11" w:rsidRDefault="00D74F69" w:rsidP="003A11A2">
            <w:pPr>
              <w:spacing w:after="0" w:line="240" w:lineRule="auto"/>
              <w:jc w:val="center"/>
              <w:rPr>
                <w:rFonts w:eastAsia="Times New Roman"/>
                <w:lang w:val="es-DO" w:eastAsia="es-DO"/>
              </w:rPr>
            </w:pPr>
          </w:p>
        </w:tc>
        <w:tc>
          <w:tcPr>
            <w:tcW w:w="449" w:type="pct"/>
            <w:shd w:val="clear" w:color="auto" w:fill="auto"/>
            <w:noWrap/>
            <w:vAlign w:val="center"/>
          </w:tcPr>
          <w:p w14:paraId="1C3AE70B" w14:textId="1409918D" w:rsidR="00D74F69" w:rsidRDefault="00D74F69" w:rsidP="003A11A2">
            <w:pPr>
              <w:spacing w:after="0" w:line="240" w:lineRule="auto"/>
              <w:jc w:val="center"/>
              <w:rPr>
                <w:rFonts w:eastAsia="Times New Roman"/>
                <w:lang w:val="es-DO" w:eastAsia="es-DO"/>
              </w:rPr>
            </w:pPr>
            <w:r>
              <w:rPr>
                <w:rFonts w:eastAsia="Times New Roman"/>
                <w:lang w:val="es-DO" w:eastAsia="es-DO"/>
              </w:rPr>
              <w:t>RD$100,000.00</w:t>
            </w:r>
          </w:p>
        </w:tc>
        <w:tc>
          <w:tcPr>
            <w:tcW w:w="435" w:type="pct"/>
            <w:shd w:val="clear" w:color="auto" w:fill="auto"/>
            <w:noWrap/>
            <w:vAlign w:val="center"/>
          </w:tcPr>
          <w:p w14:paraId="1ABE5CC0" w14:textId="77777777" w:rsidR="00D74F69" w:rsidRPr="00D11C11" w:rsidRDefault="00D74F69" w:rsidP="003A11A2">
            <w:pPr>
              <w:spacing w:after="0" w:line="240" w:lineRule="auto"/>
              <w:jc w:val="center"/>
              <w:rPr>
                <w:rFonts w:eastAsia="Times New Roman"/>
                <w:lang w:val="es-DO" w:eastAsia="es-DO"/>
              </w:rPr>
            </w:pPr>
          </w:p>
        </w:tc>
        <w:tc>
          <w:tcPr>
            <w:tcW w:w="476" w:type="pct"/>
            <w:shd w:val="clear" w:color="auto" w:fill="auto"/>
            <w:noWrap/>
            <w:vAlign w:val="center"/>
          </w:tcPr>
          <w:p w14:paraId="13F8FDBB" w14:textId="712F45FF" w:rsidR="00D74F69" w:rsidRPr="00D11C11" w:rsidRDefault="00D74F69" w:rsidP="003A11A2">
            <w:pPr>
              <w:spacing w:after="0" w:line="240" w:lineRule="auto"/>
              <w:jc w:val="center"/>
              <w:rPr>
                <w:rFonts w:eastAsia="Times New Roman"/>
                <w:lang w:val="es-DO" w:eastAsia="es-DO"/>
              </w:rPr>
            </w:pPr>
            <w:r>
              <w:rPr>
                <w:rFonts w:eastAsia="Times New Roman"/>
                <w:lang w:val="es-DO" w:eastAsia="es-DO"/>
              </w:rPr>
              <w:t>RD$100,000.00</w:t>
            </w:r>
          </w:p>
        </w:tc>
      </w:tr>
      <w:tr w:rsidR="007400C6" w:rsidRPr="00D13B4F" w14:paraId="05301232" w14:textId="77777777" w:rsidTr="007400C6">
        <w:trPr>
          <w:trHeight w:val="331"/>
        </w:trPr>
        <w:tc>
          <w:tcPr>
            <w:tcW w:w="489" w:type="pct"/>
            <w:shd w:val="clear" w:color="auto" w:fill="auto"/>
            <w:vAlign w:val="center"/>
            <w:hideMark/>
          </w:tcPr>
          <w:p w14:paraId="528499BF" w14:textId="6AA95E1D" w:rsidR="00CA7BDA" w:rsidRPr="00D11C11" w:rsidRDefault="00CA7BDA" w:rsidP="00CA7BDA">
            <w:pPr>
              <w:spacing w:after="0" w:line="240" w:lineRule="auto"/>
              <w:rPr>
                <w:rFonts w:eastAsia="Times New Roman"/>
                <w:b/>
                <w:bCs/>
                <w:lang w:val="es-DO" w:eastAsia="es-DO"/>
              </w:rPr>
            </w:pPr>
            <w:r w:rsidRPr="00D13B4F">
              <w:rPr>
                <w:rFonts w:eastAsia="Times New Roman"/>
                <w:b/>
                <w:bCs/>
                <w:lang w:val="es-DO" w:eastAsia="es-DO"/>
              </w:rPr>
              <w:t>Agenda Académica de Consultoría Jurídica</w:t>
            </w:r>
          </w:p>
        </w:tc>
        <w:tc>
          <w:tcPr>
            <w:tcW w:w="193" w:type="pct"/>
            <w:shd w:val="clear" w:color="auto" w:fill="auto"/>
            <w:noWrap/>
            <w:vAlign w:val="center"/>
          </w:tcPr>
          <w:p w14:paraId="440B1E56" w14:textId="5A4A14C7" w:rsidR="00CA7BDA" w:rsidRPr="00D11C11"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79979CEF" w14:textId="272F3D29"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486C78E8" w14:textId="6621510D" w:rsidR="00CA7BDA" w:rsidRPr="00D11C11" w:rsidRDefault="00CA7BDA" w:rsidP="00CA7BDA">
            <w:pPr>
              <w:spacing w:after="0" w:line="240" w:lineRule="auto"/>
              <w:jc w:val="center"/>
              <w:rPr>
                <w:rFonts w:eastAsia="Times New Roman"/>
                <w:lang w:val="es-DO" w:eastAsia="es-DO"/>
              </w:rPr>
            </w:pPr>
          </w:p>
        </w:tc>
        <w:tc>
          <w:tcPr>
            <w:tcW w:w="178" w:type="pct"/>
            <w:shd w:val="clear" w:color="auto" w:fill="auto"/>
            <w:noWrap/>
            <w:vAlign w:val="center"/>
          </w:tcPr>
          <w:p w14:paraId="04672E55" w14:textId="5EAE773D"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05692263" w14:textId="37A5620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2D58E996" w14:textId="049A89CE" w:rsidR="00CA7BDA" w:rsidRPr="00D11C11"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4705ED1E" w14:textId="5BFFEFAC"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496678A1" w14:textId="6FB3B3A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7B2EA56E" w14:textId="5F3E2F91"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478D7136" w14:textId="3A18A9FD"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183CEF06" w14:textId="026B8E34"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c>
          <w:tcPr>
            <w:tcW w:w="435" w:type="pct"/>
            <w:shd w:val="clear" w:color="auto" w:fill="auto"/>
            <w:noWrap/>
            <w:vAlign w:val="center"/>
          </w:tcPr>
          <w:p w14:paraId="74AA7AD0" w14:textId="7B7A7D63"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4B368243" w14:textId="6B5E9449"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154EEF07" w14:textId="77777777" w:rsidTr="007400C6">
        <w:trPr>
          <w:trHeight w:val="331"/>
        </w:trPr>
        <w:tc>
          <w:tcPr>
            <w:tcW w:w="489" w:type="pct"/>
            <w:shd w:val="clear" w:color="auto" w:fill="auto"/>
            <w:vAlign w:val="center"/>
          </w:tcPr>
          <w:p w14:paraId="74CD21F0" w14:textId="75C592C1" w:rsidR="00CA7BDA" w:rsidRPr="00CA7BDA" w:rsidRDefault="00CA7BDA" w:rsidP="00CA7BDA">
            <w:pPr>
              <w:spacing w:after="0" w:line="240" w:lineRule="auto"/>
              <w:rPr>
                <w:rFonts w:eastAsia="Times New Roman"/>
                <w:lang w:val="es-DO" w:eastAsia="es-DO"/>
              </w:rPr>
            </w:pPr>
            <w:r w:rsidRPr="00CA7BDA">
              <w:rPr>
                <w:rFonts w:eastAsia="Times New Roman"/>
                <w:lang w:val="es-DO" w:eastAsia="es-DO"/>
              </w:rPr>
              <w:t xml:space="preserve">Inversión Producto - </w:t>
            </w:r>
            <w:r w:rsidRPr="00CA7BDA">
              <w:rPr>
                <w:lang w:val="es-DO"/>
              </w:rPr>
              <w:t>Agenda</w:t>
            </w:r>
            <w:r w:rsidRPr="00CA7BDA">
              <w:rPr>
                <w:rFonts w:eastAsia="Times New Roman"/>
                <w:lang w:val="es-DO" w:eastAsia="es-DO"/>
              </w:rPr>
              <w:t xml:space="preserve"> Académica de Consultoría Jurídica</w:t>
            </w:r>
          </w:p>
        </w:tc>
        <w:tc>
          <w:tcPr>
            <w:tcW w:w="193" w:type="pct"/>
            <w:shd w:val="clear" w:color="auto" w:fill="auto"/>
            <w:noWrap/>
            <w:vAlign w:val="center"/>
          </w:tcPr>
          <w:p w14:paraId="7C9BE181" w14:textId="77777777" w:rsidR="00CA7BDA" w:rsidRPr="00D11C11"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032712AB"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0D03E6E4" w14:textId="77777777" w:rsidR="00CA7BDA" w:rsidRPr="00D11C11" w:rsidRDefault="00CA7BDA" w:rsidP="00CA7BDA">
            <w:pPr>
              <w:spacing w:after="0" w:line="240" w:lineRule="auto"/>
              <w:jc w:val="center"/>
              <w:rPr>
                <w:rFonts w:eastAsia="Times New Roman"/>
                <w:lang w:val="es-DO" w:eastAsia="es-DO"/>
              </w:rPr>
            </w:pPr>
          </w:p>
        </w:tc>
        <w:tc>
          <w:tcPr>
            <w:tcW w:w="178" w:type="pct"/>
            <w:shd w:val="clear" w:color="auto" w:fill="auto"/>
            <w:noWrap/>
            <w:vAlign w:val="center"/>
          </w:tcPr>
          <w:p w14:paraId="69BD7838"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24B9E071" w14:textId="7777777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09E40D05" w14:textId="77777777" w:rsidR="00CA7BDA" w:rsidRPr="00D11C11"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0CD4349D" w14:textId="77777777"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43F31C90"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609B9C9F"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4CD47792"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0DFC06E4" w14:textId="42A9436D" w:rsidR="00CA7BDA" w:rsidRDefault="00CA7BDA" w:rsidP="00CA7BDA">
            <w:pPr>
              <w:spacing w:after="0" w:line="240" w:lineRule="auto"/>
              <w:jc w:val="center"/>
              <w:rPr>
                <w:rFonts w:eastAsia="Times New Roman"/>
                <w:lang w:val="es-DO" w:eastAsia="es-DO"/>
              </w:rPr>
            </w:pPr>
            <w:r>
              <w:rPr>
                <w:rFonts w:eastAsia="Times New Roman"/>
                <w:lang w:val="es-DO" w:eastAsia="es-DO"/>
              </w:rPr>
              <w:t>RD$</w:t>
            </w:r>
            <w:r>
              <w:t xml:space="preserve"> </w:t>
            </w:r>
            <w:r w:rsidRPr="00CA7BDA">
              <w:rPr>
                <w:rFonts w:eastAsia="Times New Roman"/>
                <w:lang w:val="es-DO" w:eastAsia="es-DO"/>
              </w:rPr>
              <w:t>6,273,750.00</w:t>
            </w:r>
          </w:p>
        </w:tc>
        <w:tc>
          <w:tcPr>
            <w:tcW w:w="435" w:type="pct"/>
            <w:shd w:val="clear" w:color="auto" w:fill="auto"/>
            <w:noWrap/>
            <w:vAlign w:val="center"/>
          </w:tcPr>
          <w:p w14:paraId="18A10D0E" w14:textId="7777777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757E9CB6" w14:textId="266B9EC5"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RD$</w:t>
            </w:r>
            <w:r>
              <w:t xml:space="preserve"> </w:t>
            </w:r>
            <w:r w:rsidRPr="00CA7BDA">
              <w:rPr>
                <w:rFonts w:eastAsia="Times New Roman"/>
                <w:lang w:val="es-DO" w:eastAsia="es-DO"/>
              </w:rPr>
              <w:t>6,273,750.00</w:t>
            </w:r>
          </w:p>
        </w:tc>
      </w:tr>
      <w:tr w:rsidR="007400C6" w:rsidRPr="00D13B4F" w14:paraId="14C9753E" w14:textId="77777777" w:rsidTr="007400C6">
        <w:trPr>
          <w:trHeight w:val="331"/>
        </w:trPr>
        <w:tc>
          <w:tcPr>
            <w:tcW w:w="489" w:type="pct"/>
            <w:shd w:val="clear" w:color="auto" w:fill="auto"/>
            <w:vAlign w:val="center"/>
            <w:hideMark/>
          </w:tcPr>
          <w:p w14:paraId="2036B114" w14:textId="75BD88F3" w:rsidR="00CA7BDA" w:rsidRPr="00D11C11" w:rsidRDefault="00CA7BDA" w:rsidP="00CA7BDA">
            <w:pPr>
              <w:spacing w:after="0" w:line="240" w:lineRule="auto"/>
              <w:rPr>
                <w:rFonts w:eastAsia="Times New Roman"/>
                <w:b/>
                <w:bCs/>
                <w:lang w:val="es-DO" w:eastAsia="es-DO"/>
              </w:rPr>
            </w:pPr>
            <w:r>
              <w:rPr>
                <w:rFonts w:eastAsia="Times New Roman"/>
                <w:b/>
                <w:bCs/>
                <w:lang w:val="es-DO" w:eastAsia="es-DO"/>
              </w:rPr>
              <w:t xml:space="preserve">Proyecto de </w:t>
            </w:r>
            <w:r w:rsidRPr="00D13B4F">
              <w:rPr>
                <w:rFonts w:eastAsia="Times New Roman"/>
                <w:b/>
                <w:bCs/>
                <w:lang w:val="es-DO" w:eastAsia="es-DO"/>
              </w:rPr>
              <w:t>Ley de Embargo Retentivo</w:t>
            </w:r>
          </w:p>
        </w:tc>
        <w:tc>
          <w:tcPr>
            <w:tcW w:w="193" w:type="pct"/>
            <w:shd w:val="clear" w:color="auto" w:fill="auto"/>
            <w:noWrap/>
            <w:vAlign w:val="center"/>
            <w:hideMark/>
          </w:tcPr>
          <w:p w14:paraId="6D34067C" w14:textId="733B1FC1" w:rsidR="00CA7BDA" w:rsidRPr="00D11C11" w:rsidRDefault="00CA7BDA" w:rsidP="00CA7BDA">
            <w:pPr>
              <w:spacing w:after="0" w:line="240" w:lineRule="auto"/>
              <w:jc w:val="center"/>
              <w:rPr>
                <w:rFonts w:eastAsia="Times New Roman"/>
                <w:lang w:val="es-DO" w:eastAsia="es-DO"/>
              </w:rPr>
            </w:pPr>
          </w:p>
        </w:tc>
        <w:tc>
          <w:tcPr>
            <w:tcW w:w="238" w:type="pct"/>
            <w:shd w:val="clear" w:color="auto" w:fill="auto"/>
            <w:noWrap/>
            <w:vAlign w:val="center"/>
            <w:hideMark/>
          </w:tcPr>
          <w:p w14:paraId="7FE9A20D" w14:textId="3E3E182A"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hideMark/>
          </w:tcPr>
          <w:p w14:paraId="40FAD937" w14:textId="6F31E722" w:rsidR="00CA7BDA" w:rsidRPr="00D11C11" w:rsidRDefault="00CA7BDA" w:rsidP="00CA7BDA">
            <w:pPr>
              <w:spacing w:after="0" w:line="240" w:lineRule="auto"/>
              <w:jc w:val="center"/>
              <w:rPr>
                <w:rFonts w:eastAsia="Times New Roman"/>
                <w:lang w:val="es-DO" w:eastAsia="es-DO"/>
              </w:rPr>
            </w:pPr>
          </w:p>
        </w:tc>
        <w:tc>
          <w:tcPr>
            <w:tcW w:w="178" w:type="pct"/>
            <w:shd w:val="clear" w:color="auto" w:fill="auto"/>
            <w:noWrap/>
            <w:vAlign w:val="center"/>
            <w:hideMark/>
          </w:tcPr>
          <w:p w14:paraId="726BDCA2" w14:textId="687D086C"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hideMark/>
          </w:tcPr>
          <w:p w14:paraId="2EFC21E6" w14:textId="1FB907DB"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hideMark/>
          </w:tcPr>
          <w:p w14:paraId="19AD2F87" w14:textId="186F1043" w:rsidR="00CA7BDA" w:rsidRPr="00D11C11" w:rsidRDefault="00CA7BDA" w:rsidP="00CA7BDA">
            <w:pPr>
              <w:spacing w:after="0" w:line="240" w:lineRule="auto"/>
              <w:jc w:val="center"/>
              <w:rPr>
                <w:rFonts w:eastAsia="Times New Roman"/>
                <w:lang w:val="es-DO" w:eastAsia="es-DO"/>
              </w:rPr>
            </w:pPr>
          </w:p>
        </w:tc>
        <w:tc>
          <w:tcPr>
            <w:tcW w:w="170" w:type="pct"/>
            <w:shd w:val="clear" w:color="auto" w:fill="auto"/>
            <w:noWrap/>
            <w:vAlign w:val="center"/>
            <w:hideMark/>
          </w:tcPr>
          <w:p w14:paraId="2404FFA6" w14:textId="77CF9A8D"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hideMark/>
          </w:tcPr>
          <w:p w14:paraId="6ED04038" w14:textId="7269069C"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hideMark/>
          </w:tcPr>
          <w:p w14:paraId="463C9808" w14:textId="422F8462"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hideMark/>
          </w:tcPr>
          <w:p w14:paraId="1DA15622" w14:textId="489275F4"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c>
          <w:tcPr>
            <w:tcW w:w="449" w:type="pct"/>
            <w:shd w:val="clear" w:color="auto" w:fill="auto"/>
            <w:noWrap/>
            <w:vAlign w:val="center"/>
            <w:hideMark/>
          </w:tcPr>
          <w:p w14:paraId="5172070E" w14:textId="144811EE" w:rsidR="00CA7BDA" w:rsidRPr="00D11C11" w:rsidRDefault="00CA7BDA" w:rsidP="00CA7BDA">
            <w:pPr>
              <w:spacing w:after="0" w:line="240" w:lineRule="auto"/>
              <w:jc w:val="center"/>
              <w:rPr>
                <w:rFonts w:eastAsia="Times New Roman"/>
                <w:lang w:val="es-DO" w:eastAsia="es-DO"/>
              </w:rPr>
            </w:pPr>
          </w:p>
        </w:tc>
        <w:tc>
          <w:tcPr>
            <w:tcW w:w="435" w:type="pct"/>
            <w:shd w:val="clear" w:color="auto" w:fill="auto"/>
            <w:noWrap/>
            <w:vAlign w:val="center"/>
            <w:hideMark/>
          </w:tcPr>
          <w:p w14:paraId="1E85807A" w14:textId="2BE4937B"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hideMark/>
          </w:tcPr>
          <w:p w14:paraId="029E7A60" w14:textId="57D04B6D"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64B671C1" w14:textId="77777777" w:rsidTr="007400C6">
        <w:trPr>
          <w:trHeight w:val="331"/>
        </w:trPr>
        <w:tc>
          <w:tcPr>
            <w:tcW w:w="489" w:type="pct"/>
            <w:shd w:val="clear" w:color="auto" w:fill="auto"/>
            <w:vAlign w:val="center"/>
          </w:tcPr>
          <w:p w14:paraId="13A8E9C6" w14:textId="2EF534B7" w:rsidR="00CA7BDA" w:rsidRPr="00CA7BDA" w:rsidRDefault="00CA7BDA" w:rsidP="00CA7BDA">
            <w:pPr>
              <w:spacing w:after="0" w:line="240" w:lineRule="auto"/>
              <w:rPr>
                <w:rFonts w:eastAsia="Times New Roman"/>
                <w:lang w:val="es-DO" w:eastAsia="es-DO"/>
              </w:rPr>
            </w:pPr>
            <w:r>
              <w:rPr>
                <w:rFonts w:eastAsia="Times New Roman"/>
                <w:lang w:val="es-DO" w:eastAsia="es-DO"/>
              </w:rPr>
              <w:lastRenderedPageBreak/>
              <w:t xml:space="preserve">Inversión Producto - </w:t>
            </w:r>
            <w:r w:rsidRPr="00CA7BDA">
              <w:rPr>
                <w:lang w:val="es-DO"/>
              </w:rPr>
              <w:t>Proyecto</w:t>
            </w:r>
            <w:r w:rsidRPr="00CA7BDA">
              <w:rPr>
                <w:rFonts w:eastAsia="Times New Roman"/>
                <w:lang w:val="es-DO" w:eastAsia="es-DO"/>
              </w:rPr>
              <w:t xml:space="preserve"> de Ley de Embargo Retentivo</w:t>
            </w:r>
          </w:p>
        </w:tc>
        <w:tc>
          <w:tcPr>
            <w:tcW w:w="193" w:type="pct"/>
            <w:shd w:val="clear" w:color="auto" w:fill="auto"/>
            <w:noWrap/>
            <w:vAlign w:val="center"/>
          </w:tcPr>
          <w:p w14:paraId="521D1BDB" w14:textId="77777777" w:rsidR="00CA7BDA" w:rsidRPr="00D11C11"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41C292F9"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608D424E" w14:textId="77777777" w:rsidR="00CA7BDA" w:rsidRPr="00D11C11" w:rsidRDefault="00CA7BDA" w:rsidP="00CA7BDA">
            <w:pPr>
              <w:spacing w:after="0" w:line="240" w:lineRule="auto"/>
              <w:jc w:val="center"/>
              <w:rPr>
                <w:rFonts w:eastAsia="Times New Roman"/>
                <w:lang w:val="es-DO" w:eastAsia="es-DO"/>
              </w:rPr>
            </w:pPr>
          </w:p>
        </w:tc>
        <w:tc>
          <w:tcPr>
            <w:tcW w:w="178" w:type="pct"/>
            <w:shd w:val="clear" w:color="auto" w:fill="auto"/>
            <w:noWrap/>
            <w:vAlign w:val="center"/>
          </w:tcPr>
          <w:p w14:paraId="2635A119"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72721219" w14:textId="7777777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1D2D3701" w14:textId="77777777" w:rsidR="00CA7BDA" w:rsidRPr="00D11C11"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6AA3E6D2" w14:textId="77777777"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2CDAEEBE"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6605AA71"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02688C78" w14:textId="335E1475" w:rsidR="00CA7BDA" w:rsidRDefault="00CA7BDA" w:rsidP="00CA7BDA">
            <w:pPr>
              <w:spacing w:after="0" w:line="240" w:lineRule="auto"/>
              <w:jc w:val="center"/>
              <w:rPr>
                <w:rFonts w:eastAsia="Times New Roman"/>
                <w:lang w:val="es-DO" w:eastAsia="es-DO"/>
              </w:rPr>
            </w:pPr>
            <w:r>
              <w:rPr>
                <w:rFonts w:eastAsia="Times New Roman"/>
                <w:lang w:val="es-DO" w:eastAsia="es-DO"/>
              </w:rPr>
              <w:t>RD$</w:t>
            </w:r>
            <w:r>
              <w:t xml:space="preserve"> </w:t>
            </w:r>
            <w:r w:rsidRPr="00CA7BDA">
              <w:rPr>
                <w:rFonts w:eastAsia="Times New Roman"/>
                <w:lang w:val="es-DO" w:eastAsia="es-DO"/>
              </w:rPr>
              <w:t>4,250,000.00</w:t>
            </w:r>
          </w:p>
        </w:tc>
        <w:tc>
          <w:tcPr>
            <w:tcW w:w="449" w:type="pct"/>
            <w:shd w:val="clear" w:color="auto" w:fill="auto"/>
            <w:noWrap/>
            <w:vAlign w:val="center"/>
          </w:tcPr>
          <w:p w14:paraId="7FE17BC8" w14:textId="77777777" w:rsidR="00CA7BDA" w:rsidRPr="00D11C11" w:rsidRDefault="00CA7BDA" w:rsidP="00CA7BDA">
            <w:pPr>
              <w:spacing w:after="0" w:line="240" w:lineRule="auto"/>
              <w:jc w:val="center"/>
              <w:rPr>
                <w:rFonts w:eastAsia="Times New Roman"/>
                <w:lang w:val="es-DO" w:eastAsia="es-DO"/>
              </w:rPr>
            </w:pPr>
          </w:p>
        </w:tc>
        <w:tc>
          <w:tcPr>
            <w:tcW w:w="435" w:type="pct"/>
            <w:shd w:val="clear" w:color="auto" w:fill="auto"/>
            <w:noWrap/>
            <w:vAlign w:val="center"/>
          </w:tcPr>
          <w:p w14:paraId="08569D99" w14:textId="7777777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7DE8BD63" w14:textId="6CEA8450"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RD$</w:t>
            </w:r>
            <w:r>
              <w:t xml:space="preserve"> </w:t>
            </w:r>
            <w:r w:rsidRPr="00CA7BDA">
              <w:rPr>
                <w:rFonts w:eastAsia="Times New Roman"/>
                <w:lang w:val="es-DO" w:eastAsia="es-DO"/>
              </w:rPr>
              <w:t>4,250,000.00</w:t>
            </w:r>
          </w:p>
        </w:tc>
      </w:tr>
      <w:tr w:rsidR="007400C6" w:rsidRPr="00D13B4F" w14:paraId="1C6B9CB7" w14:textId="77777777" w:rsidTr="007400C6">
        <w:trPr>
          <w:trHeight w:val="331"/>
        </w:trPr>
        <w:tc>
          <w:tcPr>
            <w:tcW w:w="489" w:type="pct"/>
            <w:shd w:val="clear" w:color="auto" w:fill="auto"/>
            <w:vAlign w:val="center"/>
          </w:tcPr>
          <w:p w14:paraId="28552700" w14:textId="529B753A" w:rsidR="00CA7BDA" w:rsidRPr="00D13B4F" w:rsidRDefault="00CA7BDA" w:rsidP="00CA7BDA">
            <w:pPr>
              <w:spacing w:after="0" w:line="240" w:lineRule="auto"/>
              <w:rPr>
                <w:rFonts w:eastAsia="Times New Roman"/>
                <w:b/>
                <w:bCs/>
                <w:lang w:val="es-DO" w:eastAsia="es-DO"/>
              </w:rPr>
            </w:pPr>
            <w:r w:rsidRPr="00D13B4F">
              <w:rPr>
                <w:rFonts w:eastAsia="Times New Roman"/>
                <w:b/>
                <w:bCs/>
                <w:lang w:val="es-DO" w:eastAsia="es-DO"/>
              </w:rPr>
              <w:t>Inclusión Financiera para América Latina y el Caribe (FILAC-2023)</w:t>
            </w:r>
          </w:p>
        </w:tc>
        <w:tc>
          <w:tcPr>
            <w:tcW w:w="193" w:type="pct"/>
            <w:shd w:val="clear" w:color="auto" w:fill="auto"/>
            <w:noWrap/>
            <w:vAlign w:val="center"/>
          </w:tcPr>
          <w:p w14:paraId="65C5F301" w14:textId="77777777" w:rsidR="00CA7BDA" w:rsidRPr="00D13B4F"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76085C8E" w14:textId="77777777" w:rsidR="00CA7BDA" w:rsidRPr="00D13B4F"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39D3A2B5" w14:textId="502CE389" w:rsidR="00CA7BDA" w:rsidRPr="00D13B4F" w:rsidRDefault="00CA7BDA" w:rsidP="00CA7BDA">
            <w:pPr>
              <w:spacing w:after="0" w:line="240" w:lineRule="auto"/>
              <w:jc w:val="center"/>
              <w:rPr>
                <w:rFonts w:eastAsia="Times New Roman"/>
                <w:lang w:val="es-DO" w:eastAsia="es-DO"/>
              </w:rPr>
            </w:pPr>
            <w:r>
              <w:rPr>
                <w:rFonts w:eastAsia="Times New Roman"/>
                <w:lang w:val="es-DO" w:eastAsia="es-DO"/>
              </w:rPr>
              <w:t>100%</w:t>
            </w:r>
          </w:p>
        </w:tc>
        <w:tc>
          <w:tcPr>
            <w:tcW w:w="178" w:type="pct"/>
            <w:shd w:val="clear" w:color="auto" w:fill="auto"/>
            <w:noWrap/>
            <w:vAlign w:val="center"/>
          </w:tcPr>
          <w:p w14:paraId="0715BB9F" w14:textId="77777777" w:rsidR="00CA7BDA" w:rsidRPr="00D13B4F"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67CB6946" w14:textId="77777777" w:rsidR="00CA7BDA" w:rsidRPr="00D13B4F"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01928A36" w14:textId="77777777" w:rsidR="00CA7BDA" w:rsidRPr="00D13B4F"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6DCCDCAE" w14:textId="77777777"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673AFFB6"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5D70E246"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4EA58C9E"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40106689" w14:textId="77777777" w:rsidR="00CA7BDA" w:rsidRPr="00D11C11" w:rsidRDefault="00CA7BDA" w:rsidP="00CA7BDA">
            <w:pPr>
              <w:spacing w:after="0" w:line="240" w:lineRule="auto"/>
              <w:jc w:val="center"/>
              <w:rPr>
                <w:rFonts w:eastAsia="Times New Roman"/>
                <w:lang w:val="es-DO" w:eastAsia="es-DO"/>
              </w:rPr>
            </w:pPr>
          </w:p>
        </w:tc>
        <w:tc>
          <w:tcPr>
            <w:tcW w:w="435" w:type="pct"/>
            <w:shd w:val="clear" w:color="auto" w:fill="auto"/>
            <w:noWrap/>
            <w:vAlign w:val="center"/>
          </w:tcPr>
          <w:p w14:paraId="503A6724" w14:textId="7777777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6B93B3F5" w14:textId="4E7B5FBA"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297FB25A" w14:textId="77777777" w:rsidTr="007400C6">
        <w:trPr>
          <w:trHeight w:val="331"/>
        </w:trPr>
        <w:tc>
          <w:tcPr>
            <w:tcW w:w="489" w:type="pct"/>
            <w:shd w:val="clear" w:color="auto" w:fill="auto"/>
            <w:vAlign w:val="center"/>
          </w:tcPr>
          <w:p w14:paraId="11799B79" w14:textId="67D262C8" w:rsidR="00CA7BDA" w:rsidRPr="00CA7BDA" w:rsidRDefault="00CA7BDA" w:rsidP="00CA7BDA">
            <w:pPr>
              <w:spacing w:after="0" w:line="240" w:lineRule="auto"/>
              <w:rPr>
                <w:rFonts w:eastAsia="Times New Roman"/>
                <w:lang w:val="es-DO" w:eastAsia="es-DO"/>
              </w:rPr>
            </w:pPr>
            <w:r>
              <w:rPr>
                <w:rFonts w:eastAsia="Times New Roman"/>
                <w:lang w:val="es-DO" w:eastAsia="es-DO"/>
              </w:rPr>
              <w:t xml:space="preserve">Inversión Proyecto - </w:t>
            </w:r>
            <w:r w:rsidRPr="00CA7BDA">
              <w:rPr>
                <w:lang w:val="es-DO"/>
              </w:rPr>
              <w:t>Inclusión</w:t>
            </w:r>
            <w:r w:rsidRPr="00CA7BDA">
              <w:rPr>
                <w:rFonts w:eastAsia="Times New Roman"/>
                <w:lang w:val="es-DO" w:eastAsia="es-DO"/>
              </w:rPr>
              <w:t xml:space="preserve"> </w:t>
            </w:r>
            <w:r w:rsidRPr="00CA7BDA">
              <w:rPr>
                <w:rFonts w:eastAsia="Times New Roman"/>
                <w:lang w:val="es-DO" w:eastAsia="es-DO"/>
              </w:rPr>
              <w:lastRenderedPageBreak/>
              <w:t>Financiera para América Latina y el Caribe (FILAC-2023)</w:t>
            </w:r>
          </w:p>
        </w:tc>
        <w:tc>
          <w:tcPr>
            <w:tcW w:w="193" w:type="pct"/>
            <w:shd w:val="clear" w:color="auto" w:fill="auto"/>
            <w:noWrap/>
            <w:vAlign w:val="center"/>
          </w:tcPr>
          <w:p w14:paraId="014E3871" w14:textId="77777777" w:rsidR="00CA7BDA" w:rsidRPr="00D13B4F"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30D80578" w14:textId="77777777" w:rsidR="00CA7BDA" w:rsidRPr="00D13B4F"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6A568BD5" w14:textId="02A2ADD1" w:rsidR="00CA7BDA" w:rsidRDefault="00CA7BDA" w:rsidP="00CA7BDA">
            <w:pPr>
              <w:spacing w:after="0" w:line="240" w:lineRule="auto"/>
              <w:jc w:val="center"/>
              <w:rPr>
                <w:rFonts w:eastAsia="Times New Roman"/>
                <w:lang w:val="es-DO" w:eastAsia="es-DO"/>
              </w:rPr>
            </w:pPr>
            <w:r>
              <w:rPr>
                <w:rFonts w:eastAsia="Times New Roman"/>
                <w:lang w:val="es-DO" w:eastAsia="es-DO"/>
              </w:rPr>
              <w:t xml:space="preserve">RD$ </w:t>
            </w:r>
            <w:r>
              <w:t>3,500,000.00</w:t>
            </w:r>
          </w:p>
        </w:tc>
        <w:tc>
          <w:tcPr>
            <w:tcW w:w="178" w:type="pct"/>
            <w:shd w:val="clear" w:color="auto" w:fill="auto"/>
            <w:noWrap/>
            <w:vAlign w:val="center"/>
          </w:tcPr>
          <w:p w14:paraId="153F5B69" w14:textId="77777777" w:rsidR="00CA7BDA" w:rsidRPr="00D13B4F"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3AA29207" w14:textId="77777777" w:rsidR="00CA7BDA" w:rsidRPr="00D13B4F"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09C8E9F1" w14:textId="77777777" w:rsidR="00CA7BDA" w:rsidRPr="00D13B4F"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7BC37C64" w14:textId="77777777"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1588113A"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20098C27"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295282D8"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5D7267AB" w14:textId="77777777" w:rsidR="00CA7BDA" w:rsidRPr="00D11C11" w:rsidRDefault="00CA7BDA" w:rsidP="00CA7BDA">
            <w:pPr>
              <w:spacing w:after="0" w:line="240" w:lineRule="auto"/>
              <w:jc w:val="center"/>
              <w:rPr>
                <w:rFonts w:eastAsia="Times New Roman"/>
                <w:lang w:val="es-DO" w:eastAsia="es-DO"/>
              </w:rPr>
            </w:pPr>
          </w:p>
        </w:tc>
        <w:tc>
          <w:tcPr>
            <w:tcW w:w="435" w:type="pct"/>
            <w:shd w:val="clear" w:color="auto" w:fill="auto"/>
            <w:noWrap/>
            <w:vAlign w:val="center"/>
          </w:tcPr>
          <w:p w14:paraId="08FFE4BD" w14:textId="7777777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5BF6E36D" w14:textId="6E1443F9"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 xml:space="preserve">RD$ </w:t>
            </w:r>
            <w:r>
              <w:t>3,500,000.00</w:t>
            </w:r>
          </w:p>
        </w:tc>
      </w:tr>
      <w:tr w:rsidR="007400C6" w:rsidRPr="00D13B4F" w14:paraId="5897819D" w14:textId="77777777" w:rsidTr="007400C6">
        <w:trPr>
          <w:trHeight w:val="331"/>
        </w:trPr>
        <w:tc>
          <w:tcPr>
            <w:tcW w:w="489" w:type="pct"/>
            <w:shd w:val="clear" w:color="auto" w:fill="auto"/>
            <w:vAlign w:val="center"/>
          </w:tcPr>
          <w:p w14:paraId="79625997" w14:textId="0FBAEF62" w:rsidR="00CA7BDA" w:rsidRPr="00D13B4F" w:rsidRDefault="00CA7BDA" w:rsidP="00CA7BDA">
            <w:pPr>
              <w:spacing w:after="0" w:line="240" w:lineRule="auto"/>
              <w:rPr>
                <w:rFonts w:eastAsia="Times New Roman"/>
                <w:b/>
                <w:bCs/>
                <w:lang w:val="es-DO" w:eastAsia="es-DO"/>
              </w:rPr>
            </w:pPr>
            <w:r w:rsidRPr="00D13B4F">
              <w:rPr>
                <w:rFonts w:eastAsia="Times New Roman"/>
                <w:b/>
                <w:bCs/>
                <w:lang w:val="es-DO" w:eastAsia="es-DO"/>
              </w:rPr>
              <w:t>Open Banking – Fase II</w:t>
            </w:r>
          </w:p>
        </w:tc>
        <w:tc>
          <w:tcPr>
            <w:tcW w:w="193" w:type="pct"/>
            <w:shd w:val="clear" w:color="auto" w:fill="auto"/>
            <w:noWrap/>
            <w:vAlign w:val="center"/>
          </w:tcPr>
          <w:p w14:paraId="4D1400D9" w14:textId="77777777" w:rsidR="00CA7BDA" w:rsidRPr="00D13B4F"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13715C93" w14:textId="77777777" w:rsidR="00CA7BDA" w:rsidRPr="00D13B4F"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7EF941C6" w14:textId="77777777" w:rsidR="00CA7BDA" w:rsidRPr="00D13B4F" w:rsidRDefault="00CA7BDA" w:rsidP="00CA7BDA">
            <w:pPr>
              <w:spacing w:after="0" w:line="240" w:lineRule="auto"/>
              <w:jc w:val="center"/>
              <w:rPr>
                <w:rFonts w:eastAsia="Times New Roman"/>
                <w:lang w:val="es-DO" w:eastAsia="es-DO"/>
              </w:rPr>
            </w:pPr>
          </w:p>
        </w:tc>
        <w:tc>
          <w:tcPr>
            <w:tcW w:w="178" w:type="pct"/>
            <w:shd w:val="clear" w:color="auto" w:fill="auto"/>
            <w:noWrap/>
            <w:vAlign w:val="center"/>
          </w:tcPr>
          <w:p w14:paraId="3B5D48FC" w14:textId="77777777" w:rsidR="00CA7BDA" w:rsidRPr="00D13B4F"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04C5AF5C" w14:textId="77777777" w:rsidR="00CA7BDA" w:rsidRPr="00D13B4F"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2EE51EA9" w14:textId="77777777" w:rsidR="00CA7BDA" w:rsidRPr="00D13B4F"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26D602C0" w14:textId="77777777"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7B3452EB"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215DF30A"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2C418F3D"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6A20F15F" w14:textId="77777777" w:rsidR="00CA7BDA" w:rsidRPr="00D11C11" w:rsidRDefault="00CA7BDA" w:rsidP="00CA7BDA">
            <w:pPr>
              <w:spacing w:after="0" w:line="240" w:lineRule="auto"/>
              <w:jc w:val="center"/>
              <w:rPr>
                <w:rFonts w:eastAsia="Times New Roman"/>
                <w:lang w:val="es-DO" w:eastAsia="es-DO"/>
              </w:rPr>
            </w:pPr>
          </w:p>
        </w:tc>
        <w:tc>
          <w:tcPr>
            <w:tcW w:w="435" w:type="pct"/>
            <w:shd w:val="clear" w:color="auto" w:fill="auto"/>
            <w:noWrap/>
            <w:vAlign w:val="center"/>
          </w:tcPr>
          <w:p w14:paraId="0CD8BE07" w14:textId="63B8680D"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c>
          <w:tcPr>
            <w:tcW w:w="476" w:type="pct"/>
            <w:shd w:val="clear" w:color="auto" w:fill="auto"/>
            <w:noWrap/>
            <w:vAlign w:val="center"/>
          </w:tcPr>
          <w:p w14:paraId="71FED753" w14:textId="2E7AB415"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56C2D1F5" w14:textId="77777777" w:rsidTr="007400C6">
        <w:trPr>
          <w:trHeight w:val="331"/>
        </w:trPr>
        <w:tc>
          <w:tcPr>
            <w:tcW w:w="489" w:type="pct"/>
            <w:shd w:val="clear" w:color="auto" w:fill="auto"/>
            <w:vAlign w:val="center"/>
          </w:tcPr>
          <w:p w14:paraId="03A376D1" w14:textId="7364340D" w:rsidR="00CA7BDA" w:rsidRPr="00CA7BDA" w:rsidRDefault="00CA7BDA" w:rsidP="00CA7BDA">
            <w:pPr>
              <w:spacing w:after="0" w:line="240" w:lineRule="auto"/>
              <w:rPr>
                <w:rFonts w:eastAsia="Times New Roman"/>
                <w:lang w:val="es-DO" w:eastAsia="es-DO"/>
              </w:rPr>
            </w:pPr>
            <w:r>
              <w:rPr>
                <w:rFonts w:eastAsia="Times New Roman"/>
                <w:lang w:val="es-DO" w:eastAsia="es-DO"/>
              </w:rPr>
              <w:t>Inversión Proyecto -</w:t>
            </w:r>
            <w:r w:rsidRPr="00CA7BDA">
              <w:rPr>
                <w:lang w:val="es-DO"/>
              </w:rPr>
              <w:t xml:space="preserve"> </w:t>
            </w:r>
            <w:r w:rsidRPr="00CA7BDA">
              <w:rPr>
                <w:rFonts w:eastAsia="Times New Roman"/>
                <w:lang w:val="es-DO" w:eastAsia="es-DO"/>
              </w:rPr>
              <w:t xml:space="preserve">Open </w:t>
            </w:r>
            <w:proofErr w:type="spellStart"/>
            <w:r w:rsidRPr="00CA7BDA">
              <w:rPr>
                <w:rFonts w:eastAsia="Times New Roman"/>
                <w:lang w:val="es-DO" w:eastAsia="es-DO"/>
              </w:rPr>
              <w:t>Banking</w:t>
            </w:r>
            <w:proofErr w:type="spellEnd"/>
            <w:r w:rsidRPr="00CA7BDA">
              <w:rPr>
                <w:rFonts w:eastAsia="Times New Roman"/>
                <w:lang w:val="es-DO" w:eastAsia="es-DO"/>
              </w:rPr>
              <w:t xml:space="preserve"> – Fase II</w:t>
            </w:r>
          </w:p>
        </w:tc>
        <w:tc>
          <w:tcPr>
            <w:tcW w:w="193" w:type="pct"/>
            <w:shd w:val="clear" w:color="auto" w:fill="auto"/>
            <w:noWrap/>
            <w:vAlign w:val="center"/>
          </w:tcPr>
          <w:p w14:paraId="3111CF8C" w14:textId="77777777" w:rsidR="00CA7BDA" w:rsidRPr="00D13B4F"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1353FA5D" w14:textId="77777777" w:rsidR="00CA7BDA" w:rsidRPr="00D13B4F"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17B886B9" w14:textId="77777777" w:rsidR="00CA7BDA" w:rsidRPr="00D13B4F" w:rsidRDefault="00CA7BDA" w:rsidP="00CA7BDA">
            <w:pPr>
              <w:spacing w:after="0" w:line="240" w:lineRule="auto"/>
              <w:jc w:val="center"/>
              <w:rPr>
                <w:rFonts w:eastAsia="Times New Roman"/>
                <w:lang w:val="es-DO" w:eastAsia="es-DO"/>
              </w:rPr>
            </w:pPr>
          </w:p>
        </w:tc>
        <w:tc>
          <w:tcPr>
            <w:tcW w:w="178" w:type="pct"/>
            <w:shd w:val="clear" w:color="auto" w:fill="auto"/>
            <w:noWrap/>
            <w:vAlign w:val="center"/>
          </w:tcPr>
          <w:p w14:paraId="1D151EE2" w14:textId="77777777" w:rsidR="00CA7BDA" w:rsidRPr="00D13B4F"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4E4E7601" w14:textId="77777777" w:rsidR="00CA7BDA" w:rsidRPr="00D13B4F"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3311DD28" w14:textId="77777777" w:rsidR="00CA7BDA" w:rsidRPr="00D13B4F"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4F5E045F" w14:textId="77777777"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64DA9D3B"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31CECFC7"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6605DBFC"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09D53275" w14:textId="77777777" w:rsidR="00CA7BDA" w:rsidRPr="00D11C11" w:rsidRDefault="00CA7BDA" w:rsidP="00CA7BDA">
            <w:pPr>
              <w:spacing w:after="0" w:line="240" w:lineRule="auto"/>
              <w:jc w:val="center"/>
              <w:rPr>
                <w:rFonts w:eastAsia="Times New Roman"/>
                <w:lang w:val="es-DO" w:eastAsia="es-DO"/>
              </w:rPr>
            </w:pPr>
          </w:p>
        </w:tc>
        <w:tc>
          <w:tcPr>
            <w:tcW w:w="435" w:type="pct"/>
            <w:shd w:val="clear" w:color="auto" w:fill="auto"/>
            <w:noWrap/>
            <w:vAlign w:val="center"/>
          </w:tcPr>
          <w:p w14:paraId="52FD7929" w14:textId="784ED39D" w:rsidR="00CA7BDA" w:rsidRDefault="00CA7BDA" w:rsidP="00CA7BDA">
            <w:pPr>
              <w:spacing w:after="0" w:line="240" w:lineRule="auto"/>
              <w:jc w:val="center"/>
              <w:rPr>
                <w:rFonts w:eastAsia="Times New Roman"/>
                <w:lang w:val="es-DO" w:eastAsia="es-DO"/>
              </w:rPr>
            </w:pPr>
            <w:r>
              <w:rPr>
                <w:rFonts w:eastAsia="Times New Roman"/>
                <w:lang w:val="es-DO" w:eastAsia="es-DO"/>
              </w:rPr>
              <w:t>RD$</w:t>
            </w:r>
            <w:r w:rsidRPr="00CA7BDA">
              <w:rPr>
                <w:rFonts w:eastAsia="Times New Roman"/>
                <w:lang w:val="es-DO" w:eastAsia="es-DO"/>
              </w:rPr>
              <w:t>1,758,500.00</w:t>
            </w:r>
          </w:p>
        </w:tc>
        <w:tc>
          <w:tcPr>
            <w:tcW w:w="476" w:type="pct"/>
            <w:shd w:val="clear" w:color="auto" w:fill="auto"/>
            <w:noWrap/>
            <w:vAlign w:val="center"/>
          </w:tcPr>
          <w:p w14:paraId="611DFEBF" w14:textId="345B66FE" w:rsidR="00CA7BDA" w:rsidRPr="00D11C11" w:rsidRDefault="00CA7BDA" w:rsidP="00CA7BDA">
            <w:pPr>
              <w:spacing w:after="0" w:line="240" w:lineRule="auto"/>
              <w:jc w:val="center"/>
              <w:rPr>
                <w:rFonts w:eastAsia="Times New Roman"/>
                <w:lang w:val="es-DO" w:eastAsia="es-DO"/>
              </w:rPr>
            </w:pPr>
            <w:r>
              <w:rPr>
                <w:rFonts w:eastAsia="Times New Roman"/>
                <w:lang w:val="es-DO" w:eastAsia="es-DO"/>
              </w:rPr>
              <w:t>RD$</w:t>
            </w:r>
            <w:r w:rsidRPr="00CA7BDA">
              <w:rPr>
                <w:rFonts w:eastAsia="Times New Roman"/>
                <w:lang w:val="es-DO" w:eastAsia="es-DO"/>
              </w:rPr>
              <w:t>1,758,500.00</w:t>
            </w:r>
          </w:p>
        </w:tc>
      </w:tr>
      <w:tr w:rsidR="007400C6" w:rsidRPr="00D13B4F" w14:paraId="2C1CDBCF" w14:textId="77777777" w:rsidTr="007400C6">
        <w:trPr>
          <w:trHeight w:val="331"/>
        </w:trPr>
        <w:tc>
          <w:tcPr>
            <w:tcW w:w="489" w:type="pct"/>
            <w:shd w:val="clear" w:color="auto" w:fill="auto"/>
            <w:vAlign w:val="center"/>
          </w:tcPr>
          <w:p w14:paraId="40F18ABC" w14:textId="786FEAF9" w:rsidR="00D13B4F" w:rsidRPr="00D13B4F" w:rsidRDefault="00D13B4F" w:rsidP="003A11A2">
            <w:pPr>
              <w:spacing w:after="0" w:line="240" w:lineRule="auto"/>
              <w:rPr>
                <w:rFonts w:eastAsia="Times New Roman"/>
                <w:b/>
                <w:bCs/>
                <w:lang w:val="es-DO" w:eastAsia="es-DO"/>
              </w:rPr>
            </w:pPr>
            <w:r w:rsidRPr="00D13B4F">
              <w:rPr>
                <w:rFonts w:eastAsia="Times New Roman"/>
                <w:b/>
                <w:bCs/>
                <w:lang w:val="es-DO" w:eastAsia="es-DO"/>
              </w:rPr>
              <w:t>Sellos de Subagentes Bancarios</w:t>
            </w:r>
          </w:p>
        </w:tc>
        <w:tc>
          <w:tcPr>
            <w:tcW w:w="193" w:type="pct"/>
            <w:shd w:val="clear" w:color="auto" w:fill="auto"/>
            <w:noWrap/>
            <w:vAlign w:val="center"/>
          </w:tcPr>
          <w:p w14:paraId="0D6426B7" w14:textId="77777777" w:rsidR="00D13B4F" w:rsidRPr="00D13B4F" w:rsidRDefault="00D13B4F" w:rsidP="00CA7BDA">
            <w:pPr>
              <w:spacing w:after="0" w:line="240" w:lineRule="auto"/>
              <w:jc w:val="center"/>
              <w:rPr>
                <w:rFonts w:eastAsia="Times New Roman"/>
                <w:lang w:val="es-DO" w:eastAsia="es-DO"/>
              </w:rPr>
            </w:pPr>
          </w:p>
        </w:tc>
        <w:tc>
          <w:tcPr>
            <w:tcW w:w="238" w:type="pct"/>
            <w:shd w:val="clear" w:color="auto" w:fill="auto"/>
            <w:noWrap/>
            <w:vAlign w:val="center"/>
          </w:tcPr>
          <w:p w14:paraId="562DFAD8" w14:textId="77777777" w:rsidR="00D13B4F" w:rsidRPr="00D13B4F" w:rsidRDefault="00D13B4F" w:rsidP="00CA7BDA">
            <w:pPr>
              <w:spacing w:after="0" w:line="240" w:lineRule="auto"/>
              <w:jc w:val="center"/>
              <w:rPr>
                <w:rFonts w:eastAsia="Times New Roman"/>
                <w:lang w:val="es-DO" w:eastAsia="es-DO"/>
              </w:rPr>
            </w:pPr>
          </w:p>
        </w:tc>
        <w:tc>
          <w:tcPr>
            <w:tcW w:w="449" w:type="pct"/>
            <w:shd w:val="clear" w:color="auto" w:fill="auto"/>
            <w:noWrap/>
            <w:vAlign w:val="center"/>
          </w:tcPr>
          <w:p w14:paraId="3CFD0B6F" w14:textId="77777777" w:rsidR="00D13B4F" w:rsidRPr="00D13B4F" w:rsidRDefault="00D13B4F" w:rsidP="00CA7BDA">
            <w:pPr>
              <w:spacing w:after="0" w:line="240" w:lineRule="auto"/>
              <w:jc w:val="center"/>
              <w:rPr>
                <w:rFonts w:eastAsia="Times New Roman"/>
                <w:lang w:val="es-DO" w:eastAsia="es-DO"/>
              </w:rPr>
            </w:pPr>
          </w:p>
        </w:tc>
        <w:tc>
          <w:tcPr>
            <w:tcW w:w="178" w:type="pct"/>
            <w:shd w:val="clear" w:color="auto" w:fill="auto"/>
            <w:noWrap/>
            <w:vAlign w:val="center"/>
          </w:tcPr>
          <w:p w14:paraId="52AC686E" w14:textId="77777777" w:rsidR="00D13B4F" w:rsidRPr="00D13B4F" w:rsidRDefault="00D13B4F" w:rsidP="00CA7BDA">
            <w:pPr>
              <w:spacing w:after="0" w:line="240" w:lineRule="auto"/>
              <w:jc w:val="center"/>
              <w:rPr>
                <w:rFonts w:eastAsia="Times New Roman"/>
                <w:lang w:val="es-DO" w:eastAsia="es-DO"/>
              </w:rPr>
            </w:pPr>
          </w:p>
        </w:tc>
        <w:tc>
          <w:tcPr>
            <w:tcW w:w="393" w:type="pct"/>
            <w:shd w:val="clear" w:color="auto" w:fill="auto"/>
            <w:noWrap/>
            <w:vAlign w:val="center"/>
          </w:tcPr>
          <w:p w14:paraId="3B2F2C43" w14:textId="77777777" w:rsidR="00D13B4F" w:rsidRPr="00D13B4F" w:rsidRDefault="00D13B4F" w:rsidP="00CA7BDA">
            <w:pPr>
              <w:spacing w:after="0" w:line="240" w:lineRule="auto"/>
              <w:jc w:val="center"/>
              <w:rPr>
                <w:rFonts w:eastAsia="Times New Roman"/>
                <w:lang w:val="es-DO" w:eastAsia="es-DO"/>
              </w:rPr>
            </w:pPr>
          </w:p>
        </w:tc>
        <w:tc>
          <w:tcPr>
            <w:tcW w:w="476" w:type="pct"/>
            <w:shd w:val="clear" w:color="auto" w:fill="auto"/>
            <w:noWrap/>
            <w:vAlign w:val="center"/>
          </w:tcPr>
          <w:p w14:paraId="1BC1DA30" w14:textId="77777777" w:rsidR="00D13B4F" w:rsidRPr="00D13B4F" w:rsidRDefault="00D13B4F" w:rsidP="00CA7BDA">
            <w:pPr>
              <w:spacing w:after="0" w:line="240" w:lineRule="auto"/>
              <w:jc w:val="center"/>
              <w:rPr>
                <w:rFonts w:eastAsia="Times New Roman"/>
                <w:lang w:val="es-DO" w:eastAsia="es-DO"/>
              </w:rPr>
            </w:pPr>
          </w:p>
        </w:tc>
        <w:tc>
          <w:tcPr>
            <w:tcW w:w="170" w:type="pct"/>
            <w:shd w:val="clear" w:color="auto" w:fill="auto"/>
            <w:noWrap/>
            <w:vAlign w:val="center"/>
          </w:tcPr>
          <w:p w14:paraId="76DC20BA" w14:textId="77777777" w:rsidR="00D13B4F" w:rsidRPr="00D11C11" w:rsidRDefault="00D13B4F" w:rsidP="00CA7BDA">
            <w:pPr>
              <w:spacing w:after="0" w:line="240" w:lineRule="auto"/>
              <w:jc w:val="center"/>
              <w:rPr>
                <w:rFonts w:eastAsia="Times New Roman"/>
                <w:lang w:val="es-DO" w:eastAsia="es-DO"/>
              </w:rPr>
            </w:pPr>
          </w:p>
        </w:tc>
        <w:tc>
          <w:tcPr>
            <w:tcW w:w="212" w:type="pct"/>
            <w:shd w:val="clear" w:color="auto" w:fill="auto"/>
            <w:noWrap/>
            <w:vAlign w:val="center"/>
          </w:tcPr>
          <w:p w14:paraId="75E06FBC" w14:textId="77777777" w:rsidR="00D13B4F" w:rsidRPr="00D11C11" w:rsidRDefault="00D13B4F" w:rsidP="00CA7BDA">
            <w:pPr>
              <w:spacing w:after="0" w:line="240" w:lineRule="auto"/>
              <w:jc w:val="center"/>
              <w:rPr>
                <w:rFonts w:eastAsia="Times New Roman"/>
                <w:lang w:val="es-DO" w:eastAsia="es-DO"/>
              </w:rPr>
            </w:pPr>
          </w:p>
        </w:tc>
        <w:tc>
          <w:tcPr>
            <w:tcW w:w="393" w:type="pct"/>
            <w:shd w:val="clear" w:color="auto" w:fill="auto"/>
            <w:noWrap/>
            <w:vAlign w:val="center"/>
          </w:tcPr>
          <w:p w14:paraId="3E2B7C5A" w14:textId="6FBE45F6" w:rsidR="00D13B4F"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c>
          <w:tcPr>
            <w:tcW w:w="449" w:type="pct"/>
            <w:shd w:val="clear" w:color="auto" w:fill="auto"/>
            <w:noWrap/>
            <w:vAlign w:val="center"/>
          </w:tcPr>
          <w:p w14:paraId="254E68AE" w14:textId="77777777" w:rsidR="00D13B4F" w:rsidRPr="00D11C11" w:rsidRDefault="00D13B4F" w:rsidP="00CA7BDA">
            <w:pPr>
              <w:spacing w:after="0" w:line="240" w:lineRule="auto"/>
              <w:jc w:val="center"/>
              <w:rPr>
                <w:rFonts w:eastAsia="Times New Roman"/>
                <w:lang w:val="es-DO" w:eastAsia="es-DO"/>
              </w:rPr>
            </w:pPr>
          </w:p>
        </w:tc>
        <w:tc>
          <w:tcPr>
            <w:tcW w:w="449" w:type="pct"/>
            <w:shd w:val="clear" w:color="auto" w:fill="auto"/>
            <w:noWrap/>
            <w:vAlign w:val="center"/>
          </w:tcPr>
          <w:p w14:paraId="4C12A8D6" w14:textId="77777777" w:rsidR="00D13B4F" w:rsidRPr="00D11C11" w:rsidRDefault="00D13B4F" w:rsidP="00CA7BDA">
            <w:pPr>
              <w:spacing w:after="0" w:line="240" w:lineRule="auto"/>
              <w:jc w:val="center"/>
              <w:rPr>
                <w:rFonts w:eastAsia="Times New Roman"/>
                <w:lang w:val="es-DO" w:eastAsia="es-DO"/>
              </w:rPr>
            </w:pPr>
          </w:p>
        </w:tc>
        <w:tc>
          <w:tcPr>
            <w:tcW w:w="435" w:type="pct"/>
            <w:shd w:val="clear" w:color="auto" w:fill="auto"/>
            <w:noWrap/>
            <w:vAlign w:val="center"/>
          </w:tcPr>
          <w:p w14:paraId="02E3FA7B" w14:textId="77777777" w:rsidR="00D13B4F" w:rsidRPr="00D11C11" w:rsidRDefault="00D13B4F" w:rsidP="00CA7BDA">
            <w:pPr>
              <w:spacing w:after="0" w:line="240" w:lineRule="auto"/>
              <w:jc w:val="center"/>
              <w:rPr>
                <w:rFonts w:eastAsia="Times New Roman"/>
                <w:lang w:val="es-DO" w:eastAsia="es-DO"/>
              </w:rPr>
            </w:pPr>
          </w:p>
        </w:tc>
        <w:tc>
          <w:tcPr>
            <w:tcW w:w="476" w:type="pct"/>
            <w:shd w:val="clear" w:color="auto" w:fill="auto"/>
            <w:noWrap/>
            <w:vAlign w:val="center"/>
          </w:tcPr>
          <w:p w14:paraId="7F0CE0E6" w14:textId="1E4D25EC" w:rsidR="00D13B4F" w:rsidRPr="00D11C11" w:rsidRDefault="00CA7BDA" w:rsidP="00CA7BDA">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51E05911" w14:textId="77777777" w:rsidTr="007400C6">
        <w:trPr>
          <w:trHeight w:val="331"/>
        </w:trPr>
        <w:tc>
          <w:tcPr>
            <w:tcW w:w="489" w:type="pct"/>
            <w:shd w:val="clear" w:color="auto" w:fill="auto"/>
            <w:vAlign w:val="center"/>
          </w:tcPr>
          <w:p w14:paraId="62D01ABB" w14:textId="0BF14BEE" w:rsidR="00CA7BDA" w:rsidRPr="00CA7BDA" w:rsidRDefault="00CA7BDA" w:rsidP="003A11A2">
            <w:pPr>
              <w:spacing w:after="0" w:line="240" w:lineRule="auto"/>
              <w:rPr>
                <w:rFonts w:eastAsia="Times New Roman"/>
                <w:lang w:val="es-DO" w:eastAsia="es-DO"/>
              </w:rPr>
            </w:pPr>
            <w:r>
              <w:rPr>
                <w:rFonts w:eastAsia="Times New Roman"/>
                <w:lang w:val="es-DO" w:eastAsia="es-DO"/>
              </w:rPr>
              <w:t xml:space="preserve">Inversión Proyecto - </w:t>
            </w:r>
            <w:r w:rsidRPr="00CA7BDA">
              <w:rPr>
                <w:lang w:val="es-DO"/>
              </w:rPr>
              <w:t>Sellos</w:t>
            </w:r>
            <w:r w:rsidRPr="00CA7BDA">
              <w:rPr>
                <w:rFonts w:eastAsia="Times New Roman"/>
                <w:lang w:val="es-DO" w:eastAsia="es-DO"/>
              </w:rPr>
              <w:t xml:space="preserve"> </w:t>
            </w:r>
            <w:r w:rsidRPr="00CA7BDA">
              <w:rPr>
                <w:rFonts w:eastAsia="Times New Roman"/>
                <w:lang w:val="es-DO" w:eastAsia="es-DO"/>
              </w:rPr>
              <w:lastRenderedPageBreak/>
              <w:t>de Subagentes Bancarios</w:t>
            </w:r>
          </w:p>
        </w:tc>
        <w:tc>
          <w:tcPr>
            <w:tcW w:w="193" w:type="pct"/>
            <w:shd w:val="clear" w:color="auto" w:fill="auto"/>
            <w:noWrap/>
            <w:vAlign w:val="center"/>
          </w:tcPr>
          <w:p w14:paraId="649E585D" w14:textId="77777777" w:rsidR="00CA7BDA" w:rsidRPr="00D13B4F" w:rsidRDefault="00CA7BDA" w:rsidP="00CA7BDA">
            <w:pPr>
              <w:spacing w:after="0" w:line="240" w:lineRule="auto"/>
              <w:jc w:val="center"/>
              <w:rPr>
                <w:rFonts w:eastAsia="Times New Roman"/>
                <w:lang w:val="es-DO" w:eastAsia="es-DO"/>
              </w:rPr>
            </w:pPr>
          </w:p>
        </w:tc>
        <w:tc>
          <w:tcPr>
            <w:tcW w:w="238" w:type="pct"/>
            <w:shd w:val="clear" w:color="auto" w:fill="auto"/>
            <w:noWrap/>
            <w:vAlign w:val="center"/>
          </w:tcPr>
          <w:p w14:paraId="29B0DF39" w14:textId="77777777" w:rsidR="00CA7BDA" w:rsidRPr="00D13B4F"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017055B8" w14:textId="77777777" w:rsidR="00CA7BDA" w:rsidRPr="00D13B4F" w:rsidRDefault="00CA7BDA" w:rsidP="00CA7BDA">
            <w:pPr>
              <w:spacing w:after="0" w:line="240" w:lineRule="auto"/>
              <w:jc w:val="center"/>
              <w:rPr>
                <w:rFonts w:eastAsia="Times New Roman"/>
                <w:lang w:val="es-DO" w:eastAsia="es-DO"/>
              </w:rPr>
            </w:pPr>
          </w:p>
        </w:tc>
        <w:tc>
          <w:tcPr>
            <w:tcW w:w="178" w:type="pct"/>
            <w:shd w:val="clear" w:color="auto" w:fill="auto"/>
            <w:noWrap/>
            <w:vAlign w:val="center"/>
          </w:tcPr>
          <w:p w14:paraId="4D95164F" w14:textId="77777777" w:rsidR="00CA7BDA" w:rsidRPr="00D13B4F"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6B85C3D1" w14:textId="77777777" w:rsidR="00CA7BDA" w:rsidRPr="00D13B4F"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05B61C8B" w14:textId="77777777" w:rsidR="00CA7BDA" w:rsidRPr="00D13B4F" w:rsidRDefault="00CA7BDA" w:rsidP="00CA7BDA">
            <w:pPr>
              <w:spacing w:after="0" w:line="240" w:lineRule="auto"/>
              <w:jc w:val="center"/>
              <w:rPr>
                <w:rFonts w:eastAsia="Times New Roman"/>
                <w:lang w:val="es-DO" w:eastAsia="es-DO"/>
              </w:rPr>
            </w:pPr>
          </w:p>
        </w:tc>
        <w:tc>
          <w:tcPr>
            <w:tcW w:w="170" w:type="pct"/>
            <w:shd w:val="clear" w:color="auto" w:fill="auto"/>
            <w:noWrap/>
            <w:vAlign w:val="center"/>
          </w:tcPr>
          <w:p w14:paraId="3671BE76" w14:textId="77777777" w:rsidR="00CA7BDA" w:rsidRPr="00D11C11" w:rsidRDefault="00CA7BDA" w:rsidP="00CA7BDA">
            <w:pPr>
              <w:spacing w:after="0" w:line="240" w:lineRule="auto"/>
              <w:jc w:val="center"/>
              <w:rPr>
                <w:rFonts w:eastAsia="Times New Roman"/>
                <w:lang w:val="es-DO" w:eastAsia="es-DO"/>
              </w:rPr>
            </w:pPr>
          </w:p>
        </w:tc>
        <w:tc>
          <w:tcPr>
            <w:tcW w:w="212" w:type="pct"/>
            <w:shd w:val="clear" w:color="auto" w:fill="auto"/>
            <w:noWrap/>
            <w:vAlign w:val="center"/>
          </w:tcPr>
          <w:p w14:paraId="44A49706" w14:textId="77777777" w:rsidR="00CA7BDA" w:rsidRPr="00D11C11" w:rsidRDefault="00CA7BDA" w:rsidP="00CA7BDA">
            <w:pPr>
              <w:spacing w:after="0" w:line="240" w:lineRule="auto"/>
              <w:jc w:val="center"/>
              <w:rPr>
                <w:rFonts w:eastAsia="Times New Roman"/>
                <w:lang w:val="es-DO" w:eastAsia="es-DO"/>
              </w:rPr>
            </w:pPr>
          </w:p>
        </w:tc>
        <w:tc>
          <w:tcPr>
            <w:tcW w:w="393" w:type="pct"/>
            <w:shd w:val="clear" w:color="auto" w:fill="auto"/>
            <w:noWrap/>
            <w:vAlign w:val="center"/>
          </w:tcPr>
          <w:p w14:paraId="79429911" w14:textId="0BB66A92" w:rsidR="00CA7BDA" w:rsidRDefault="00CA7BDA" w:rsidP="00CA7BDA">
            <w:pPr>
              <w:spacing w:after="0" w:line="240" w:lineRule="auto"/>
              <w:jc w:val="center"/>
              <w:rPr>
                <w:rFonts w:eastAsia="Times New Roman"/>
                <w:lang w:val="es-DO" w:eastAsia="es-DO"/>
              </w:rPr>
            </w:pPr>
            <w:r>
              <w:rPr>
                <w:rFonts w:eastAsia="Times New Roman"/>
                <w:lang w:val="es-DO" w:eastAsia="es-DO"/>
              </w:rPr>
              <w:t>N/A</w:t>
            </w:r>
          </w:p>
        </w:tc>
        <w:tc>
          <w:tcPr>
            <w:tcW w:w="449" w:type="pct"/>
            <w:shd w:val="clear" w:color="auto" w:fill="auto"/>
            <w:noWrap/>
            <w:vAlign w:val="center"/>
          </w:tcPr>
          <w:p w14:paraId="0AF723DB" w14:textId="77777777" w:rsidR="00CA7BDA" w:rsidRPr="00D11C11" w:rsidRDefault="00CA7BDA" w:rsidP="00CA7BDA">
            <w:pPr>
              <w:spacing w:after="0" w:line="240" w:lineRule="auto"/>
              <w:jc w:val="center"/>
              <w:rPr>
                <w:rFonts w:eastAsia="Times New Roman"/>
                <w:lang w:val="es-DO" w:eastAsia="es-DO"/>
              </w:rPr>
            </w:pPr>
          </w:p>
        </w:tc>
        <w:tc>
          <w:tcPr>
            <w:tcW w:w="449" w:type="pct"/>
            <w:shd w:val="clear" w:color="auto" w:fill="auto"/>
            <w:noWrap/>
            <w:vAlign w:val="center"/>
          </w:tcPr>
          <w:p w14:paraId="462733A4" w14:textId="77777777" w:rsidR="00CA7BDA" w:rsidRPr="00D11C11" w:rsidRDefault="00CA7BDA" w:rsidP="00CA7BDA">
            <w:pPr>
              <w:spacing w:after="0" w:line="240" w:lineRule="auto"/>
              <w:jc w:val="center"/>
              <w:rPr>
                <w:rFonts w:eastAsia="Times New Roman"/>
                <w:lang w:val="es-DO" w:eastAsia="es-DO"/>
              </w:rPr>
            </w:pPr>
          </w:p>
        </w:tc>
        <w:tc>
          <w:tcPr>
            <w:tcW w:w="435" w:type="pct"/>
            <w:shd w:val="clear" w:color="auto" w:fill="auto"/>
            <w:noWrap/>
            <w:vAlign w:val="center"/>
          </w:tcPr>
          <w:p w14:paraId="68F5056C" w14:textId="77777777" w:rsidR="00CA7BDA" w:rsidRPr="00D11C11" w:rsidRDefault="00CA7BDA" w:rsidP="00CA7BDA">
            <w:pPr>
              <w:spacing w:after="0" w:line="240" w:lineRule="auto"/>
              <w:jc w:val="center"/>
              <w:rPr>
                <w:rFonts w:eastAsia="Times New Roman"/>
                <w:lang w:val="es-DO" w:eastAsia="es-DO"/>
              </w:rPr>
            </w:pPr>
          </w:p>
        </w:tc>
        <w:tc>
          <w:tcPr>
            <w:tcW w:w="476" w:type="pct"/>
            <w:shd w:val="clear" w:color="auto" w:fill="auto"/>
            <w:noWrap/>
            <w:vAlign w:val="center"/>
          </w:tcPr>
          <w:p w14:paraId="1ADE0130" w14:textId="177BE4D9" w:rsidR="00CA7BDA" w:rsidRDefault="00CA7BDA" w:rsidP="00CA7BDA">
            <w:pPr>
              <w:spacing w:after="0" w:line="240" w:lineRule="auto"/>
              <w:jc w:val="center"/>
              <w:rPr>
                <w:rFonts w:eastAsia="Times New Roman"/>
                <w:lang w:val="es-DO" w:eastAsia="es-DO"/>
              </w:rPr>
            </w:pPr>
            <w:r>
              <w:rPr>
                <w:rFonts w:eastAsia="Times New Roman"/>
                <w:lang w:val="es-DO" w:eastAsia="es-DO"/>
              </w:rPr>
              <w:t>N/A</w:t>
            </w:r>
          </w:p>
        </w:tc>
      </w:tr>
      <w:tr w:rsidR="007400C6" w:rsidRPr="00D13B4F" w14:paraId="63320CAF" w14:textId="77777777" w:rsidTr="007400C6">
        <w:trPr>
          <w:trHeight w:val="331"/>
        </w:trPr>
        <w:tc>
          <w:tcPr>
            <w:tcW w:w="489" w:type="pct"/>
            <w:shd w:val="clear" w:color="auto" w:fill="auto"/>
            <w:vAlign w:val="center"/>
          </w:tcPr>
          <w:p w14:paraId="4BE3BB9A" w14:textId="09423EEC" w:rsidR="00D13B4F" w:rsidRPr="00D13B4F" w:rsidRDefault="00D13B4F" w:rsidP="003A11A2">
            <w:pPr>
              <w:spacing w:after="0" w:line="240" w:lineRule="auto"/>
              <w:rPr>
                <w:rFonts w:eastAsia="Times New Roman"/>
                <w:b/>
                <w:bCs/>
                <w:lang w:val="es-DO" w:eastAsia="es-DO"/>
              </w:rPr>
            </w:pPr>
            <w:r w:rsidRPr="00D13B4F">
              <w:rPr>
                <w:rFonts w:eastAsia="Times New Roman"/>
                <w:b/>
                <w:bCs/>
                <w:lang w:val="es-DO" w:eastAsia="es-DO"/>
              </w:rPr>
              <w:t>Implementación del Manual de Requerimientos de Información (MRI)</w:t>
            </w:r>
          </w:p>
        </w:tc>
        <w:tc>
          <w:tcPr>
            <w:tcW w:w="193" w:type="pct"/>
            <w:shd w:val="clear" w:color="auto" w:fill="auto"/>
            <w:noWrap/>
            <w:vAlign w:val="center"/>
          </w:tcPr>
          <w:p w14:paraId="7AA0D9A2" w14:textId="77777777" w:rsidR="00D13B4F" w:rsidRPr="00D13B4F" w:rsidRDefault="00D13B4F" w:rsidP="00CA7BDA">
            <w:pPr>
              <w:spacing w:after="0" w:line="240" w:lineRule="auto"/>
              <w:jc w:val="center"/>
              <w:rPr>
                <w:rFonts w:eastAsia="Times New Roman"/>
                <w:lang w:val="es-DO" w:eastAsia="es-DO"/>
              </w:rPr>
            </w:pPr>
          </w:p>
        </w:tc>
        <w:tc>
          <w:tcPr>
            <w:tcW w:w="238" w:type="pct"/>
            <w:shd w:val="clear" w:color="auto" w:fill="auto"/>
            <w:noWrap/>
            <w:vAlign w:val="center"/>
          </w:tcPr>
          <w:p w14:paraId="07CA2220" w14:textId="77777777" w:rsidR="00D13B4F" w:rsidRPr="00D13B4F" w:rsidRDefault="00D13B4F" w:rsidP="00CA7BDA">
            <w:pPr>
              <w:spacing w:after="0" w:line="240" w:lineRule="auto"/>
              <w:jc w:val="center"/>
              <w:rPr>
                <w:rFonts w:eastAsia="Times New Roman"/>
                <w:lang w:val="es-DO" w:eastAsia="es-DO"/>
              </w:rPr>
            </w:pPr>
          </w:p>
        </w:tc>
        <w:tc>
          <w:tcPr>
            <w:tcW w:w="449" w:type="pct"/>
            <w:shd w:val="clear" w:color="auto" w:fill="auto"/>
            <w:noWrap/>
            <w:vAlign w:val="center"/>
          </w:tcPr>
          <w:p w14:paraId="708BEC48" w14:textId="77777777" w:rsidR="00D13B4F" w:rsidRPr="00D13B4F" w:rsidRDefault="00D13B4F" w:rsidP="00CA7BDA">
            <w:pPr>
              <w:spacing w:after="0" w:line="240" w:lineRule="auto"/>
              <w:jc w:val="center"/>
              <w:rPr>
                <w:rFonts w:eastAsia="Times New Roman"/>
                <w:lang w:val="es-DO" w:eastAsia="es-DO"/>
              </w:rPr>
            </w:pPr>
          </w:p>
        </w:tc>
        <w:tc>
          <w:tcPr>
            <w:tcW w:w="178" w:type="pct"/>
            <w:shd w:val="clear" w:color="auto" w:fill="auto"/>
            <w:noWrap/>
            <w:vAlign w:val="center"/>
          </w:tcPr>
          <w:p w14:paraId="42F46B03" w14:textId="77777777" w:rsidR="00D13B4F" w:rsidRPr="00D13B4F" w:rsidRDefault="00D13B4F" w:rsidP="00CA7BDA">
            <w:pPr>
              <w:spacing w:after="0" w:line="240" w:lineRule="auto"/>
              <w:jc w:val="center"/>
              <w:rPr>
                <w:rFonts w:eastAsia="Times New Roman"/>
                <w:lang w:val="es-DO" w:eastAsia="es-DO"/>
              </w:rPr>
            </w:pPr>
          </w:p>
        </w:tc>
        <w:tc>
          <w:tcPr>
            <w:tcW w:w="393" w:type="pct"/>
            <w:shd w:val="clear" w:color="auto" w:fill="auto"/>
            <w:noWrap/>
            <w:vAlign w:val="center"/>
          </w:tcPr>
          <w:p w14:paraId="35BA1873" w14:textId="77777777" w:rsidR="00D13B4F" w:rsidRPr="00D13B4F" w:rsidRDefault="00D13B4F" w:rsidP="00CA7BDA">
            <w:pPr>
              <w:spacing w:after="0" w:line="240" w:lineRule="auto"/>
              <w:jc w:val="center"/>
              <w:rPr>
                <w:rFonts w:eastAsia="Times New Roman"/>
                <w:lang w:val="es-DO" w:eastAsia="es-DO"/>
              </w:rPr>
            </w:pPr>
          </w:p>
        </w:tc>
        <w:tc>
          <w:tcPr>
            <w:tcW w:w="476" w:type="pct"/>
            <w:shd w:val="clear" w:color="auto" w:fill="auto"/>
            <w:noWrap/>
            <w:vAlign w:val="center"/>
          </w:tcPr>
          <w:p w14:paraId="3F48BCC2" w14:textId="77777777" w:rsidR="00D13B4F" w:rsidRPr="00D13B4F" w:rsidRDefault="00D13B4F" w:rsidP="00CA7BDA">
            <w:pPr>
              <w:spacing w:after="0" w:line="240" w:lineRule="auto"/>
              <w:jc w:val="center"/>
              <w:rPr>
                <w:rFonts w:eastAsia="Times New Roman"/>
                <w:lang w:val="es-DO" w:eastAsia="es-DO"/>
              </w:rPr>
            </w:pPr>
          </w:p>
        </w:tc>
        <w:tc>
          <w:tcPr>
            <w:tcW w:w="170" w:type="pct"/>
            <w:shd w:val="clear" w:color="auto" w:fill="auto"/>
            <w:noWrap/>
            <w:vAlign w:val="center"/>
          </w:tcPr>
          <w:p w14:paraId="647E352B" w14:textId="77777777" w:rsidR="00D13B4F" w:rsidRPr="00D11C11" w:rsidRDefault="00D13B4F" w:rsidP="00CA7BDA">
            <w:pPr>
              <w:spacing w:after="0" w:line="240" w:lineRule="auto"/>
              <w:jc w:val="center"/>
              <w:rPr>
                <w:rFonts w:eastAsia="Times New Roman"/>
                <w:lang w:val="es-DO" w:eastAsia="es-DO"/>
              </w:rPr>
            </w:pPr>
          </w:p>
        </w:tc>
        <w:tc>
          <w:tcPr>
            <w:tcW w:w="212" w:type="pct"/>
            <w:shd w:val="clear" w:color="auto" w:fill="auto"/>
            <w:noWrap/>
            <w:vAlign w:val="center"/>
          </w:tcPr>
          <w:p w14:paraId="58CA9287" w14:textId="203EAD8B" w:rsidR="00D13B4F" w:rsidRPr="00D11C11" w:rsidRDefault="004B0B10" w:rsidP="00CA7BDA">
            <w:pPr>
              <w:spacing w:after="0" w:line="240" w:lineRule="auto"/>
              <w:jc w:val="center"/>
              <w:rPr>
                <w:rFonts w:eastAsia="Times New Roman"/>
                <w:lang w:val="es-DO" w:eastAsia="es-DO"/>
              </w:rPr>
            </w:pPr>
            <w:r>
              <w:rPr>
                <w:rFonts w:eastAsia="Times New Roman"/>
                <w:lang w:val="es-DO" w:eastAsia="es-DO"/>
              </w:rPr>
              <w:t>100%</w:t>
            </w:r>
          </w:p>
        </w:tc>
        <w:tc>
          <w:tcPr>
            <w:tcW w:w="393" w:type="pct"/>
            <w:shd w:val="clear" w:color="auto" w:fill="auto"/>
            <w:noWrap/>
            <w:vAlign w:val="center"/>
          </w:tcPr>
          <w:p w14:paraId="6E643210" w14:textId="3990EA7E" w:rsidR="00D13B4F" w:rsidRPr="00D11C11" w:rsidRDefault="00D13B4F" w:rsidP="00CA7BDA">
            <w:pPr>
              <w:spacing w:after="0" w:line="240" w:lineRule="auto"/>
              <w:jc w:val="center"/>
              <w:rPr>
                <w:rFonts w:eastAsia="Times New Roman"/>
                <w:lang w:val="es-DO" w:eastAsia="es-DO"/>
              </w:rPr>
            </w:pPr>
          </w:p>
        </w:tc>
        <w:tc>
          <w:tcPr>
            <w:tcW w:w="449" w:type="pct"/>
            <w:shd w:val="clear" w:color="auto" w:fill="auto"/>
            <w:noWrap/>
            <w:vAlign w:val="center"/>
          </w:tcPr>
          <w:p w14:paraId="14E174AB" w14:textId="77777777" w:rsidR="00D13B4F" w:rsidRPr="00D11C11" w:rsidRDefault="00D13B4F" w:rsidP="00CA7BDA">
            <w:pPr>
              <w:spacing w:after="0" w:line="240" w:lineRule="auto"/>
              <w:jc w:val="center"/>
              <w:rPr>
                <w:rFonts w:eastAsia="Times New Roman"/>
                <w:lang w:val="es-DO" w:eastAsia="es-DO"/>
              </w:rPr>
            </w:pPr>
          </w:p>
        </w:tc>
        <w:tc>
          <w:tcPr>
            <w:tcW w:w="449" w:type="pct"/>
            <w:shd w:val="clear" w:color="auto" w:fill="auto"/>
            <w:noWrap/>
            <w:vAlign w:val="center"/>
          </w:tcPr>
          <w:p w14:paraId="28458A7B" w14:textId="77777777" w:rsidR="00D13B4F" w:rsidRPr="00D11C11" w:rsidRDefault="00D13B4F" w:rsidP="00CA7BDA">
            <w:pPr>
              <w:spacing w:after="0" w:line="240" w:lineRule="auto"/>
              <w:jc w:val="center"/>
              <w:rPr>
                <w:rFonts w:eastAsia="Times New Roman"/>
                <w:lang w:val="es-DO" w:eastAsia="es-DO"/>
              </w:rPr>
            </w:pPr>
          </w:p>
        </w:tc>
        <w:tc>
          <w:tcPr>
            <w:tcW w:w="435" w:type="pct"/>
            <w:shd w:val="clear" w:color="auto" w:fill="auto"/>
            <w:noWrap/>
            <w:vAlign w:val="center"/>
          </w:tcPr>
          <w:p w14:paraId="0EDE59AB" w14:textId="77777777" w:rsidR="00D13B4F" w:rsidRPr="00D11C11" w:rsidRDefault="00D13B4F" w:rsidP="00CA7BDA">
            <w:pPr>
              <w:spacing w:after="0" w:line="240" w:lineRule="auto"/>
              <w:jc w:val="center"/>
              <w:rPr>
                <w:rFonts w:eastAsia="Times New Roman"/>
                <w:lang w:val="es-DO" w:eastAsia="es-DO"/>
              </w:rPr>
            </w:pPr>
          </w:p>
        </w:tc>
        <w:tc>
          <w:tcPr>
            <w:tcW w:w="476" w:type="pct"/>
            <w:shd w:val="clear" w:color="auto" w:fill="auto"/>
            <w:noWrap/>
            <w:vAlign w:val="center"/>
          </w:tcPr>
          <w:p w14:paraId="0322A574" w14:textId="19E59FD7" w:rsidR="00D13B4F" w:rsidRPr="00D11C11" w:rsidRDefault="004B0B10" w:rsidP="00CA7BDA">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00174745" w14:textId="77777777" w:rsidTr="007400C6">
        <w:trPr>
          <w:trHeight w:val="331"/>
        </w:trPr>
        <w:tc>
          <w:tcPr>
            <w:tcW w:w="489" w:type="pct"/>
            <w:shd w:val="clear" w:color="auto" w:fill="auto"/>
            <w:vAlign w:val="center"/>
          </w:tcPr>
          <w:p w14:paraId="4A48A7B4" w14:textId="55D0FA4D" w:rsidR="004B0B10" w:rsidRPr="004B0B10" w:rsidRDefault="004B0B10" w:rsidP="003A11A2">
            <w:pPr>
              <w:spacing w:after="0" w:line="240" w:lineRule="auto"/>
              <w:rPr>
                <w:rFonts w:eastAsia="Times New Roman"/>
                <w:lang w:val="es-DO" w:eastAsia="es-DO"/>
              </w:rPr>
            </w:pPr>
            <w:r>
              <w:rPr>
                <w:rFonts w:eastAsia="Times New Roman"/>
                <w:lang w:val="es-DO" w:eastAsia="es-DO"/>
              </w:rPr>
              <w:t>Inversión Proyecto - MRI</w:t>
            </w:r>
          </w:p>
        </w:tc>
        <w:tc>
          <w:tcPr>
            <w:tcW w:w="193" w:type="pct"/>
            <w:shd w:val="clear" w:color="auto" w:fill="auto"/>
            <w:noWrap/>
            <w:vAlign w:val="center"/>
          </w:tcPr>
          <w:p w14:paraId="60568353" w14:textId="77777777" w:rsidR="004B0B10" w:rsidRPr="00D13B4F" w:rsidRDefault="004B0B10" w:rsidP="00CA7BDA">
            <w:pPr>
              <w:spacing w:after="0" w:line="240" w:lineRule="auto"/>
              <w:jc w:val="center"/>
              <w:rPr>
                <w:rFonts w:eastAsia="Times New Roman"/>
                <w:lang w:val="es-DO" w:eastAsia="es-DO"/>
              </w:rPr>
            </w:pPr>
          </w:p>
        </w:tc>
        <w:tc>
          <w:tcPr>
            <w:tcW w:w="238" w:type="pct"/>
            <w:shd w:val="clear" w:color="auto" w:fill="auto"/>
            <w:noWrap/>
            <w:vAlign w:val="center"/>
          </w:tcPr>
          <w:p w14:paraId="71F8E64F" w14:textId="77777777" w:rsidR="004B0B10" w:rsidRPr="00D13B4F" w:rsidRDefault="004B0B10" w:rsidP="00CA7BDA">
            <w:pPr>
              <w:spacing w:after="0" w:line="240" w:lineRule="auto"/>
              <w:jc w:val="center"/>
              <w:rPr>
                <w:rFonts w:eastAsia="Times New Roman"/>
                <w:lang w:val="es-DO" w:eastAsia="es-DO"/>
              </w:rPr>
            </w:pPr>
          </w:p>
        </w:tc>
        <w:tc>
          <w:tcPr>
            <w:tcW w:w="449" w:type="pct"/>
            <w:shd w:val="clear" w:color="auto" w:fill="auto"/>
            <w:noWrap/>
            <w:vAlign w:val="center"/>
          </w:tcPr>
          <w:p w14:paraId="74A858C3" w14:textId="77777777" w:rsidR="004B0B10" w:rsidRPr="00D13B4F" w:rsidRDefault="004B0B10" w:rsidP="00CA7BDA">
            <w:pPr>
              <w:spacing w:after="0" w:line="240" w:lineRule="auto"/>
              <w:jc w:val="center"/>
              <w:rPr>
                <w:rFonts w:eastAsia="Times New Roman"/>
                <w:lang w:val="es-DO" w:eastAsia="es-DO"/>
              </w:rPr>
            </w:pPr>
          </w:p>
        </w:tc>
        <w:tc>
          <w:tcPr>
            <w:tcW w:w="178" w:type="pct"/>
            <w:shd w:val="clear" w:color="auto" w:fill="auto"/>
            <w:noWrap/>
            <w:vAlign w:val="center"/>
          </w:tcPr>
          <w:p w14:paraId="7962189D" w14:textId="77777777" w:rsidR="004B0B10" w:rsidRPr="00D13B4F" w:rsidRDefault="004B0B10" w:rsidP="00CA7BDA">
            <w:pPr>
              <w:spacing w:after="0" w:line="240" w:lineRule="auto"/>
              <w:jc w:val="center"/>
              <w:rPr>
                <w:rFonts w:eastAsia="Times New Roman"/>
                <w:lang w:val="es-DO" w:eastAsia="es-DO"/>
              </w:rPr>
            </w:pPr>
          </w:p>
        </w:tc>
        <w:tc>
          <w:tcPr>
            <w:tcW w:w="393" w:type="pct"/>
            <w:shd w:val="clear" w:color="auto" w:fill="auto"/>
            <w:noWrap/>
            <w:vAlign w:val="center"/>
          </w:tcPr>
          <w:p w14:paraId="43572EE7" w14:textId="77777777" w:rsidR="004B0B10" w:rsidRPr="00D13B4F" w:rsidRDefault="004B0B10" w:rsidP="00CA7BDA">
            <w:pPr>
              <w:spacing w:after="0" w:line="240" w:lineRule="auto"/>
              <w:jc w:val="center"/>
              <w:rPr>
                <w:rFonts w:eastAsia="Times New Roman"/>
                <w:lang w:val="es-DO" w:eastAsia="es-DO"/>
              </w:rPr>
            </w:pPr>
          </w:p>
        </w:tc>
        <w:tc>
          <w:tcPr>
            <w:tcW w:w="476" w:type="pct"/>
            <w:shd w:val="clear" w:color="auto" w:fill="auto"/>
            <w:noWrap/>
            <w:vAlign w:val="center"/>
          </w:tcPr>
          <w:p w14:paraId="02AF351B" w14:textId="77777777" w:rsidR="004B0B10" w:rsidRPr="00D13B4F" w:rsidRDefault="004B0B10" w:rsidP="00CA7BDA">
            <w:pPr>
              <w:spacing w:after="0" w:line="240" w:lineRule="auto"/>
              <w:jc w:val="center"/>
              <w:rPr>
                <w:rFonts w:eastAsia="Times New Roman"/>
                <w:lang w:val="es-DO" w:eastAsia="es-DO"/>
              </w:rPr>
            </w:pPr>
          </w:p>
        </w:tc>
        <w:tc>
          <w:tcPr>
            <w:tcW w:w="170" w:type="pct"/>
            <w:shd w:val="clear" w:color="auto" w:fill="auto"/>
            <w:noWrap/>
            <w:vAlign w:val="center"/>
          </w:tcPr>
          <w:p w14:paraId="1694F07A" w14:textId="77777777" w:rsidR="004B0B10" w:rsidRPr="00D11C11" w:rsidRDefault="004B0B10" w:rsidP="00CA7BDA">
            <w:pPr>
              <w:spacing w:after="0" w:line="240" w:lineRule="auto"/>
              <w:jc w:val="center"/>
              <w:rPr>
                <w:rFonts w:eastAsia="Times New Roman"/>
                <w:lang w:val="es-DO" w:eastAsia="es-DO"/>
              </w:rPr>
            </w:pPr>
          </w:p>
        </w:tc>
        <w:tc>
          <w:tcPr>
            <w:tcW w:w="212" w:type="pct"/>
            <w:shd w:val="clear" w:color="auto" w:fill="auto"/>
            <w:noWrap/>
            <w:vAlign w:val="center"/>
          </w:tcPr>
          <w:p w14:paraId="6ADA3D7B" w14:textId="35DAD631" w:rsidR="004B0B10" w:rsidRDefault="004B0B10" w:rsidP="00CA7BDA">
            <w:pPr>
              <w:spacing w:after="0" w:line="240" w:lineRule="auto"/>
              <w:jc w:val="center"/>
              <w:rPr>
                <w:rFonts w:eastAsia="Times New Roman"/>
                <w:lang w:val="es-DO" w:eastAsia="es-DO"/>
              </w:rPr>
            </w:pPr>
            <w:r>
              <w:rPr>
                <w:rFonts w:eastAsia="Times New Roman"/>
                <w:lang w:val="es-DO" w:eastAsia="es-DO"/>
              </w:rPr>
              <w:t>N/A</w:t>
            </w:r>
          </w:p>
        </w:tc>
        <w:tc>
          <w:tcPr>
            <w:tcW w:w="393" w:type="pct"/>
            <w:shd w:val="clear" w:color="auto" w:fill="auto"/>
            <w:noWrap/>
            <w:vAlign w:val="center"/>
          </w:tcPr>
          <w:p w14:paraId="51757B43" w14:textId="77777777" w:rsidR="004B0B10" w:rsidRPr="00D11C11" w:rsidRDefault="004B0B10" w:rsidP="00CA7BDA">
            <w:pPr>
              <w:spacing w:after="0" w:line="240" w:lineRule="auto"/>
              <w:jc w:val="center"/>
              <w:rPr>
                <w:rFonts w:eastAsia="Times New Roman"/>
                <w:lang w:val="es-DO" w:eastAsia="es-DO"/>
              </w:rPr>
            </w:pPr>
          </w:p>
        </w:tc>
        <w:tc>
          <w:tcPr>
            <w:tcW w:w="449" w:type="pct"/>
            <w:shd w:val="clear" w:color="auto" w:fill="auto"/>
            <w:noWrap/>
            <w:vAlign w:val="center"/>
          </w:tcPr>
          <w:p w14:paraId="2306A29E" w14:textId="77777777" w:rsidR="004B0B10" w:rsidRPr="00D11C11" w:rsidRDefault="004B0B10" w:rsidP="00CA7BDA">
            <w:pPr>
              <w:spacing w:after="0" w:line="240" w:lineRule="auto"/>
              <w:jc w:val="center"/>
              <w:rPr>
                <w:rFonts w:eastAsia="Times New Roman"/>
                <w:lang w:val="es-DO" w:eastAsia="es-DO"/>
              </w:rPr>
            </w:pPr>
          </w:p>
        </w:tc>
        <w:tc>
          <w:tcPr>
            <w:tcW w:w="449" w:type="pct"/>
            <w:shd w:val="clear" w:color="auto" w:fill="auto"/>
            <w:noWrap/>
            <w:vAlign w:val="center"/>
          </w:tcPr>
          <w:p w14:paraId="509942BE" w14:textId="77777777" w:rsidR="004B0B10" w:rsidRPr="00D11C11" w:rsidRDefault="004B0B10" w:rsidP="00CA7BDA">
            <w:pPr>
              <w:spacing w:after="0" w:line="240" w:lineRule="auto"/>
              <w:jc w:val="center"/>
              <w:rPr>
                <w:rFonts w:eastAsia="Times New Roman"/>
                <w:lang w:val="es-DO" w:eastAsia="es-DO"/>
              </w:rPr>
            </w:pPr>
          </w:p>
        </w:tc>
        <w:tc>
          <w:tcPr>
            <w:tcW w:w="435" w:type="pct"/>
            <w:shd w:val="clear" w:color="auto" w:fill="auto"/>
            <w:noWrap/>
            <w:vAlign w:val="center"/>
          </w:tcPr>
          <w:p w14:paraId="22A24778" w14:textId="77777777" w:rsidR="004B0B10" w:rsidRPr="00D11C11" w:rsidRDefault="004B0B10" w:rsidP="00CA7BDA">
            <w:pPr>
              <w:spacing w:after="0" w:line="240" w:lineRule="auto"/>
              <w:jc w:val="center"/>
              <w:rPr>
                <w:rFonts w:eastAsia="Times New Roman"/>
                <w:lang w:val="es-DO" w:eastAsia="es-DO"/>
              </w:rPr>
            </w:pPr>
          </w:p>
        </w:tc>
        <w:tc>
          <w:tcPr>
            <w:tcW w:w="476" w:type="pct"/>
            <w:shd w:val="clear" w:color="auto" w:fill="auto"/>
            <w:noWrap/>
            <w:vAlign w:val="center"/>
          </w:tcPr>
          <w:p w14:paraId="469C9545" w14:textId="2BB64095" w:rsidR="004B0B10" w:rsidRDefault="004B0B10" w:rsidP="00CA7BDA">
            <w:pPr>
              <w:spacing w:after="0" w:line="240" w:lineRule="auto"/>
              <w:jc w:val="center"/>
              <w:rPr>
                <w:rFonts w:eastAsia="Times New Roman"/>
                <w:lang w:val="es-DO" w:eastAsia="es-DO"/>
              </w:rPr>
            </w:pPr>
            <w:r>
              <w:rPr>
                <w:rFonts w:eastAsia="Times New Roman"/>
                <w:lang w:val="es-DO" w:eastAsia="es-DO"/>
              </w:rPr>
              <w:t>N/A</w:t>
            </w:r>
          </w:p>
        </w:tc>
      </w:tr>
      <w:tr w:rsidR="007400C6" w:rsidRPr="00D13B4F" w14:paraId="550B7138" w14:textId="77777777" w:rsidTr="007400C6">
        <w:trPr>
          <w:trHeight w:val="331"/>
        </w:trPr>
        <w:tc>
          <w:tcPr>
            <w:tcW w:w="489" w:type="pct"/>
            <w:shd w:val="clear" w:color="auto" w:fill="auto"/>
            <w:vAlign w:val="center"/>
          </w:tcPr>
          <w:p w14:paraId="67FA3AF0" w14:textId="1D5E260E" w:rsidR="00D13B4F" w:rsidRPr="00D13B4F" w:rsidRDefault="00D13B4F" w:rsidP="003A11A2">
            <w:pPr>
              <w:spacing w:after="0" w:line="240" w:lineRule="auto"/>
              <w:rPr>
                <w:rFonts w:eastAsia="Times New Roman"/>
                <w:b/>
                <w:bCs/>
                <w:lang w:val="es-DO" w:eastAsia="es-DO"/>
              </w:rPr>
            </w:pPr>
            <w:r w:rsidRPr="00D13B4F">
              <w:rPr>
                <w:rFonts w:eastAsia="Times New Roman"/>
                <w:b/>
                <w:bCs/>
                <w:lang w:val="es-DO" w:eastAsia="es-DO"/>
              </w:rPr>
              <w:t xml:space="preserve">Readecuación de los espacios </w:t>
            </w:r>
            <w:r w:rsidRPr="00D13B4F">
              <w:rPr>
                <w:rFonts w:eastAsia="Times New Roman"/>
                <w:b/>
                <w:bCs/>
                <w:lang w:val="es-DO" w:eastAsia="es-DO"/>
              </w:rPr>
              <w:lastRenderedPageBreak/>
              <w:t>institucionales</w:t>
            </w:r>
          </w:p>
        </w:tc>
        <w:tc>
          <w:tcPr>
            <w:tcW w:w="193" w:type="pct"/>
            <w:shd w:val="clear" w:color="auto" w:fill="auto"/>
            <w:noWrap/>
            <w:vAlign w:val="center"/>
          </w:tcPr>
          <w:p w14:paraId="05B3FCE1" w14:textId="77777777" w:rsidR="00D13B4F" w:rsidRPr="00D13B4F" w:rsidRDefault="00D13B4F" w:rsidP="003A11A2">
            <w:pPr>
              <w:spacing w:after="0" w:line="240" w:lineRule="auto"/>
              <w:jc w:val="right"/>
              <w:rPr>
                <w:rFonts w:eastAsia="Times New Roman"/>
                <w:lang w:val="es-DO" w:eastAsia="es-DO"/>
              </w:rPr>
            </w:pPr>
          </w:p>
        </w:tc>
        <w:tc>
          <w:tcPr>
            <w:tcW w:w="238" w:type="pct"/>
            <w:shd w:val="clear" w:color="auto" w:fill="auto"/>
            <w:noWrap/>
            <w:vAlign w:val="center"/>
          </w:tcPr>
          <w:p w14:paraId="64F90898" w14:textId="77777777" w:rsidR="00D13B4F" w:rsidRPr="00D13B4F" w:rsidRDefault="00D13B4F" w:rsidP="003A11A2">
            <w:pPr>
              <w:spacing w:after="0" w:line="240" w:lineRule="auto"/>
              <w:jc w:val="right"/>
              <w:rPr>
                <w:rFonts w:eastAsia="Times New Roman"/>
                <w:lang w:val="es-DO" w:eastAsia="es-DO"/>
              </w:rPr>
            </w:pPr>
          </w:p>
        </w:tc>
        <w:tc>
          <w:tcPr>
            <w:tcW w:w="449" w:type="pct"/>
            <w:shd w:val="clear" w:color="auto" w:fill="auto"/>
            <w:noWrap/>
            <w:vAlign w:val="center"/>
          </w:tcPr>
          <w:p w14:paraId="40CBACA6" w14:textId="77777777" w:rsidR="00D13B4F" w:rsidRPr="00D13B4F" w:rsidRDefault="00D13B4F" w:rsidP="003A11A2">
            <w:pPr>
              <w:spacing w:after="0" w:line="240" w:lineRule="auto"/>
              <w:jc w:val="right"/>
              <w:rPr>
                <w:rFonts w:eastAsia="Times New Roman"/>
                <w:lang w:val="es-DO" w:eastAsia="es-DO"/>
              </w:rPr>
            </w:pPr>
          </w:p>
        </w:tc>
        <w:tc>
          <w:tcPr>
            <w:tcW w:w="178" w:type="pct"/>
            <w:shd w:val="clear" w:color="auto" w:fill="auto"/>
            <w:noWrap/>
            <w:vAlign w:val="center"/>
          </w:tcPr>
          <w:p w14:paraId="60AB38B1" w14:textId="77777777" w:rsidR="00D13B4F" w:rsidRPr="00D13B4F" w:rsidRDefault="00D13B4F" w:rsidP="003A11A2">
            <w:pPr>
              <w:spacing w:after="0" w:line="240" w:lineRule="auto"/>
              <w:jc w:val="right"/>
              <w:rPr>
                <w:rFonts w:eastAsia="Times New Roman"/>
                <w:lang w:val="es-DO" w:eastAsia="es-DO"/>
              </w:rPr>
            </w:pPr>
          </w:p>
        </w:tc>
        <w:tc>
          <w:tcPr>
            <w:tcW w:w="393" w:type="pct"/>
            <w:shd w:val="clear" w:color="auto" w:fill="auto"/>
            <w:noWrap/>
            <w:vAlign w:val="center"/>
          </w:tcPr>
          <w:p w14:paraId="23AAB6B8" w14:textId="77777777" w:rsidR="00D13B4F" w:rsidRPr="00D13B4F" w:rsidRDefault="00D13B4F" w:rsidP="003A11A2">
            <w:pPr>
              <w:spacing w:after="0" w:line="240" w:lineRule="auto"/>
              <w:jc w:val="right"/>
              <w:rPr>
                <w:rFonts w:eastAsia="Times New Roman"/>
                <w:lang w:val="es-DO" w:eastAsia="es-DO"/>
              </w:rPr>
            </w:pPr>
          </w:p>
        </w:tc>
        <w:tc>
          <w:tcPr>
            <w:tcW w:w="476" w:type="pct"/>
            <w:shd w:val="clear" w:color="auto" w:fill="auto"/>
            <w:noWrap/>
            <w:vAlign w:val="center"/>
          </w:tcPr>
          <w:p w14:paraId="67307135" w14:textId="77777777" w:rsidR="00D13B4F" w:rsidRPr="00D13B4F" w:rsidRDefault="00D13B4F" w:rsidP="003A11A2">
            <w:pPr>
              <w:spacing w:after="0" w:line="240" w:lineRule="auto"/>
              <w:jc w:val="right"/>
              <w:rPr>
                <w:rFonts w:eastAsia="Times New Roman"/>
                <w:lang w:val="es-DO" w:eastAsia="es-DO"/>
              </w:rPr>
            </w:pPr>
          </w:p>
        </w:tc>
        <w:tc>
          <w:tcPr>
            <w:tcW w:w="170" w:type="pct"/>
            <w:shd w:val="clear" w:color="auto" w:fill="auto"/>
            <w:noWrap/>
            <w:vAlign w:val="center"/>
          </w:tcPr>
          <w:p w14:paraId="4873D937" w14:textId="77777777" w:rsidR="00D13B4F" w:rsidRPr="00D11C11" w:rsidRDefault="00D13B4F" w:rsidP="003A11A2">
            <w:pPr>
              <w:spacing w:after="0" w:line="240" w:lineRule="auto"/>
              <w:jc w:val="right"/>
              <w:rPr>
                <w:rFonts w:eastAsia="Times New Roman"/>
                <w:lang w:val="es-DO" w:eastAsia="es-DO"/>
              </w:rPr>
            </w:pPr>
          </w:p>
        </w:tc>
        <w:tc>
          <w:tcPr>
            <w:tcW w:w="212" w:type="pct"/>
            <w:shd w:val="clear" w:color="auto" w:fill="auto"/>
            <w:noWrap/>
            <w:vAlign w:val="center"/>
          </w:tcPr>
          <w:p w14:paraId="1F610074" w14:textId="77777777" w:rsidR="00D13B4F" w:rsidRPr="00D11C11" w:rsidRDefault="00D13B4F" w:rsidP="003A11A2">
            <w:pPr>
              <w:spacing w:after="0" w:line="240" w:lineRule="auto"/>
              <w:jc w:val="right"/>
              <w:rPr>
                <w:rFonts w:eastAsia="Times New Roman"/>
                <w:lang w:val="es-DO" w:eastAsia="es-DO"/>
              </w:rPr>
            </w:pPr>
          </w:p>
        </w:tc>
        <w:tc>
          <w:tcPr>
            <w:tcW w:w="393" w:type="pct"/>
            <w:shd w:val="clear" w:color="auto" w:fill="auto"/>
            <w:noWrap/>
            <w:vAlign w:val="center"/>
          </w:tcPr>
          <w:p w14:paraId="675B2413" w14:textId="77777777" w:rsidR="00D13B4F" w:rsidRPr="00D11C11" w:rsidRDefault="00D13B4F" w:rsidP="003A11A2">
            <w:pPr>
              <w:spacing w:after="0" w:line="240" w:lineRule="auto"/>
              <w:jc w:val="right"/>
              <w:rPr>
                <w:rFonts w:eastAsia="Times New Roman"/>
                <w:lang w:val="es-DO" w:eastAsia="es-DO"/>
              </w:rPr>
            </w:pPr>
          </w:p>
        </w:tc>
        <w:tc>
          <w:tcPr>
            <w:tcW w:w="449" w:type="pct"/>
            <w:shd w:val="clear" w:color="auto" w:fill="auto"/>
            <w:noWrap/>
            <w:vAlign w:val="center"/>
          </w:tcPr>
          <w:p w14:paraId="2E83E71D" w14:textId="77777777" w:rsidR="00D13B4F" w:rsidRPr="00D11C11" w:rsidRDefault="00D13B4F" w:rsidP="003A11A2">
            <w:pPr>
              <w:spacing w:after="0" w:line="240" w:lineRule="auto"/>
              <w:jc w:val="right"/>
              <w:rPr>
                <w:rFonts w:eastAsia="Times New Roman"/>
                <w:lang w:val="es-DO" w:eastAsia="es-DO"/>
              </w:rPr>
            </w:pPr>
          </w:p>
        </w:tc>
        <w:tc>
          <w:tcPr>
            <w:tcW w:w="449" w:type="pct"/>
            <w:shd w:val="clear" w:color="auto" w:fill="auto"/>
            <w:noWrap/>
            <w:vAlign w:val="center"/>
          </w:tcPr>
          <w:p w14:paraId="154600D4" w14:textId="57CADA12" w:rsidR="00D13B4F" w:rsidRPr="00D11C11" w:rsidRDefault="004B0B10" w:rsidP="004B0B10">
            <w:pPr>
              <w:spacing w:after="0" w:line="240" w:lineRule="auto"/>
              <w:jc w:val="center"/>
              <w:rPr>
                <w:rFonts w:eastAsia="Times New Roman"/>
                <w:lang w:val="es-DO" w:eastAsia="es-DO"/>
              </w:rPr>
            </w:pPr>
            <w:r>
              <w:rPr>
                <w:rFonts w:eastAsia="Times New Roman"/>
                <w:lang w:val="es-DO" w:eastAsia="es-DO"/>
              </w:rPr>
              <w:t>100%</w:t>
            </w:r>
          </w:p>
        </w:tc>
        <w:tc>
          <w:tcPr>
            <w:tcW w:w="435" w:type="pct"/>
            <w:shd w:val="clear" w:color="auto" w:fill="auto"/>
            <w:noWrap/>
            <w:vAlign w:val="center"/>
          </w:tcPr>
          <w:p w14:paraId="399A8ED2" w14:textId="77777777" w:rsidR="00D13B4F" w:rsidRPr="00D11C11" w:rsidRDefault="00D13B4F" w:rsidP="003A11A2">
            <w:pPr>
              <w:spacing w:after="0" w:line="240" w:lineRule="auto"/>
              <w:jc w:val="right"/>
              <w:rPr>
                <w:rFonts w:eastAsia="Times New Roman"/>
                <w:lang w:val="es-DO" w:eastAsia="es-DO"/>
              </w:rPr>
            </w:pPr>
          </w:p>
        </w:tc>
        <w:tc>
          <w:tcPr>
            <w:tcW w:w="476" w:type="pct"/>
            <w:shd w:val="clear" w:color="auto" w:fill="auto"/>
            <w:noWrap/>
            <w:vAlign w:val="center"/>
          </w:tcPr>
          <w:p w14:paraId="7965E4E7" w14:textId="35AA9BE5" w:rsidR="00D13B4F" w:rsidRPr="00D11C11" w:rsidRDefault="00627D3C" w:rsidP="00627D3C">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0349D9E1" w14:textId="77777777" w:rsidTr="007400C6">
        <w:trPr>
          <w:trHeight w:val="331"/>
        </w:trPr>
        <w:tc>
          <w:tcPr>
            <w:tcW w:w="489" w:type="pct"/>
            <w:shd w:val="clear" w:color="auto" w:fill="auto"/>
            <w:vAlign w:val="center"/>
          </w:tcPr>
          <w:p w14:paraId="2D968F5B" w14:textId="716933F0" w:rsidR="004B0B10" w:rsidRPr="004B0B10" w:rsidRDefault="004B0B10" w:rsidP="003A11A2">
            <w:pPr>
              <w:spacing w:after="0" w:line="240" w:lineRule="auto"/>
              <w:rPr>
                <w:rFonts w:eastAsia="Times New Roman"/>
                <w:lang w:val="es-DO" w:eastAsia="es-DO"/>
              </w:rPr>
            </w:pPr>
            <w:r>
              <w:rPr>
                <w:rFonts w:eastAsia="Times New Roman"/>
                <w:lang w:val="es-DO" w:eastAsia="es-DO"/>
              </w:rPr>
              <w:t xml:space="preserve">Inversión Proyecto </w:t>
            </w:r>
            <w:r w:rsidR="00627D3C">
              <w:rPr>
                <w:rFonts w:eastAsia="Times New Roman"/>
                <w:lang w:val="es-DO" w:eastAsia="es-DO"/>
              </w:rPr>
              <w:t xml:space="preserve">- </w:t>
            </w:r>
            <w:r w:rsidR="00627D3C" w:rsidRPr="00627D3C">
              <w:rPr>
                <w:lang w:val="es-DO"/>
              </w:rPr>
              <w:t>Readecuación</w:t>
            </w:r>
            <w:r w:rsidR="00627D3C" w:rsidRPr="00627D3C">
              <w:rPr>
                <w:rFonts w:eastAsia="Times New Roman"/>
                <w:lang w:val="es-DO" w:eastAsia="es-DO"/>
              </w:rPr>
              <w:t xml:space="preserve"> de los espacios institucionales</w:t>
            </w:r>
          </w:p>
        </w:tc>
        <w:tc>
          <w:tcPr>
            <w:tcW w:w="193" w:type="pct"/>
            <w:shd w:val="clear" w:color="auto" w:fill="auto"/>
            <w:noWrap/>
            <w:vAlign w:val="center"/>
          </w:tcPr>
          <w:p w14:paraId="0406512E" w14:textId="77777777" w:rsidR="004B0B10" w:rsidRPr="00D13B4F" w:rsidRDefault="004B0B10" w:rsidP="003A11A2">
            <w:pPr>
              <w:spacing w:after="0" w:line="240" w:lineRule="auto"/>
              <w:jc w:val="right"/>
              <w:rPr>
                <w:rFonts w:eastAsia="Times New Roman"/>
                <w:lang w:val="es-DO" w:eastAsia="es-DO"/>
              </w:rPr>
            </w:pPr>
          </w:p>
        </w:tc>
        <w:tc>
          <w:tcPr>
            <w:tcW w:w="238" w:type="pct"/>
            <w:shd w:val="clear" w:color="auto" w:fill="auto"/>
            <w:noWrap/>
            <w:vAlign w:val="center"/>
          </w:tcPr>
          <w:p w14:paraId="01651141" w14:textId="77777777" w:rsidR="004B0B10" w:rsidRPr="00D13B4F" w:rsidRDefault="004B0B10" w:rsidP="003A11A2">
            <w:pPr>
              <w:spacing w:after="0" w:line="240" w:lineRule="auto"/>
              <w:jc w:val="right"/>
              <w:rPr>
                <w:rFonts w:eastAsia="Times New Roman"/>
                <w:lang w:val="es-DO" w:eastAsia="es-DO"/>
              </w:rPr>
            </w:pPr>
          </w:p>
        </w:tc>
        <w:tc>
          <w:tcPr>
            <w:tcW w:w="449" w:type="pct"/>
            <w:shd w:val="clear" w:color="auto" w:fill="auto"/>
            <w:noWrap/>
            <w:vAlign w:val="center"/>
          </w:tcPr>
          <w:p w14:paraId="1D539F4A" w14:textId="77777777" w:rsidR="004B0B10" w:rsidRPr="00D13B4F" w:rsidRDefault="004B0B10" w:rsidP="003A11A2">
            <w:pPr>
              <w:spacing w:after="0" w:line="240" w:lineRule="auto"/>
              <w:jc w:val="right"/>
              <w:rPr>
                <w:rFonts w:eastAsia="Times New Roman"/>
                <w:lang w:val="es-DO" w:eastAsia="es-DO"/>
              </w:rPr>
            </w:pPr>
          </w:p>
        </w:tc>
        <w:tc>
          <w:tcPr>
            <w:tcW w:w="178" w:type="pct"/>
            <w:shd w:val="clear" w:color="auto" w:fill="auto"/>
            <w:noWrap/>
            <w:vAlign w:val="center"/>
          </w:tcPr>
          <w:p w14:paraId="2C12A7F6" w14:textId="77777777" w:rsidR="004B0B10" w:rsidRPr="00D13B4F" w:rsidRDefault="004B0B10" w:rsidP="003A11A2">
            <w:pPr>
              <w:spacing w:after="0" w:line="240" w:lineRule="auto"/>
              <w:jc w:val="right"/>
              <w:rPr>
                <w:rFonts w:eastAsia="Times New Roman"/>
                <w:lang w:val="es-DO" w:eastAsia="es-DO"/>
              </w:rPr>
            </w:pPr>
          </w:p>
        </w:tc>
        <w:tc>
          <w:tcPr>
            <w:tcW w:w="393" w:type="pct"/>
            <w:shd w:val="clear" w:color="auto" w:fill="auto"/>
            <w:noWrap/>
            <w:vAlign w:val="center"/>
          </w:tcPr>
          <w:p w14:paraId="62C251AF" w14:textId="77777777" w:rsidR="004B0B10" w:rsidRPr="00D13B4F" w:rsidRDefault="004B0B10" w:rsidP="003A11A2">
            <w:pPr>
              <w:spacing w:after="0" w:line="240" w:lineRule="auto"/>
              <w:jc w:val="right"/>
              <w:rPr>
                <w:rFonts w:eastAsia="Times New Roman"/>
                <w:lang w:val="es-DO" w:eastAsia="es-DO"/>
              </w:rPr>
            </w:pPr>
          </w:p>
        </w:tc>
        <w:tc>
          <w:tcPr>
            <w:tcW w:w="476" w:type="pct"/>
            <w:shd w:val="clear" w:color="auto" w:fill="auto"/>
            <w:noWrap/>
            <w:vAlign w:val="center"/>
          </w:tcPr>
          <w:p w14:paraId="53C48971" w14:textId="77777777" w:rsidR="004B0B10" w:rsidRPr="00D13B4F" w:rsidRDefault="004B0B10" w:rsidP="003A11A2">
            <w:pPr>
              <w:spacing w:after="0" w:line="240" w:lineRule="auto"/>
              <w:jc w:val="right"/>
              <w:rPr>
                <w:rFonts w:eastAsia="Times New Roman"/>
                <w:lang w:val="es-DO" w:eastAsia="es-DO"/>
              </w:rPr>
            </w:pPr>
          </w:p>
        </w:tc>
        <w:tc>
          <w:tcPr>
            <w:tcW w:w="170" w:type="pct"/>
            <w:shd w:val="clear" w:color="auto" w:fill="auto"/>
            <w:noWrap/>
            <w:vAlign w:val="center"/>
          </w:tcPr>
          <w:p w14:paraId="35D9948F" w14:textId="77777777" w:rsidR="004B0B10" w:rsidRPr="00D11C11" w:rsidRDefault="004B0B10" w:rsidP="003A11A2">
            <w:pPr>
              <w:spacing w:after="0" w:line="240" w:lineRule="auto"/>
              <w:jc w:val="right"/>
              <w:rPr>
                <w:rFonts w:eastAsia="Times New Roman"/>
                <w:lang w:val="es-DO" w:eastAsia="es-DO"/>
              </w:rPr>
            </w:pPr>
          </w:p>
        </w:tc>
        <w:tc>
          <w:tcPr>
            <w:tcW w:w="212" w:type="pct"/>
            <w:shd w:val="clear" w:color="auto" w:fill="auto"/>
            <w:noWrap/>
            <w:vAlign w:val="center"/>
          </w:tcPr>
          <w:p w14:paraId="772509FD" w14:textId="77777777" w:rsidR="004B0B10" w:rsidRPr="00D11C11" w:rsidRDefault="004B0B10" w:rsidP="003A11A2">
            <w:pPr>
              <w:spacing w:after="0" w:line="240" w:lineRule="auto"/>
              <w:jc w:val="right"/>
              <w:rPr>
                <w:rFonts w:eastAsia="Times New Roman"/>
                <w:lang w:val="es-DO" w:eastAsia="es-DO"/>
              </w:rPr>
            </w:pPr>
          </w:p>
        </w:tc>
        <w:tc>
          <w:tcPr>
            <w:tcW w:w="393" w:type="pct"/>
            <w:shd w:val="clear" w:color="auto" w:fill="auto"/>
            <w:noWrap/>
            <w:vAlign w:val="center"/>
          </w:tcPr>
          <w:p w14:paraId="62FD1928" w14:textId="77777777" w:rsidR="004B0B10" w:rsidRPr="00D11C11" w:rsidRDefault="004B0B10" w:rsidP="003A11A2">
            <w:pPr>
              <w:spacing w:after="0" w:line="240" w:lineRule="auto"/>
              <w:jc w:val="right"/>
              <w:rPr>
                <w:rFonts w:eastAsia="Times New Roman"/>
                <w:lang w:val="es-DO" w:eastAsia="es-DO"/>
              </w:rPr>
            </w:pPr>
          </w:p>
        </w:tc>
        <w:tc>
          <w:tcPr>
            <w:tcW w:w="449" w:type="pct"/>
            <w:shd w:val="clear" w:color="auto" w:fill="auto"/>
            <w:noWrap/>
            <w:vAlign w:val="center"/>
          </w:tcPr>
          <w:p w14:paraId="22BB0340" w14:textId="77777777" w:rsidR="004B0B10" w:rsidRPr="00D11C11" w:rsidRDefault="004B0B10" w:rsidP="003A11A2">
            <w:pPr>
              <w:spacing w:after="0" w:line="240" w:lineRule="auto"/>
              <w:jc w:val="right"/>
              <w:rPr>
                <w:rFonts w:eastAsia="Times New Roman"/>
                <w:lang w:val="es-DO" w:eastAsia="es-DO"/>
              </w:rPr>
            </w:pPr>
          </w:p>
        </w:tc>
        <w:tc>
          <w:tcPr>
            <w:tcW w:w="449" w:type="pct"/>
            <w:shd w:val="clear" w:color="auto" w:fill="auto"/>
            <w:noWrap/>
            <w:vAlign w:val="center"/>
          </w:tcPr>
          <w:p w14:paraId="7B78816B" w14:textId="77777777" w:rsidR="004B0B10" w:rsidRDefault="004B0B10" w:rsidP="004B0B10">
            <w:pPr>
              <w:spacing w:after="0" w:line="240" w:lineRule="auto"/>
              <w:jc w:val="center"/>
              <w:rPr>
                <w:rFonts w:eastAsia="Times New Roman"/>
                <w:lang w:val="es-DO" w:eastAsia="es-DO"/>
              </w:rPr>
            </w:pPr>
          </w:p>
        </w:tc>
        <w:tc>
          <w:tcPr>
            <w:tcW w:w="435" w:type="pct"/>
            <w:shd w:val="clear" w:color="auto" w:fill="auto"/>
            <w:noWrap/>
            <w:vAlign w:val="center"/>
          </w:tcPr>
          <w:p w14:paraId="5909D789" w14:textId="77777777" w:rsidR="004B0B10" w:rsidRPr="00D11C11" w:rsidRDefault="004B0B10" w:rsidP="003A11A2">
            <w:pPr>
              <w:spacing w:after="0" w:line="240" w:lineRule="auto"/>
              <w:jc w:val="right"/>
              <w:rPr>
                <w:rFonts w:eastAsia="Times New Roman"/>
                <w:lang w:val="es-DO" w:eastAsia="es-DO"/>
              </w:rPr>
            </w:pPr>
          </w:p>
        </w:tc>
        <w:tc>
          <w:tcPr>
            <w:tcW w:w="476" w:type="pct"/>
            <w:shd w:val="clear" w:color="auto" w:fill="auto"/>
            <w:noWrap/>
            <w:vAlign w:val="center"/>
          </w:tcPr>
          <w:p w14:paraId="699E91BC" w14:textId="72F72077" w:rsidR="004B0B10" w:rsidRPr="00D11C11" w:rsidRDefault="00627D3C" w:rsidP="00627D3C">
            <w:pPr>
              <w:spacing w:after="0" w:line="240" w:lineRule="auto"/>
              <w:jc w:val="center"/>
              <w:rPr>
                <w:rFonts w:eastAsia="Times New Roman"/>
                <w:lang w:val="es-DO" w:eastAsia="es-DO"/>
              </w:rPr>
            </w:pPr>
            <w:r>
              <w:rPr>
                <w:rFonts w:eastAsia="Times New Roman"/>
                <w:lang w:val="es-DO" w:eastAsia="es-DO"/>
              </w:rPr>
              <w:t>RD$34,000,000.00</w:t>
            </w:r>
          </w:p>
        </w:tc>
      </w:tr>
      <w:tr w:rsidR="007400C6" w:rsidRPr="00D13B4F" w14:paraId="04F78FF1" w14:textId="77777777" w:rsidTr="007400C6">
        <w:trPr>
          <w:trHeight w:val="331"/>
        </w:trPr>
        <w:tc>
          <w:tcPr>
            <w:tcW w:w="489" w:type="pct"/>
            <w:shd w:val="clear" w:color="auto" w:fill="auto"/>
            <w:vAlign w:val="center"/>
          </w:tcPr>
          <w:p w14:paraId="40DDDBE7" w14:textId="1EDFDC1E" w:rsidR="00D13B4F" w:rsidRPr="00D13B4F" w:rsidRDefault="005A6CAB" w:rsidP="003A11A2">
            <w:pPr>
              <w:spacing w:after="0" w:line="240" w:lineRule="auto"/>
              <w:rPr>
                <w:rFonts w:eastAsia="Times New Roman"/>
                <w:b/>
                <w:bCs/>
                <w:lang w:val="es-DO" w:eastAsia="es-DO"/>
              </w:rPr>
            </w:pPr>
            <w:r w:rsidRPr="005A6CAB">
              <w:rPr>
                <w:rFonts w:eastAsia="Times New Roman"/>
                <w:b/>
                <w:bCs/>
                <w:lang w:val="es-DO" w:eastAsia="es-DO"/>
              </w:rPr>
              <w:t>Certificación del Programa de Seguridad y Salud en el Trabajo</w:t>
            </w:r>
          </w:p>
        </w:tc>
        <w:tc>
          <w:tcPr>
            <w:tcW w:w="193" w:type="pct"/>
            <w:shd w:val="clear" w:color="auto" w:fill="auto"/>
            <w:noWrap/>
            <w:vAlign w:val="center"/>
          </w:tcPr>
          <w:p w14:paraId="1A4A0171" w14:textId="77777777" w:rsidR="00D13B4F" w:rsidRPr="00D13B4F" w:rsidRDefault="00D13B4F" w:rsidP="003A11A2">
            <w:pPr>
              <w:spacing w:after="0" w:line="240" w:lineRule="auto"/>
              <w:jc w:val="right"/>
              <w:rPr>
                <w:rFonts w:eastAsia="Times New Roman"/>
                <w:lang w:val="es-DO" w:eastAsia="es-DO"/>
              </w:rPr>
            </w:pPr>
          </w:p>
        </w:tc>
        <w:tc>
          <w:tcPr>
            <w:tcW w:w="238" w:type="pct"/>
            <w:shd w:val="clear" w:color="auto" w:fill="auto"/>
            <w:noWrap/>
            <w:vAlign w:val="center"/>
          </w:tcPr>
          <w:p w14:paraId="2425FB55" w14:textId="77777777" w:rsidR="00D13B4F" w:rsidRPr="00D13B4F" w:rsidRDefault="00D13B4F" w:rsidP="003A11A2">
            <w:pPr>
              <w:spacing w:after="0" w:line="240" w:lineRule="auto"/>
              <w:jc w:val="right"/>
              <w:rPr>
                <w:rFonts w:eastAsia="Times New Roman"/>
                <w:lang w:val="es-DO" w:eastAsia="es-DO"/>
              </w:rPr>
            </w:pPr>
          </w:p>
        </w:tc>
        <w:tc>
          <w:tcPr>
            <w:tcW w:w="449" w:type="pct"/>
            <w:shd w:val="clear" w:color="auto" w:fill="auto"/>
            <w:noWrap/>
            <w:vAlign w:val="center"/>
          </w:tcPr>
          <w:p w14:paraId="6027B6F5" w14:textId="77777777" w:rsidR="00D13B4F" w:rsidRPr="00D13B4F" w:rsidRDefault="00D13B4F" w:rsidP="003A11A2">
            <w:pPr>
              <w:spacing w:after="0" w:line="240" w:lineRule="auto"/>
              <w:jc w:val="right"/>
              <w:rPr>
                <w:rFonts w:eastAsia="Times New Roman"/>
                <w:lang w:val="es-DO" w:eastAsia="es-DO"/>
              </w:rPr>
            </w:pPr>
          </w:p>
        </w:tc>
        <w:tc>
          <w:tcPr>
            <w:tcW w:w="178" w:type="pct"/>
            <w:shd w:val="clear" w:color="auto" w:fill="auto"/>
            <w:noWrap/>
            <w:vAlign w:val="center"/>
          </w:tcPr>
          <w:p w14:paraId="6EA2AEFE" w14:textId="77777777" w:rsidR="00D13B4F" w:rsidRPr="00D13B4F" w:rsidRDefault="00D13B4F" w:rsidP="003A11A2">
            <w:pPr>
              <w:spacing w:after="0" w:line="240" w:lineRule="auto"/>
              <w:jc w:val="right"/>
              <w:rPr>
                <w:rFonts w:eastAsia="Times New Roman"/>
                <w:lang w:val="es-DO" w:eastAsia="es-DO"/>
              </w:rPr>
            </w:pPr>
          </w:p>
        </w:tc>
        <w:tc>
          <w:tcPr>
            <w:tcW w:w="393" w:type="pct"/>
            <w:shd w:val="clear" w:color="auto" w:fill="auto"/>
            <w:noWrap/>
            <w:vAlign w:val="center"/>
          </w:tcPr>
          <w:p w14:paraId="722025E1" w14:textId="5B38435B" w:rsidR="00D13B4F" w:rsidRPr="00D13B4F" w:rsidRDefault="007400C6" w:rsidP="007400C6">
            <w:pPr>
              <w:spacing w:after="0" w:line="240" w:lineRule="auto"/>
              <w:jc w:val="center"/>
              <w:rPr>
                <w:rFonts w:eastAsia="Times New Roman"/>
                <w:lang w:val="es-DO" w:eastAsia="es-DO"/>
              </w:rPr>
            </w:pPr>
            <w:r>
              <w:rPr>
                <w:rFonts w:eastAsia="Times New Roman"/>
                <w:lang w:val="es-DO" w:eastAsia="es-DO"/>
              </w:rPr>
              <w:t>100%</w:t>
            </w:r>
          </w:p>
        </w:tc>
        <w:tc>
          <w:tcPr>
            <w:tcW w:w="476" w:type="pct"/>
            <w:shd w:val="clear" w:color="auto" w:fill="auto"/>
            <w:noWrap/>
            <w:vAlign w:val="center"/>
          </w:tcPr>
          <w:p w14:paraId="565A203F" w14:textId="77777777" w:rsidR="00D13B4F" w:rsidRPr="00D13B4F" w:rsidRDefault="00D13B4F" w:rsidP="003A11A2">
            <w:pPr>
              <w:spacing w:after="0" w:line="240" w:lineRule="auto"/>
              <w:jc w:val="right"/>
              <w:rPr>
                <w:rFonts w:eastAsia="Times New Roman"/>
                <w:lang w:val="es-DO" w:eastAsia="es-DO"/>
              </w:rPr>
            </w:pPr>
          </w:p>
        </w:tc>
        <w:tc>
          <w:tcPr>
            <w:tcW w:w="170" w:type="pct"/>
            <w:shd w:val="clear" w:color="auto" w:fill="auto"/>
            <w:noWrap/>
            <w:vAlign w:val="center"/>
          </w:tcPr>
          <w:p w14:paraId="5A94064C" w14:textId="77777777" w:rsidR="00D13B4F" w:rsidRPr="00D11C11" w:rsidRDefault="00D13B4F" w:rsidP="003A11A2">
            <w:pPr>
              <w:spacing w:after="0" w:line="240" w:lineRule="auto"/>
              <w:jc w:val="right"/>
              <w:rPr>
                <w:rFonts w:eastAsia="Times New Roman"/>
                <w:lang w:val="es-DO" w:eastAsia="es-DO"/>
              </w:rPr>
            </w:pPr>
          </w:p>
        </w:tc>
        <w:tc>
          <w:tcPr>
            <w:tcW w:w="212" w:type="pct"/>
            <w:shd w:val="clear" w:color="auto" w:fill="auto"/>
            <w:noWrap/>
            <w:vAlign w:val="center"/>
          </w:tcPr>
          <w:p w14:paraId="7BC283A6" w14:textId="77777777" w:rsidR="00D13B4F" w:rsidRPr="00D11C11" w:rsidRDefault="00D13B4F" w:rsidP="003A11A2">
            <w:pPr>
              <w:spacing w:after="0" w:line="240" w:lineRule="auto"/>
              <w:jc w:val="right"/>
              <w:rPr>
                <w:rFonts w:eastAsia="Times New Roman"/>
                <w:lang w:val="es-DO" w:eastAsia="es-DO"/>
              </w:rPr>
            </w:pPr>
          </w:p>
        </w:tc>
        <w:tc>
          <w:tcPr>
            <w:tcW w:w="393" w:type="pct"/>
            <w:shd w:val="clear" w:color="auto" w:fill="auto"/>
            <w:noWrap/>
            <w:vAlign w:val="center"/>
          </w:tcPr>
          <w:p w14:paraId="704162AD" w14:textId="77777777" w:rsidR="00D13B4F" w:rsidRPr="00D11C11" w:rsidRDefault="00D13B4F" w:rsidP="003A11A2">
            <w:pPr>
              <w:spacing w:after="0" w:line="240" w:lineRule="auto"/>
              <w:jc w:val="right"/>
              <w:rPr>
                <w:rFonts w:eastAsia="Times New Roman"/>
                <w:lang w:val="es-DO" w:eastAsia="es-DO"/>
              </w:rPr>
            </w:pPr>
          </w:p>
        </w:tc>
        <w:tc>
          <w:tcPr>
            <w:tcW w:w="449" w:type="pct"/>
            <w:shd w:val="clear" w:color="auto" w:fill="auto"/>
            <w:noWrap/>
            <w:vAlign w:val="center"/>
          </w:tcPr>
          <w:p w14:paraId="17736BEE" w14:textId="77777777" w:rsidR="00D13B4F" w:rsidRPr="00D11C11" w:rsidRDefault="00D13B4F" w:rsidP="003A11A2">
            <w:pPr>
              <w:spacing w:after="0" w:line="240" w:lineRule="auto"/>
              <w:jc w:val="right"/>
              <w:rPr>
                <w:rFonts w:eastAsia="Times New Roman"/>
                <w:lang w:val="es-DO" w:eastAsia="es-DO"/>
              </w:rPr>
            </w:pPr>
          </w:p>
        </w:tc>
        <w:tc>
          <w:tcPr>
            <w:tcW w:w="449" w:type="pct"/>
            <w:shd w:val="clear" w:color="auto" w:fill="auto"/>
            <w:noWrap/>
            <w:vAlign w:val="center"/>
          </w:tcPr>
          <w:p w14:paraId="42003E49" w14:textId="77777777" w:rsidR="00D13B4F" w:rsidRPr="00D11C11" w:rsidRDefault="00D13B4F" w:rsidP="003A11A2">
            <w:pPr>
              <w:spacing w:after="0" w:line="240" w:lineRule="auto"/>
              <w:jc w:val="right"/>
              <w:rPr>
                <w:rFonts w:eastAsia="Times New Roman"/>
                <w:lang w:val="es-DO" w:eastAsia="es-DO"/>
              </w:rPr>
            </w:pPr>
          </w:p>
        </w:tc>
        <w:tc>
          <w:tcPr>
            <w:tcW w:w="435" w:type="pct"/>
            <w:shd w:val="clear" w:color="auto" w:fill="auto"/>
            <w:noWrap/>
            <w:vAlign w:val="center"/>
          </w:tcPr>
          <w:p w14:paraId="1E625289" w14:textId="77777777" w:rsidR="00D13B4F" w:rsidRPr="00D11C11" w:rsidRDefault="00D13B4F" w:rsidP="003A11A2">
            <w:pPr>
              <w:spacing w:after="0" w:line="240" w:lineRule="auto"/>
              <w:jc w:val="right"/>
              <w:rPr>
                <w:rFonts w:eastAsia="Times New Roman"/>
                <w:lang w:val="es-DO" w:eastAsia="es-DO"/>
              </w:rPr>
            </w:pPr>
          </w:p>
        </w:tc>
        <w:tc>
          <w:tcPr>
            <w:tcW w:w="476" w:type="pct"/>
            <w:shd w:val="clear" w:color="auto" w:fill="auto"/>
            <w:noWrap/>
            <w:vAlign w:val="center"/>
          </w:tcPr>
          <w:p w14:paraId="3D050758" w14:textId="2409B3A6" w:rsidR="00D13B4F" w:rsidRPr="00D11C11" w:rsidRDefault="007400C6" w:rsidP="007400C6">
            <w:pPr>
              <w:spacing w:after="0" w:line="240" w:lineRule="auto"/>
              <w:jc w:val="center"/>
              <w:rPr>
                <w:rFonts w:eastAsia="Times New Roman"/>
                <w:lang w:val="es-DO" w:eastAsia="es-DO"/>
              </w:rPr>
            </w:pPr>
            <w:r>
              <w:rPr>
                <w:rFonts w:eastAsia="Times New Roman"/>
                <w:lang w:val="es-DO" w:eastAsia="es-DO"/>
              </w:rPr>
              <w:t>100%</w:t>
            </w:r>
          </w:p>
        </w:tc>
      </w:tr>
      <w:tr w:rsidR="007400C6" w:rsidRPr="007400C6" w14:paraId="684C8C5F" w14:textId="77777777" w:rsidTr="007400C6">
        <w:trPr>
          <w:trHeight w:val="331"/>
        </w:trPr>
        <w:tc>
          <w:tcPr>
            <w:tcW w:w="489" w:type="pct"/>
            <w:shd w:val="clear" w:color="auto" w:fill="auto"/>
            <w:vAlign w:val="center"/>
          </w:tcPr>
          <w:p w14:paraId="5416D1DE" w14:textId="0615751A" w:rsidR="007400C6" w:rsidRPr="007400C6" w:rsidRDefault="007400C6" w:rsidP="003A11A2">
            <w:pPr>
              <w:spacing w:after="0" w:line="240" w:lineRule="auto"/>
              <w:rPr>
                <w:rFonts w:eastAsia="Times New Roman"/>
                <w:lang w:val="es-DO" w:eastAsia="es-DO"/>
              </w:rPr>
            </w:pPr>
            <w:r>
              <w:rPr>
                <w:rFonts w:eastAsia="Times New Roman"/>
                <w:lang w:val="es-DO" w:eastAsia="es-DO"/>
              </w:rPr>
              <w:t xml:space="preserve">Inversión Proyecto </w:t>
            </w:r>
            <w:r>
              <w:rPr>
                <w:rFonts w:eastAsia="Times New Roman"/>
                <w:lang w:val="es-DO" w:eastAsia="es-DO"/>
              </w:rPr>
              <w:lastRenderedPageBreak/>
              <w:t>-</w:t>
            </w:r>
            <w:r w:rsidRPr="007400C6">
              <w:rPr>
                <w:rFonts w:eastAsia="Times New Roman"/>
                <w:lang w:val="es-DO" w:eastAsia="es-DO"/>
              </w:rPr>
              <w:t>Certificación del Programa de Seguridad y Salud en el Trabajo</w:t>
            </w:r>
          </w:p>
        </w:tc>
        <w:tc>
          <w:tcPr>
            <w:tcW w:w="193" w:type="pct"/>
            <w:shd w:val="clear" w:color="auto" w:fill="auto"/>
            <w:noWrap/>
            <w:vAlign w:val="center"/>
          </w:tcPr>
          <w:p w14:paraId="0A7E11B6" w14:textId="77777777" w:rsidR="007400C6" w:rsidRPr="007400C6" w:rsidRDefault="007400C6" w:rsidP="003A11A2">
            <w:pPr>
              <w:spacing w:after="0" w:line="240" w:lineRule="auto"/>
              <w:jc w:val="right"/>
              <w:rPr>
                <w:rFonts w:eastAsia="Times New Roman"/>
                <w:lang w:val="es-DO" w:eastAsia="es-DO"/>
              </w:rPr>
            </w:pPr>
          </w:p>
        </w:tc>
        <w:tc>
          <w:tcPr>
            <w:tcW w:w="238" w:type="pct"/>
            <w:shd w:val="clear" w:color="auto" w:fill="auto"/>
            <w:noWrap/>
            <w:vAlign w:val="center"/>
          </w:tcPr>
          <w:p w14:paraId="217A215A" w14:textId="77777777" w:rsidR="007400C6" w:rsidRPr="007400C6" w:rsidRDefault="007400C6" w:rsidP="003A11A2">
            <w:pPr>
              <w:spacing w:after="0" w:line="240" w:lineRule="auto"/>
              <w:jc w:val="right"/>
              <w:rPr>
                <w:rFonts w:eastAsia="Times New Roman"/>
                <w:lang w:val="es-DO" w:eastAsia="es-DO"/>
              </w:rPr>
            </w:pPr>
          </w:p>
        </w:tc>
        <w:tc>
          <w:tcPr>
            <w:tcW w:w="449" w:type="pct"/>
            <w:shd w:val="clear" w:color="auto" w:fill="auto"/>
            <w:noWrap/>
            <w:vAlign w:val="center"/>
          </w:tcPr>
          <w:p w14:paraId="655E2FF1" w14:textId="77777777" w:rsidR="007400C6" w:rsidRPr="007400C6" w:rsidRDefault="007400C6" w:rsidP="003A11A2">
            <w:pPr>
              <w:spacing w:after="0" w:line="240" w:lineRule="auto"/>
              <w:jc w:val="right"/>
              <w:rPr>
                <w:rFonts w:eastAsia="Times New Roman"/>
                <w:lang w:val="es-DO" w:eastAsia="es-DO"/>
              </w:rPr>
            </w:pPr>
          </w:p>
        </w:tc>
        <w:tc>
          <w:tcPr>
            <w:tcW w:w="178" w:type="pct"/>
            <w:shd w:val="clear" w:color="auto" w:fill="auto"/>
            <w:noWrap/>
            <w:vAlign w:val="center"/>
          </w:tcPr>
          <w:p w14:paraId="69621DDE" w14:textId="77777777" w:rsidR="007400C6" w:rsidRPr="007400C6" w:rsidRDefault="007400C6" w:rsidP="003A11A2">
            <w:pPr>
              <w:spacing w:after="0" w:line="240" w:lineRule="auto"/>
              <w:jc w:val="right"/>
              <w:rPr>
                <w:rFonts w:eastAsia="Times New Roman"/>
                <w:lang w:val="es-DO" w:eastAsia="es-DO"/>
              </w:rPr>
            </w:pPr>
          </w:p>
        </w:tc>
        <w:tc>
          <w:tcPr>
            <w:tcW w:w="393" w:type="pct"/>
            <w:shd w:val="clear" w:color="auto" w:fill="auto"/>
            <w:noWrap/>
            <w:vAlign w:val="center"/>
          </w:tcPr>
          <w:p w14:paraId="7420CE5F" w14:textId="4846F69C" w:rsidR="007400C6" w:rsidRPr="007400C6" w:rsidRDefault="007400C6" w:rsidP="007400C6">
            <w:pPr>
              <w:spacing w:after="0" w:line="240" w:lineRule="auto"/>
              <w:jc w:val="center"/>
              <w:rPr>
                <w:rFonts w:eastAsia="Times New Roman"/>
                <w:lang w:val="es-DO" w:eastAsia="es-DO"/>
              </w:rPr>
            </w:pPr>
            <w:r>
              <w:rPr>
                <w:rFonts w:eastAsia="Times New Roman"/>
                <w:lang w:val="es-DO" w:eastAsia="es-DO"/>
              </w:rPr>
              <w:t>RD$300,000.00</w:t>
            </w:r>
          </w:p>
        </w:tc>
        <w:tc>
          <w:tcPr>
            <w:tcW w:w="476" w:type="pct"/>
            <w:shd w:val="clear" w:color="auto" w:fill="auto"/>
            <w:noWrap/>
            <w:vAlign w:val="center"/>
          </w:tcPr>
          <w:p w14:paraId="299A14F7" w14:textId="77777777" w:rsidR="007400C6" w:rsidRPr="007400C6" w:rsidRDefault="007400C6" w:rsidP="003A11A2">
            <w:pPr>
              <w:spacing w:after="0" w:line="240" w:lineRule="auto"/>
              <w:jc w:val="right"/>
              <w:rPr>
                <w:rFonts w:eastAsia="Times New Roman"/>
                <w:lang w:val="es-DO" w:eastAsia="es-DO"/>
              </w:rPr>
            </w:pPr>
          </w:p>
        </w:tc>
        <w:tc>
          <w:tcPr>
            <w:tcW w:w="170" w:type="pct"/>
            <w:shd w:val="clear" w:color="auto" w:fill="auto"/>
            <w:noWrap/>
            <w:vAlign w:val="center"/>
          </w:tcPr>
          <w:p w14:paraId="1723045A" w14:textId="77777777" w:rsidR="007400C6" w:rsidRPr="007400C6" w:rsidRDefault="007400C6" w:rsidP="003A11A2">
            <w:pPr>
              <w:spacing w:after="0" w:line="240" w:lineRule="auto"/>
              <w:jc w:val="right"/>
              <w:rPr>
                <w:rFonts w:eastAsia="Times New Roman"/>
                <w:lang w:val="es-DO" w:eastAsia="es-DO"/>
              </w:rPr>
            </w:pPr>
          </w:p>
        </w:tc>
        <w:tc>
          <w:tcPr>
            <w:tcW w:w="212" w:type="pct"/>
            <w:shd w:val="clear" w:color="auto" w:fill="auto"/>
            <w:noWrap/>
            <w:vAlign w:val="center"/>
          </w:tcPr>
          <w:p w14:paraId="356AA226" w14:textId="77777777" w:rsidR="007400C6" w:rsidRPr="007400C6" w:rsidRDefault="007400C6" w:rsidP="003A11A2">
            <w:pPr>
              <w:spacing w:after="0" w:line="240" w:lineRule="auto"/>
              <w:jc w:val="right"/>
              <w:rPr>
                <w:rFonts w:eastAsia="Times New Roman"/>
                <w:lang w:val="es-DO" w:eastAsia="es-DO"/>
              </w:rPr>
            </w:pPr>
          </w:p>
        </w:tc>
        <w:tc>
          <w:tcPr>
            <w:tcW w:w="393" w:type="pct"/>
            <w:shd w:val="clear" w:color="auto" w:fill="auto"/>
            <w:noWrap/>
            <w:vAlign w:val="center"/>
          </w:tcPr>
          <w:p w14:paraId="56DB6126" w14:textId="77777777" w:rsidR="007400C6" w:rsidRPr="007400C6" w:rsidRDefault="007400C6" w:rsidP="003A11A2">
            <w:pPr>
              <w:spacing w:after="0" w:line="240" w:lineRule="auto"/>
              <w:jc w:val="right"/>
              <w:rPr>
                <w:rFonts w:eastAsia="Times New Roman"/>
                <w:lang w:val="es-DO" w:eastAsia="es-DO"/>
              </w:rPr>
            </w:pPr>
          </w:p>
        </w:tc>
        <w:tc>
          <w:tcPr>
            <w:tcW w:w="449" w:type="pct"/>
            <w:shd w:val="clear" w:color="auto" w:fill="auto"/>
            <w:noWrap/>
            <w:vAlign w:val="center"/>
          </w:tcPr>
          <w:p w14:paraId="392AC460" w14:textId="77777777" w:rsidR="007400C6" w:rsidRPr="007400C6" w:rsidRDefault="007400C6" w:rsidP="003A11A2">
            <w:pPr>
              <w:spacing w:after="0" w:line="240" w:lineRule="auto"/>
              <w:jc w:val="right"/>
              <w:rPr>
                <w:rFonts w:eastAsia="Times New Roman"/>
                <w:lang w:val="es-DO" w:eastAsia="es-DO"/>
              </w:rPr>
            </w:pPr>
          </w:p>
        </w:tc>
        <w:tc>
          <w:tcPr>
            <w:tcW w:w="449" w:type="pct"/>
            <w:shd w:val="clear" w:color="auto" w:fill="auto"/>
            <w:noWrap/>
            <w:vAlign w:val="center"/>
          </w:tcPr>
          <w:p w14:paraId="38BC5AFC" w14:textId="77777777" w:rsidR="007400C6" w:rsidRPr="007400C6" w:rsidRDefault="007400C6" w:rsidP="003A11A2">
            <w:pPr>
              <w:spacing w:after="0" w:line="240" w:lineRule="auto"/>
              <w:jc w:val="right"/>
              <w:rPr>
                <w:rFonts w:eastAsia="Times New Roman"/>
                <w:lang w:val="es-DO" w:eastAsia="es-DO"/>
              </w:rPr>
            </w:pPr>
          </w:p>
        </w:tc>
        <w:tc>
          <w:tcPr>
            <w:tcW w:w="435" w:type="pct"/>
            <w:shd w:val="clear" w:color="auto" w:fill="auto"/>
            <w:noWrap/>
            <w:vAlign w:val="center"/>
          </w:tcPr>
          <w:p w14:paraId="2CFB53A9" w14:textId="77777777" w:rsidR="007400C6" w:rsidRPr="007400C6" w:rsidRDefault="007400C6" w:rsidP="003A11A2">
            <w:pPr>
              <w:spacing w:after="0" w:line="240" w:lineRule="auto"/>
              <w:jc w:val="right"/>
              <w:rPr>
                <w:rFonts w:eastAsia="Times New Roman"/>
                <w:lang w:val="es-DO" w:eastAsia="es-DO"/>
              </w:rPr>
            </w:pPr>
          </w:p>
        </w:tc>
        <w:tc>
          <w:tcPr>
            <w:tcW w:w="476" w:type="pct"/>
            <w:shd w:val="clear" w:color="auto" w:fill="auto"/>
            <w:noWrap/>
            <w:vAlign w:val="center"/>
          </w:tcPr>
          <w:p w14:paraId="40C53344" w14:textId="38BDA7B2" w:rsidR="007400C6" w:rsidRPr="007400C6" w:rsidRDefault="007400C6" w:rsidP="007400C6">
            <w:pPr>
              <w:spacing w:after="0" w:line="240" w:lineRule="auto"/>
              <w:jc w:val="center"/>
              <w:rPr>
                <w:rFonts w:eastAsia="Times New Roman"/>
                <w:lang w:val="es-DO" w:eastAsia="es-DO"/>
              </w:rPr>
            </w:pPr>
            <w:r>
              <w:rPr>
                <w:rFonts w:eastAsia="Times New Roman"/>
                <w:lang w:val="es-DO" w:eastAsia="es-DO"/>
              </w:rPr>
              <w:t>RD$300,000.00</w:t>
            </w:r>
          </w:p>
        </w:tc>
      </w:tr>
      <w:tr w:rsidR="007400C6" w:rsidRPr="00D13B4F" w14:paraId="70BE4012" w14:textId="77777777" w:rsidTr="007400C6">
        <w:trPr>
          <w:trHeight w:val="331"/>
        </w:trPr>
        <w:tc>
          <w:tcPr>
            <w:tcW w:w="489" w:type="pct"/>
            <w:shd w:val="clear" w:color="auto" w:fill="auto"/>
            <w:vAlign w:val="center"/>
          </w:tcPr>
          <w:p w14:paraId="027F6AB3" w14:textId="16AAB5E3" w:rsidR="007400C6" w:rsidRPr="00D13B4F" w:rsidRDefault="007400C6" w:rsidP="007400C6">
            <w:pPr>
              <w:spacing w:after="0" w:line="240" w:lineRule="auto"/>
              <w:rPr>
                <w:rFonts w:eastAsia="Times New Roman"/>
                <w:b/>
                <w:bCs/>
                <w:lang w:val="es-DO" w:eastAsia="es-DO"/>
              </w:rPr>
            </w:pPr>
            <w:r w:rsidRPr="005A6CAB">
              <w:rPr>
                <w:rFonts w:eastAsia="Times New Roman"/>
                <w:b/>
                <w:bCs/>
                <w:lang w:val="es-DO" w:eastAsia="es-DO"/>
              </w:rPr>
              <w:t>WhatsApp como herramienta de atención al cliente</w:t>
            </w:r>
          </w:p>
        </w:tc>
        <w:tc>
          <w:tcPr>
            <w:tcW w:w="193" w:type="pct"/>
            <w:shd w:val="clear" w:color="auto" w:fill="auto"/>
            <w:noWrap/>
            <w:vAlign w:val="center"/>
          </w:tcPr>
          <w:p w14:paraId="6D2CF744" w14:textId="77777777" w:rsidR="007400C6" w:rsidRPr="00D13B4F" w:rsidRDefault="007400C6" w:rsidP="007400C6">
            <w:pPr>
              <w:spacing w:after="0" w:line="240" w:lineRule="auto"/>
              <w:jc w:val="right"/>
              <w:rPr>
                <w:rFonts w:eastAsia="Times New Roman"/>
                <w:lang w:val="es-DO" w:eastAsia="es-DO"/>
              </w:rPr>
            </w:pPr>
          </w:p>
        </w:tc>
        <w:tc>
          <w:tcPr>
            <w:tcW w:w="238" w:type="pct"/>
            <w:shd w:val="clear" w:color="auto" w:fill="auto"/>
            <w:noWrap/>
            <w:vAlign w:val="center"/>
          </w:tcPr>
          <w:p w14:paraId="7116EC48" w14:textId="77777777" w:rsidR="007400C6" w:rsidRPr="00D13B4F" w:rsidRDefault="007400C6" w:rsidP="007400C6">
            <w:pPr>
              <w:spacing w:after="0" w:line="240" w:lineRule="auto"/>
              <w:jc w:val="right"/>
              <w:rPr>
                <w:rFonts w:eastAsia="Times New Roman"/>
                <w:lang w:val="es-DO" w:eastAsia="es-DO"/>
              </w:rPr>
            </w:pPr>
          </w:p>
        </w:tc>
        <w:tc>
          <w:tcPr>
            <w:tcW w:w="449" w:type="pct"/>
            <w:shd w:val="clear" w:color="auto" w:fill="auto"/>
            <w:noWrap/>
            <w:vAlign w:val="center"/>
          </w:tcPr>
          <w:p w14:paraId="17736B63" w14:textId="77777777" w:rsidR="007400C6" w:rsidRPr="00D13B4F" w:rsidRDefault="007400C6" w:rsidP="007400C6">
            <w:pPr>
              <w:spacing w:after="0" w:line="240" w:lineRule="auto"/>
              <w:jc w:val="right"/>
              <w:rPr>
                <w:rFonts w:eastAsia="Times New Roman"/>
                <w:lang w:val="es-DO" w:eastAsia="es-DO"/>
              </w:rPr>
            </w:pPr>
          </w:p>
        </w:tc>
        <w:tc>
          <w:tcPr>
            <w:tcW w:w="178" w:type="pct"/>
            <w:shd w:val="clear" w:color="auto" w:fill="auto"/>
            <w:noWrap/>
            <w:vAlign w:val="center"/>
          </w:tcPr>
          <w:p w14:paraId="41EB77BA" w14:textId="77777777" w:rsidR="007400C6" w:rsidRPr="00D13B4F" w:rsidRDefault="007400C6" w:rsidP="007400C6">
            <w:pPr>
              <w:spacing w:after="0" w:line="240" w:lineRule="auto"/>
              <w:jc w:val="right"/>
              <w:rPr>
                <w:rFonts w:eastAsia="Times New Roman"/>
                <w:lang w:val="es-DO" w:eastAsia="es-DO"/>
              </w:rPr>
            </w:pPr>
          </w:p>
        </w:tc>
        <w:tc>
          <w:tcPr>
            <w:tcW w:w="393" w:type="pct"/>
            <w:shd w:val="clear" w:color="auto" w:fill="auto"/>
            <w:noWrap/>
            <w:vAlign w:val="center"/>
          </w:tcPr>
          <w:p w14:paraId="015CEE58" w14:textId="77777777" w:rsidR="007400C6" w:rsidRPr="00D13B4F" w:rsidRDefault="007400C6" w:rsidP="007400C6">
            <w:pPr>
              <w:spacing w:after="0" w:line="240" w:lineRule="auto"/>
              <w:jc w:val="right"/>
              <w:rPr>
                <w:rFonts w:eastAsia="Times New Roman"/>
                <w:lang w:val="es-DO" w:eastAsia="es-DO"/>
              </w:rPr>
            </w:pPr>
          </w:p>
        </w:tc>
        <w:tc>
          <w:tcPr>
            <w:tcW w:w="476" w:type="pct"/>
            <w:shd w:val="clear" w:color="auto" w:fill="auto"/>
            <w:noWrap/>
            <w:vAlign w:val="center"/>
          </w:tcPr>
          <w:p w14:paraId="65305C4A" w14:textId="77777777" w:rsidR="007400C6" w:rsidRPr="00D13B4F" w:rsidRDefault="007400C6" w:rsidP="007400C6">
            <w:pPr>
              <w:spacing w:after="0" w:line="240" w:lineRule="auto"/>
              <w:jc w:val="right"/>
              <w:rPr>
                <w:rFonts w:eastAsia="Times New Roman"/>
                <w:lang w:val="es-DO" w:eastAsia="es-DO"/>
              </w:rPr>
            </w:pPr>
          </w:p>
        </w:tc>
        <w:tc>
          <w:tcPr>
            <w:tcW w:w="170" w:type="pct"/>
            <w:shd w:val="clear" w:color="auto" w:fill="auto"/>
            <w:noWrap/>
            <w:vAlign w:val="center"/>
          </w:tcPr>
          <w:p w14:paraId="0B51772D" w14:textId="77777777" w:rsidR="007400C6" w:rsidRPr="00D11C11" w:rsidRDefault="007400C6" w:rsidP="007400C6">
            <w:pPr>
              <w:spacing w:after="0" w:line="240" w:lineRule="auto"/>
              <w:jc w:val="right"/>
              <w:rPr>
                <w:rFonts w:eastAsia="Times New Roman"/>
                <w:lang w:val="es-DO" w:eastAsia="es-DO"/>
              </w:rPr>
            </w:pPr>
          </w:p>
        </w:tc>
        <w:tc>
          <w:tcPr>
            <w:tcW w:w="212" w:type="pct"/>
            <w:shd w:val="clear" w:color="auto" w:fill="auto"/>
            <w:noWrap/>
            <w:vAlign w:val="center"/>
          </w:tcPr>
          <w:p w14:paraId="4F55B4B1" w14:textId="77777777" w:rsidR="007400C6" w:rsidRPr="00D11C11" w:rsidRDefault="007400C6" w:rsidP="007400C6">
            <w:pPr>
              <w:spacing w:after="0" w:line="240" w:lineRule="auto"/>
              <w:jc w:val="center"/>
              <w:rPr>
                <w:rFonts w:eastAsia="Times New Roman"/>
                <w:lang w:val="es-DO" w:eastAsia="es-DO"/>
              </w:rPr>
            </w:pPr>
          </w:p>
        </w:tc>
        <w:tc>
          <w:tcPr>
            <w:tcW w:w="393" w:type="pct"/>
            <w:shd w:val="clear" w:color="auto" w:fill="auto"/>
            <w:noWrap/>
            <w:vAlign w:val="center"/>
          </w:tcPr>
          <w:p w14:paraId="2601BEBF" w14:textId="4B3CC4DF" w:rsidR="007400C6" w:rsidRPr="00D11C11" w:rsidRDefault="007400C6" w:rsidP="007400C6">
            <w:pPr>
              <w:spacing w:after="0" w:line="240" w:lineRule="auto"/>
              <w:jc w:val="center"/>
              <w:rPr>
                <w:rFonts w:eastAsia="Times New Roman"/>
                <w:lang w:val="es-DO" w:eastAsia="es-DO"/>
              </w:rPr>
            </w:pPr>
            <w:r>
              <w:rPr>
                <w:rFonts w:eastAsia="Times New Roman"/>
                <w:lang w:val="es-DO" w:eastAsia="es-DO"/>
              </w:rPr>
              <w:t>100%</w:t>
            </w:r>
          </w:p>
        </w:tc>
        <w:tc>
          <w:tcPr>
            <w:tcW w:w="449" w:type="pct"/>
            <w:shd w:val="clear" w:color="auto" w:fill="auto"/>
            <w:noWrap/>
            <w:vAlign w:val="center"/>
          </w:tcPr>
          <w:p w14:paraId="2BFF7410" w14:textId="77777777" w:rsidR="007400C6" w:rsidRPr="00D11C11" w:rsidRDefault="007400C6" w:rsidP="007400C6">
            <w:pPr>
              <w:spacing w:after="0" w:line="240" w:lineRule="auto"/>
              <w:jc w:val="center"/>
              <w:rPr>
                <w:rFonts w:eastAsia="Times New Roman"/>
                <w:lang w:val="es-DO" w:eastAsia="es-DO"/>
              </w:rPr>
            </w:pPr>
          </w:p>
        </w:tc>
        <w:tc>
          <w:tcPr>
            <w:tcW w:w="449" w:type="pct"/>
            <w:shd w:val="clear" w:color="auto" w:fill="auto"/>
            <w:noWrap/>
            <w:vAlign w:val="center"/>
          </w:tcPr>
          <w:p w14:paraId="02145904" w14:textId="77777777" w:rsidR="007400C6" w:rsidRPr="00D11C11" w:rsidRDefault="007400C6" w:rsidP="007400C6">
            <w:pPr>
              <w:spacing w:after="0" w:line="240" w:lineRule="auto"/>
              <w:jc w:val="center"/>
              <w:rPr>
                <w:rFonts w:eastAsia="Times New Roman"/>
                <w:lang w:val="es-DO" w:eastAsia="es-DO"/>
              </w:rPr>
            </w:pPr>
          </w:p>
        </w:tc>
        <w:tc>
          <w:tcPr>
            <w:tcW w:w="435" w:type="pct"/>
            <w:shd w:val="clear" w:color="auto" w:fill="auto"/>
            <w:noWrap/>
            <w:vAlign w:val="center"/>
          </w:tcPr>
          <w:p w14:paraId="61A7A1B4" w14:textId="77777777" w:rsidR="007400C6" w:rsidRPr="00D11C11" w:rsidRDefault="007400C6" w:rsidP="007400C6">
            <w:pPr>
              <w:spacing w:after="0" w:line="240" w:lineRule="auto"/>
              <w:jc w:val="center"/>
              <w:rPr>
                <w:rFonts w:eastAsia="Times New Roman"/>
                <w:lang w:val="es-DO" w:eastAsia="es-DO"/>
              </w:rPr>
            </w:pPr>
          </w:p>
        </w:tc>
        <w:tc>
          <w:tcPr>
            <w:tcW w:w="476" w:type="pct"/>
            <w:shd w:val="clear" w:color="auto" w:fill="auto"/>
            <w:noWrap/>
            <w:vAlign w:val="center"/>
          </w:tcPr>
          <w:p w14:paraId="76F35985" w14:textId="246C72C1" w:rsidR="007400C6" w:rsidRPr="00D11C11" w:rsidRDefault="007400C6" w:rsidP="007400C6">
            <w:pPr>
              <w:spacing w:after="0" w:line="240" w:lineRule="auto"/>
              <w:jc w:val="center"/>
              <w:rPr>
                <w:rFonts w:eastAsia="Times New Roman"/>
                <w:lang w:val="es-DO" w:eastAsia="es-DO"/>
              </w:rPr>
            </w:pPr>
            <w:r>
              <w:rPr>
                <w:rFonts w:eastAsia="Times New Roman"/>
                <w:lang w:val="es-DO" w:eastAsia="es-DO"/>
              </w:rPr>
              <w:t>100%</w:t>
            </w:r>
          </w:p>
        </w:tc>
      </w:tr>
      <w:tr w:rsidR="007400C6" w:rsidRPr="00D13B4F" w14:paraId="4980757E" w14:textId="77777777" w:rsidTr="007400C6">
        <w:trPr>
          <w:trHeight w:val="331"/>
        </w:trPr>
        <w:tc>
          <w:tcPr>
            <w:tcW w:w="489" w:type="pct"/>
            <w:shd w:val="clear" w:color="auto" w:fill="auto"/>
            <w:vAlign w:val="center"/>
          </w:tcPr>
          <w:p w14:paraId="2725FB2E" w14:textId="632B8B70" w:rsidR="007400C6" w:rsidRPr="007400C6" w:rsidRDefault="007400C6" w:rsidP="007400C6">
            <w:pPr>
              <w:spacing w:after="0" w:line="240" w:lineRule="auto"/>
              <w:rPr>
                <w:rFonts w:eastAsia="Times New Roman"/>
                <w:lang w:val="es-DO" w:eastAsia="es-DO"/>
              </w:rPr>
            </w:pPr>
            <w:r>
              <w:rPr>
                <w:rFonts w:eastAsia="Times New Roman"/>
                <w:lang w:val="es-DO" w:eastAsia="es-DO"/>
              </w:rPr>
              <w:t>Inversión Proyecto -</w:t>
            </w:r>
            <w:r w:rsidRPr="007400C6">
              <w:rPr>
                <w:rFonts w:eastAsia="Times New Roman"/>
                <w:lang w:val="es-DO" w:eastAsia="es-DO"/>
              </w:rPr>
              <w:t xml:space="preserve">WhatsApp como herramienta de </w:t>
            </w:r>
            <w:r w:rsidRPr="007400C6">
              <w:rPr>
                <w:rFonts w:eastAsia="Times New Roman"/>
                <w:lang w:val="es-DO" w:eastAsia="es-DO"/>
              </w:rPr>
              <w:lastRenderedPageBreak/>
              <w:t>atención al cliente</w:t>
            </w:r>
          </w:p>
        </w:tc>
        <w:tc>
          <w:tcPr>
            <w:tcW w:w="193" w:type="pct"/>
            <w:shd w:val="clear" w:color="auto" w:fill="auto"/>
            <w:noWrap/>
            <w:vAlign w:val="center"/>
          </w:tcPr>
          <w:p w14:paraId="7721D5B8" w14:textId="77777777" w:rsidR="007400C6" w:rsidRPr="00D13B4F" w:rsidRDefault="007400C6" w:rsidP="007400C6">
            <w:pPr>
              <w:spacing w:after="0" w:line="240" w:lineRule="auto"/>
              <w:jc w:val="right"/>
              <w:rPr>
                <w:rFonts w:eastAsia="Times New Roman"/>
                <w:lang w:val="es-DO" w:eastAsia="es-DO"/>
              </w:rPr>
            </w:pPr>
          </w:p>
        </w:tc>
        <w:tc>
          <w:tcPr>
            <w:tcW w:w="238" w:type="pct"/>
            <w:shd w:val="clear" w:color="auto" w:fill="auto"/>
            <w:noWrap/>
            <w:vAlign w:val="center"/>
          </w:tcPr>
          <w:p w14:paraId="6810F505" w14:textId="77777777" w:rsidR="007400C6" w:rsidRPr="00D13B4F" w:rsidRDefault="007400C6" w:rsidP="007400C6">
            <w:pPr>
              <w:spacing w:after="0" w:line="240" w:lineRule="auto"/>
              <w:jc w:val="right"/>
              <w:rPr>
                <w:rFonts w:eastAsia="Times New Roman"/>
                <w:lang w:val="es-DO" w:eastAsia="es-DO"/>
              </w:rPr>
            </w:pPr>
          </w:p>
        </w:tc>
        <w:tc>
          <w:tcPr>
            <w:tcW w:w="449" w:type="pct"/>
            <w:shd w:val="clear" w:color="auto" w:fill="auto"/>
            <w:noWrap/>
            <w:vAlign w:val="center"/>
          </w:tcPr>
          <w:p w14:paraId="6D94A059" w14:textId="77777777" w:rsidR="007400C6" w:rsidRPr="00D13B4F" w:rsidRDefault="007400C6" w:rsidP="007400C6">
            <w:pPr>
              <w:spacing w:after="0" w:line="240" w:lineRule="auto"/>
              <w:jc w:val="right"/>
              <w:rPr>
                <w:rFonts w:eastAsia="Times New Roman"/>
                <w:lang w:val="es-DO" w:eastAsia="es-DO"/>
              </w:rPr>
            </w:pPr>
          </w:p>
        </w:tc>
        <w:tc>
          <w:tcPr>
            <w:tcW w:w="178" w:type="pct"/>
            <w:shd w:val="clear" w:color="auto" w:fill="auto"/>
            <w:noWrap/>
            <w:vAlign w:val="center"/>
          </w:tcPr>
          <w:p w14:paraId="79D866DF" w14:textId="77777777" w:rsidR="007400C6" w:rsidRPr="00D13B4F" w:rsidRDefault="007400C6" w:rsidP="007400C6">
            <w:pPr>
              <w:spacing w:after="0" w:line="240" w:lineRule="auto"/>
              <w:jc w:val="right"/>
              <w:rPr>
                <w:rFonts w:eastAsia="Times New Roman"/>
                <w:lang w:val="es-DO" w:eastAsia="es-DO"/>
              </w:rPr>
            </w:pPr>
          </w:p>
        </w:tc>
        <w:tc>
          <w:tcPr>
            <w:tcW w:w="393" w:type="pct"/>
            <w:shd w:val="clear" w:color="auto" w:fill="auto"/>
            <w:noWrap/>
            <w:vAlign w:val="center"/>
          </w:tcPr>
          <w:p w14:paraId="7DEF729E" w14:textId="77777777" w:rsidR="007400C6" w:rsidRPr="00D13B4F" w:rsidRDefault="007400C6" w:rsidP="007400C6">
            <w:pPr>
              <w:spacing w:after="0" w:line="240" w:lineRule="auto"/>
              <w:jc w:val="right"/>
              <w:rPr>
                <w:rFonts w:eastAsia="Times New Roman"/>
                <w:lang w:val="es-DO" w:eastAsia="es-DO"/>
              </w:rPr>
            </w:pPr>
          </w:p>
        </w:tc>
        <w:tc>
          <w:tcPr>
            <w:tcW w:w="476" w:type="pct"/>
            <w:shd w:val="clear" w:color="auto" w:fill="auto"/>
            <w:noWrap/>
            <w:vAlign w:val="center"/>
          </w:tcPr>
          <w:p w14:paraId="660D101B" w14:textId="77777777" w:rsidR="007400C6" w:rsidRPr="00D13B4F" w:rsidRDefault="007400C6" w:rsidP="007400C6">
            <w:pPr>
              <w:spacing w:after="0" w:line="240" w:lineRule="auto"/>
              <w:jc w:val="right"/>
              <w:rPr>
                <w:rFonts w:eastAsia="Times New Roman"/>
                <w:lang w:val="es-DO" w:eastAsia="es-DO"/>
              </w:rPr>
            </w:pPr>
          </w:p>
        </w:tc>
        <w:tc>
          <w:tcPr>
            <w:tcW w:w="170" w:type="pct"/>
            <w:shd w:val="clear" w:color="auto" w:fill="auto"/>
            <w:noWrap/>
            <w:vAlign w:val="center"/>
          </w:tcPr>
          <w:p w14:paraId="1E2FCDA1" w14:textId="77777777" w:rsidR="007400C6" w:rsidRPr="00D11C11" w:rsidRDefault="007400C6" w:rsidP="007400C6">
            <w:pPr>
              <w:spacing w:after="0" w:line="240" w:lineRule="auto"/>
              <w:jc w:val="right"/>
              <w:rPr>
                <w:rFonts w:eastAsia="Times New Roman"/>
                <w:lang w:val="es-DO" w:eastAsia="es-DO"/>
              </w:rPr>
            </w:pPr>
          </w:p>
        </w:tc>
        <w:tc>
          <w:tcPr>
            <w:tcW w:w="212" w:type="pct"/>
            <w:shd w:val="clear" w:color="auto" w:fill="auto"/>
            <w:noWrap/>
            <w:vAlign w:val="center"/>
          </w:tcPr>
          <w:p w14:paraId="2AF04998" w14:textId="77777777" w:rsidR="007400C6" w:rsidRPr="00D11C11" w:rsidRDefault="007400C6" w:rsidP="007400C6">
            <w:pPr>
              <w:spacing w:after="0" w:line="240" w:lineRule="auto"/>
              <w:jc w:val="center"/>
              <w:rPr>
                <w:rFonts w:eastAsia="Times New Roman"/>
                <w:lang w:val="es-DO" w:eastAsia="es-DO"/>
              </w:rPr>
            </w:pPr>
          </w:p>
        </w:tc>
        <w:tc>
          <w:tcPr>
            <w:tcW w:w="393" w:type="pct"/>
            <w:shd w:val="clear" w:color="auto" w:fill="auto"/>
            <w:noWrap/>
            <w:vAlign w:val="center"/>
          </w:tcPr>
          <w:p w14:paraId="5F441738" w14:textId="7A9E5573" w:rsidR="007400C6" w:rsidRDefault="007400C6" w:rsidP="007400C6">
            <w:pPr>
              <w:spacing w:after="0" w:line="240" w:lineRule="auto"/>
              <w:jc w:val="center"/>
              <w:rPr>
                <w:rFonts w:eastAsia="Times New Roman"/>
                <w:lang w:val="es-DO" w:eastAsia="es-DO"/>
              </w:rPr>
            </w:pPr>
            <w:r>
              <w:rPr>
                <w:rFonts w:eastAsia="Times New Roman"/>
                <w:lang w:val="es-DO" w:eastAsia="es-DO"/>
              </w:rPr>
              <w:t>RD$</w:t>
            </w:r>
            <w:r w:rsidRPr="007400C6">
              <w:rPr>
                <w:rFonts w:eastAsia="Times New Roman"/>
                <w:lang w:val="es-DO" w:eastAsia="es-DO"/>
              </w:rPr>
              <w:t>101,456.00</w:t>
            </w:r>
          </w:p>
        </w:tc>
        <w:tc>
          <w:tcPr>
            <w:tcW w:w="449" w:type="pct"/>
            <w:shd w:val="clear" w:color="auto" w:fill="auto"/>
            <w:noWrap/>
            <w:vAlign w:val="center"/>
          </w:tcPr>
          <w:p w14:paraId="523BB8BA" w14:textId="77777777" w:rsidR="007400C6" w:rsidRPr="00D11C11" w:rsidRDefault="007400C6" w:rsidP="007400C6">
            <w:pPr>
              <w:spacing w:after="0" w:line="240" w:lineRule="auto"/>
              <w:jc w:val="center"/>
              <w:rPr>
                <w:rFonts w:eastAsia="Times New Roman"/>
                <w:lang w:val="es-DO" w:eastAsia="es-DO"/>
              </w:rPr>
            </w:pPr>
          </w:p>
        </w:tc>
        <w:tc>
          <w:tcPr>
            <w:tcW w:w="449" w:type="pct"/>
            <w:shd w:val="clear" w:color="auto" w:fill="auto"/>
            <w:noWrap/>
            <w:vAlign w:val="center"/>
          </w:tcPr>
          <w:p w14:paraId="582A9B4C" w14:textId="77777777" w:rsidR="007400C6" w:rsidRPr="00D11C11" w:rsidRDefault="007400C6" w:rsidP="007400C6">
            <w:pPr>
              <w:spacing w:after="0" w:line="240" w:lineRule="auto"/>
              <w:jc w:val="center"/>
              <w:rPr>
                <w:rFonts w:eastAsia="Times New Roman"/>
                <w:lang w:val="es-DO" w:eastAsia="es-DO"/>
              </w:rPr>
            </w:pPr>
          </w:p>
        </w:tc>
        <w:tc>
          <w:tcPr>
            <w:tcW w:w="435" w:type="pct"/>
            <w:shd w:val="clear" w:color="auto" w:fill="auto"/>
            <w:noWrap/>
            <w:vAlign w:val="center"/>
          </w:tcPr>
          <w:p w14:paraId="7594A9BE" w14:textId="77777777" w:rsidR="007400C6" w:rsidRPr="00D11C11" w:rsidRDefault="007400C6" w:rsidP="007400C6">
            <w:pPr>
              <w:spacing w:after="0" w:line="240" w:lineRule="auto"/>
              <w:jc w:val="center"/>
              <w:rPr>
                <w:rFonts w:eastAsia="Times New Roman"/>
                <w:lang w:val="es-DO" w:eastAsia="es-DO"/>
              </w:rPr>
            </w:pPr>
          </w:p>
        </w:tc>
        <w:tc>
          <w:tcPr>
            <w:tcW w:w="476" w:type="pct"/>
            <w:shd w:val="clear" w:color="auto" w:fill="auto"/>
            <w:noWrap/>
            <w:vAlign w:val="center"/>
          </w:tcPr>
          <w:p w14:paraId="6340D6E2" w14:textId="6F7B25D6" w:rsidR="007400C6" w:rsidRPr="00D11C11" w:rsidRDefault="007400C6" w:rsidP="007400C6">
            <w:pPr>
              <w:spacing w:after="0" w:line="240" w:lineRule="auto"/>
              <w:jc w:val="center"/>
              <w:rPr>
                <w:rFonts w:eastAsia="Times New Roman"/>
                <w:lang w:val="es-DO" w:eastAsia="es-DO"/>
              </w:rPr>
            </w:pPr>
            <w:r>
              <w:rPr>
                <w:rFonts w:eastAsia="Times New Roman"/>
                <w:lang w:val="es-DO" w:eastAsia="es-DO"/>
              </w:rPr>
              <w:t>RD$</w:t>
            </w:r>
            <w:r w:rsidRPr="007400C6">
              <w:rPr>
                <w:rFonts w:eastAsia="Times New Roman"/>
                <w:lang w:val="es-DO" w:eastAsia="es-DO"/>
              </w:rPr>
              <w:t>101,456.00</w:t>
            </w:r>
          </w:p>
        </w:tc>
      </w:tr>
      <w:tr w:rsidR="007400C6" w:rsidRPr="00D13B4F" w14:paraId="2097B392" w14:textId="77777777" w:rsidTr="007400C6">
        <w:trPr>
          <w:trHeight w:val="331"/>
        </w:trPr>
        <w:tc>
          <w:tcPr>
            <w:tcW w:w="489" w:type="pct"/>
            <w:shd w:val="clear" w:color="auto" w:fill="auto"/>
            <w:vAlign w:val="center"/>
          </w:tcPr>
          <w:p w14:paraId="03D1A240" w14:textId="439E574F" w:rsidR="005A6CAB" w:rsidRPr="005A6CAB" w:rsidRDefault="005A6CAB" w:rsidP="003A11A2">
            <w:pPr>
              <w:spacing w:after="0" w:line="240" w:lineRule="auto"/>
              <w:rPr>
                <w:rFonts w:eastAsia="Times New Roman"/>
                <w:b/>
                <w:bCs/>
                <w:lang w:val="es-DO" w:eastAsia="es-DO"/>
              </w:rPr>
            </w:pPr>
            <w:r w:rsidRPr="005A6CAB">
              <w:rPr>
                <w:rFonts w:eastAsia="Times New Roman"/>
                <w:b/>
                <w:bCs/>
                <w:lang w:val="es-DO" w:eastAsia="es-DO"/>
              </w:rPr>
              <w:t>Unidad de Supervisión de Fiduciarias</w:t>
            </w:r>
          </w:p>
        </w:tc>
        <w:tc>
          <w:tcPr>
            <w:tcW w:w="193" w:type="pct"/>
            <w:shd w:val="clear" w:color="auto" w:fill="auto"/>
            <w:noWrap/>
            <w:vAlign w:val="center"/>
          </w:tcPr>
          <w:p w14:paraId="1C4A2195" w14:textId="77777777" w:rsidR="005A6CAB" w:rsidRPr="00D13B4F" w:rsidRDefault="005A6CAB" w:rsidP="003A11A2">
            <w:pPr>
              <w:spacing w:after="0" w:line="240" w:lineRule="auto"/>
              <w:jc w:val="right"/>
              <w:rPr>
                <w:rFonts w:eastAsia="Times New Roman"/>
                <w:lang w:val="es-DO" w:eastAsia="es-DO"/>
              </w:rPr>
            </w:pPr>
          </w:p>
        </w:tc>
        <w:tc>
          <w:tcPr>
            <w:tcW w:w="238" w:type="pct"/>
            <w:shd w:val="clear" w:color="auto" w:fill="auto"/>
            <w:noWrap/>
            <w:vAlign w:val="center"/>
          </w:tcPr>
          <w:p w14:paraId="62F70AAC" w14:textId="77777777" w:rsidR="005A6CAB" w:rsidRPr="00D13B4F" w:rsidRDefault="005A6CAB" w:rsidP="003A11A2">
            <w:pPr>
              <w:spacing w:after="0" w:line="240" w:lineRule="auto"/>
              <w:jc w:val="right"/>
              <w:rPr>
                <w:rFonts w:eastAsia="Times New Roman"/>
                <w:lang w:val="es-DO" w:eastAsia="es-DO"/>
              </w:rPr>
            </w:pPr>
          </w:p>
        </w:tc>
        <w:tc>
          <w:tcPr>
            <w:tcW w:w="449" w:type="pct"/>
            <w:shd w:val="clear" w:color="auto" w:fill="auto"/>
            <w:noWrap/>
            <w:vAlign w:val="center"/>
          </w:tcPr>
          <w:p w14:paraId="3A615581" w14:textId="77777777" w:rsidR="005A6CAB" w:rsidRPr="00D13B4F" w:rsidRDefault="005A6CAB" w:rsidP="003A11A2">
            <w:pPr>
              <w:spacing w:after="0" w:line="240" w:lineRule="auto"/>
              <w:jc w:val="right"/>
              <w:rPr>
                <w:rFonts w:eastAsia="Times New Roman"/>
                <w:lang w:val="es-DO" w:eastAsia="es-DO"/>
              </w:rPr>
            </w:pPr>
          </w:p>
        </w:tc>
        <w:tc>
          <w:tcPr>
            <w:tcW w:w="178" w:type="pct"/>
            <w:shd w:val="clear" w:color="auto" w:fill="auto"/>
            <w:noWrap/>
            <w:vAlign w:val="center"/>
          </w:tcPr>
          <w:p w14:paraId="431A1AB8" w14:textId="77777777" w:rsidR="005A6CAB" w:rsidRPr="00D13B4F" w:rsidRDefault="005A6CAB" w:rsidP="003A11A2">
            <w:pPr>
              <w:spacing w:after="0" w:line="240" w:lineRule="auto"/>
              <w:jc w:val="right"/>
              <w:rPr>
                <w:rFonts w:eastAsia="Times New Roman"/>
                <w:lang w:val="es-DO" w:eastAsia="es-DO"/>
              </w:rPr>
            </w:pPr>
          </w:p>
        </w:tc>
        <w:tc>
          <w:tcPr>
            <w:tcW w:w="393" w:type="pct"/>
            <w:shd w:val="clear" w:color="auto" w:fill="auto"/>
            <w:noWrap/>
            <w:vAlign w:val="center"/>
          </w:tcPr>
          <w:p w14:paraId="5B7FCB0D" w14:textId="77777777" w:rsidR="005A6CAB" w:rsidRPr="00D13B4F" w:rsidRDefault="005A6CAB" w:rsidP="004F0554">
            <w:pPr>
              <w:spacing w:after="0" w:line="240" w:lineRule="auto"/>
              <w:jc w:val="center"/>
              <w:rPr>
                <w:rFonts w:eastAsia="Times New Roman"/>
                <w:lang w:val="es-DO" w:eastAsia="es-DO"/>
              </w:rPr>
            </w:pPr>
          </w:p>
        </w:tc>
        <w:tc>
          <w:tcPr>
            <w:tcW w:w="476" w:type="pct"/>
            <w:shd w:val="clear" w:color="auto" w:fill="auto"/>
            <w:noWrap/>
            <w:vAlign w:val="center"/>
          </w:tcPr>
          <w:p w14:paraId="509D9321" w14:textId="34C9028C" w:rsidR="004F0554" w:rsidRPr="004F0554" w:rsidRDefault="004F0554" w:rsidP="004F0554">
            <w:pPr>
              <w:spacing w:after="0" w:line="240" w:lineRule="auto"/>
              <w:jc w:val="center"/>
              <w:rPr>
                <w:rFonts w:eastAsia="Times New Roman"/>
                <w:lang w:val="es-DO" w:eastAsia="es-DO"/>
              </w:rPr>
            </w:pPr>
          </w:p>
        </w:tc>
        <w:tc>
          <w:tcPr>
            <w:tcW w:w="170" w:type="pct"/>
            <w:shd w:val="clear" w:color="auto" w:fill="auto"/>
            <w:noWrap/>
            <w:vAlign w:val="center"/>
          </w:tcPr>
          <w:p w14:paraId="482237EC" w14:textId="77777777" w:rsidR="005A6CAB" w:rsidRPr="00D11C11" w:rsidRDefault="005A6CAB" w:rsidP="004F0554">
            <w:pPr>
              <w:spacing w:after="0" w:line="240" w:lineRule="auto"/>
              <w:jc w:val="center"/>
              <w:rPr>
                <w:rFonts w:eastAsia="Times New Roman"/>
                <w:lang w:val="es-DO" w:eastAsia="es-DO"/>
              </w:rPr>
            </w:pPr>
          </w:p>
        </w:tc>
        <w:tc>
          <w:tcPr>
            <w:tcW w:w="212" w:type="pct"/>
            <w:shd w:val="clear" w:color="auto" w:fill="auto"/>
            <w:noWrap/>
            <w:vAlign w:val="center"/>
          </w:tcPr>
          <w:p w14:paraId="63C837E4" w14:textId="77777777" w:rsidR="005A6CAB" w:rsidRPr="00D11C11" w:rsidRDefault="005A6CAB" w:rsidP="004F0554">
            <w:pPr>
              <w:spacing w:after="0" w:line="240" w:lineRule="auto"/>
              <w:jc w:val="center"/>
              <w:rPr>
                <w:rFonts w:eastAsia="Times New Roman"/>
                <w:lang w:val="es-DO" w:eastAsia="es-DO"/>
              </w:rPr>
            </w:pPr>
          </w:p>
        </w:tc>
        <w:tc>
          <w:tcPr>
            <w:tcW w:w="393" w:type="pct"/>
            <w:shd w:val="clear" w:color="auto" w:fill="auto"/>
            <w:noWrap/>
            <w:vAlign w:val="center"/>
          </w:tcPr>
          <w:p w14:paraId="131519E5" w14:textId="39F9F5A2" w:rsidR="005A6CAB" w:rsidRPr="00D11C11" w:rsidRDefault="005A6CAB" w:rsidP="004F0554">
            <w:pPr>
              <w:spacing w:after="0" w:line="240" w:lineRule="auto"/>
              <w:jc w:val="center"/>
              <w:rPr>
                <w:rFonts w:eastAsia="Times New Roman"/>
                <w:lang w:val="es-DO" w:eastAsia="es-DO"/>
              </w:rPr>
            </w:pPr>
          </w:p>
        </w:tc>
        <w:tc>
          <w:tcPr>
            <w:tcW w:w="449" w:type="pct"/>
            <w:shd w:val="clear" w:color="auto" w:fill="auto"/>
            <w:noWrap/>
            <w:vAlign w:val="center"/>
          </w:tcPr>
          <w:p w14:paraId="2B8F2788" w14:textId="79D1334E" w:rsidR="005A6CAB" w:rsidRPr="00D11C11" w:rsidRDefault="005A6CAB" w:rsidP="004F0554">
            <w:pPr>
              <w:spacing w:after="0" w:line="240" w:lineRule="auto"/>
              <w:jc w:val="center"/>
              <w:rPr>
                <w:rFonts w:eastAsia="Times New Roman"/>
                <w:lang w:val="es-DO" w:eastAsia="es-DO"/>
              </w:rPr>
            </w:pPr>
          </w:p>
        </w:tc>
        <w:tc>
          <w:tcPr>
            <w:tcW w:w="449" w:type="pct"/>
            <w:shd w:val="clear" w:color="auto" w:fill="auto"/>
            <w:noWrap/>
            <w:vAlign w:val="center"/>
          </w:tcPr>
          <w:p w14:paraId="2DEC4EDE" w14:textId="77777777" w:rsidR="005A6CAB" w:rsidRPr="00D11C11" w:rsidRDefault="005A6CAB" w:rsidP="004F0554">
            <w:pPr>
              <w:spacing w:after="0" w:line="240" w:lineRule="auto"/>
              <w:jc w:val="center"/>
              <w:rPr>
                <w:rFonts w:eastAsia="Times New Roman"/>
                <w:lang w:val="es-DO" w:eastAsia="es-DO"/>
              </w:rPr>
            </w:pPr>
          </w:p>
        </w:tc>
        <w:tc>
          <w:tcPr>
            <w:tcW w:w="435" w:type="pct"/>
            <w:shd w:val="clear" w:color="auto" w:fill="auto"/>
            <w:noWrap/>
            <w:vAlign w:val="center"/>
          </w:tcPr>
          <w:p w14:paraId="5D9A78E8" w14:textId="26D1BD22" w:rsidR="005A6CAB" w:rsidRPr="00D11C11" w:rsidRDefault="004F0554" w:rsidP="004F0554">
            <w:pPr>
              <w:spacing w:after="0" w:line="240" w:lineRule="auto"/>
              <w:jc w:val="center"/>
              <w:rPr>
                <w:rFonts w:eastAsia="Times New Roman"/>
                <w:lang w:val="es-DO" w:eastAsia="es-DO"/>
              </w:rPr>
            </w:pPr>
            <w:r>
              <w:rPr>
                <w:rFonts w:eastAsia="Times New Roman"/>
                <w:lang w:val="es-DO" w:eastAsia="es-DO"/>
              </w:rPr>
              <w:t>100%</w:t>
            </w:r>
          </w:p>
        </w:tc>
        <w:tc>
          <w:tcPr>
            <w:tcW w:w="476" w:type="pct"/>
            <w:shd w:val="clear" w:color="auto" w:fill="auto"/>
            <w:noWrap/>
            <w:vAlign w:val="center"/>
          </w:tcPr>
          <w:p w14:paraId="0A1D4975" w14:textId="67A1E479" w:rsidR="005A6CAB" w:rsidRPr="00D11C11" w:rsidRDefault="004F0554" w:rsidP="004F0554">
            <w:pPr>
              <w:spacing w:after="0" w:line="240" w:lineRule="auto"/>
              <w:jc w:val="center"/>
              <w:rPr>
                <w:rFonts w:eastAsia="Times New Roman"/>
                <w:lang w:val="es-DO" w:eastAsia="es-DO"/>
              </w:rPr>
            </w:pPr>
            <w:r>
              <w:rPr>
                <w:rFonts w:eastAsia="Times New Roman"/>
                <w:lang w:val="es-DO" w:eastAsia="es-DO"/>
              </w:rPr>
              <w:t>100%</w:t>
            </w:r>
          </w:p>
        </w:tc>
      </w:tr>
      <w:tr w:rsidR="004F0554" w:rsidRPr="00D13B4F" w14:paraId="732E190E" w14:textId="77777777" w:rsidTr="007400C6">
        <w:trPr>
          <w:trHeight w:val="331"/>
        </w:trPr>
        <w:tc>
          <w:tcPr>
            <w:tcW w:w="489" w:type="pct"/>
            <w:shd w:val="clear" w:color="auto" w:fill="auto"/>
            <w:vAlign w:val="center"/>
          </w:tcPr>
          <w:p w14:paraId="5C5D667C" w14:textId="112A4F6C" w:rsidR="004F0554" w:rsidRPr="004F0554" w:rsidRDefault="004F0554" w:rsidP="003A11A2">
            <w:pPr>
              <w:spacing w:after="0" w:line="240" w:lineRule="auto"/>
              <w:rPr>
                <w:rFonts w:eastAsia="Times New Roman"/>
                <w:lang w:val="es-DO" w:eastAsia="es-DO"/>
              </w:rPr>
            </w:pPr>
            <w:r>
              <w:rPr>
                <w:rFonts w:eastAsia="Times New Roman"/>
                <w:lang w:val="es-DO" w:eastAsia="es-DO"/>
              </w:rPr>
              <w:t>Inversión Proyecto -</w:t>
            </w:r>
            <w:r w:rsidRPr="004F0554">
              <w:rPr>
                <w:lang w:val="es-DO"/>
              </w:rPr>
              <w:t xml:space="preserve"> </w:t>
            </w:r>
            <w:r w:rsidRPr="004F0554">
              <w:rPr>
                <w:rFonts w:eastAsia="Times New Roman"/>
                <w:lang w:val="es-DO" w:eastAsia="es-DO"/>
              </w:rPr>
              <w:t>Unidad de Supervisión de Fiduciarias</w:t>
            </w:r>
          </w:p>
        </w:tc>
        <w:tc>
          <w:tcPr>
            <w:tcW w:w="193" w:type="pct"/>
            <w:shd w:val="clear" w:color="auto" w:fill="auto"/>
            <w:noWrap/>
            <w:vAlign w:val="center"/>
          </w:tcPr>
          <w:p w14:paraId="06317B8B" w14:textId="77777777" w:rsidR="004F0554" w:rsidRPr="00D13B4F" w:rsidRDefault="004F0554" w:rsidP="003A11A2">
            <w:pPr>
              <w:spacing w:after="0" w:line="240" w:lineRule="auto"/>
              <w:jc w:val="right"/>
              <w:rPr>
                <w:rFonts w:eastAsia="Times New Roman"/>
                <w:lang w:val="es-DO" w:eastAsia="es-DO"/>
              </w:rPr>
            </w:pPr>
          </w:p>
        </w:tc>
        <w:tc>
          <w:tcPr>
            <w:tcW w:w="238" w:type="pct"/>
            <w:shd w:val="clear" w:color="auto" w:fill="auto"/>
            <w:noWrap/>
            <w:vAlign w:val="center"/>
          </w:tcPr>
          <w:p w14:paraId="335D2477" w14:textId="77777777" w:rsidR="004F0554" w:rsidRPr="00D13B4F" w:rsidRDefault="004F0554" w:rsidP="003A11A2">
            <w:pPr>
              <w:spacing w:after="0" w:line="240" w:lineRule="auto"/>
              <w:jc w:val="right"/>
              <w:rPr>
                <w:rFonts w:eastAsia="Times New Roman"/>
                <w:lang w:val="es-DO" w:eastAsia="es-DO"/>
              </w:rPr>
            </w:pPr>
          </w:p>
        </w:tc>
        <w:tc>
          <w:tcPr>
            <w:tcW w:w="449" w:type="pct"/>
            <w:shd w:val="clear" w:color="auto" w:fill="auto"/>
            <w:noWrap/>
            <w:vAlign w:val="center"/>
          </w:tcPr>
          <w:p w14:paraId="174CC013" w14:textId="77777777" w:rsidR="004F0554" w:rsidRPr="00D13B4F" w:rsidRDefault="004F0554" w:rsidP="003A11A2">
            <w:pPr>
              <w:spacing w:after="0" w:line="240" w:lineRule="auto"/>
              <w:jc w:val="right"/>
              <w:rPr>
                <w:rFonts w:eastAsia="Times New Roman"/>
                <w:lang w:val="es-DO" w:eastAsia="es-DO"/>
              </w:rPr>
            </w:pPr>
          </w:p>
        </w:tc>
        <w:tc>
          <w:tcPr>
            <w:tcW w:w="178" w:type="pct"/>
            <w:shd w:val="clear" w:color="auto" w:fill="auto"/>
            <w:noWrap/>
            <w:vAlign w:val="center"/>
          </w:tcPr>
          <w:p w14:paraId="76716062" w14:textId="77777777" w:rsidR="004F0554" w:rsidRPr="00D13B4F" w:rsidRDefault="004F0554" w:rsidP="003A11A2">
            <w:pPr>
              <w:spacing w:after="0" w:line="240" w:lineRule="auto"/>
              <w:jc w:val="right"/>
              <w:rPr>
                <w:rFonts w:eastAsia="Times New Roman"/>
                <w:lang w:val="es-DO" w:eastAsia="es-DO"/>
              </w:rPr>
            </w:pPr>
          </w:p>
        </w:tc>
        <w:tc>
          <w:tcPr>
            <w:tcW w:w="393" w:type="pct"/>
            <w:shd w:val="clear" w:color="auto" w:fill="auto"/>
            <w:noWrap/>
            <w:vAlign w:val="center"/>
          </w:tcPr>
          <w:p w14:paraId="768B7461" w14:textId="77777777" w:rsidR="004F0554" w:rsidRPr="00D13B4F" w:rsidRDefault="004F0554" w:rsidP="004F0554">
            <w:pPr>
              <w:spacing w:after="0" w:line="240" w:lineRule="auto"/>
              <w:jc w:val="center"/>
              <w:rPr>
                <w:rFonts w:eastAsia="Times New Roman"/>
                <w:lang w:val="es-DO" w:eastAsia="es-DO"/>
              </w:rPr>
            </w:pPr>
          </w:p>
        </w:tc>
        <w:tc>
          <w:tcPr>
            <w:tcW w:w="476" w:type="pct"/>
            <w:shd w:val="clear" w:color="auto" w:fill="auto"/>
            <w:noWrap/>
            <w:vAlign w:val="center"/>
          </w:tcPr>
          <w:p w14:paraId="5EFC92EA" w14:textId="77777777" w:rsidR="004F0554" w:rsidRPr="004F0554" w:rsidRDefault="004F0554" w:rsidP="004F0554">
            <w:pPr>
              <w:spacing w:after="0" w:line="240" w:lineRule="auto"/>
              <w:jc w:val="center"/>
              <w:rPr>
                <w:rFonts w:eastAsia="Times New Roman"/>
                <w:lang w:val="es-DO" w:eastAsia="es-DO"/>
              </w:rPr>
            </w:pPr>
          </w:p>
        </w:tc>
        <w:tc>
          <w:tcPr>
            <w:tcW w:w="170" w:type="pct"/>
            <w:shd w:val="clear" w:color="auto" w:fill="auto"/>
            <w:noWrap/>
            <w:vAlign w:val="center"/>
          </w:tcPr>
          <w:p w14:paraId="1A9D0795" w14:textId="77777777" w:rsidR="004F0554" w:rsidRPr="00D11C11" w:rsidRDefault="004F0554" w:rsidP="004F0554">
            <w:pPr>
              <w:spacing w:after="0" w:line="240" w:lineRule="auto"/>
              <w:jc w:val="center"/>
              <w:rPr>
                <w:rFonts w:eastAsia="Times New Roman"/>
                <w:lang w:val="es-DO" w:eastAsia="es-DO"/>
              </w:rPr>
            </w:pPr>
          </w:p>
        </w:tc>
        <w:tc>
          <w:tcPr>
            <w:tcW w:w="212" w:type="pct"/>
            <w:shd w:val="clear" w:color="auto" w:fill="auto"/>
            <w:noWrap/>
            <w:vAlign w:val="center"/>
          </w:tcPr>
          <w:p w14:paraId="15389A2D" w14:textId="77777777" w:rsidR="004F0554" w:rsidRPr="00D11C11" w:rsidRDefault="004F0554" w:rsidP="004F0554">
            <w:pPr>
              <w:spacing w:after="0" w:line="240" w:lineRule="auto"/>
              <w:jc w:val="center"/>
              <w:rPr>
                <w:rFonts w:eastAsia="Times New Roman"/>
                <w:lang w:val="es-DO" w:eastAsia="es-DO"/>
              </w:rPr>
            </w:pPr>
          </w:p>
        </w:tc>
        <w:tc>
          <w:tcPr>
            <w:tcW w:w="393" w:type="pct"/>
            <w:shd w:val="clear" w:color="auto" w:fill="auto"/>
            <w:noWrap/>
            <w:vAlign w:val="center"/>
          </w:tcPr>
          <w:p w14:paraId="377F68EB" w14:textId="77777777" w:rsidR="004F0554" w:rsidRPr="00D11C11" w:rsidRDefault="004F0554" w:rsidP="004F0554">
            <w:pPr>
              <w:spacing w:after="0" w:line="240" w:lineRule="auto"/>
              <w:jc w:val="center"/>
              <w:rPr>
                <w:rFonts w:eastAsia="Times New Roman"/>
                <w:lang w:val="es-DO" w:eastAsia="es-DO"/>
              </w:rPr>
            </w:pPr>
          </w:p>
        </w:tc>
        <w:tc>
          <w:tcPr>
            <w:tcW w:w="449" w:type="pct"/>
            <w:shd w:val="clear" w:color="auto" w:fill="auto"/>
            <w:noWrap/>
            <w:vAlign w:val="center"/>
          </w:tcPr>
          <w:p w14:paraId="2DE8DE88" w14:textId="77777777" w:rsidR="004F0554" w:rsidRPr="00D11C11" w:rsidRDefault="004F0554" w:rsidP="004F0554">
            <w:pPr>
              <w:spacing w:after="0" w:line="240" w:lineRule="auto"/>
              <w:jc w:val="center"/>
              <w:rPr>
                <w:rFonts w:eastAsia="Times New Roman"/>
                <w:lang w:val="es-DO" w:eastAsia="es-DO"/>
              </w:rPr>
            </w:pPr>
          </w:p>
        </w:tc>
        <w:tc>
          <w:tcPr>
            <w:tcW w:w="449" w:type="pct"/>
            <w:shd w:val="clear" w:color="auto" w:fill="auto"/>
            <w:noWrap/>
            <w:vAlign w:val="center"/>
          </w:tcPr>
          <w:p w14:paraId="59ADD51B" w14:textId="77777777" w:rsidR="004F0554" w:rsidRPr="00D11C11" w:rsidRDefault="004F0554" w:rsidP="004F0554">
            <w:pPr>
              <w:spacing w:after="0" w:line="240" w:lineRule="auto"/>
              <w:jc w:val="center"/>
              <w:rPr>
                <w:rFonts w:eastAsia="Times New Roman"/>
                <w:lang w:val="es-DO" w:eastAsia="es-DO"/>
              </w:rPr>
            </w:pPr>
          </w:p>
        </w:tc>
        <w:tc>
          <w:tcPr>
            <w:tcW w:w="435" w:type="pct"/>
            <w:shd w:val="clear" w:color="auto" w:fill="auto"/>
            <w:noWrap/>
            <w:vAlign w:val="center"/>
          </w:tcPr>
          <w:p w14:paraId="7CD55482" w14:textId="6071413A" w:rsidR="004F0554" w:rsidRDefault="004F0554" w:rsidP="004F0554">
            <w:pPr>
              <w:spacing w:after="0" w:line="240" w:lineRule="auto"/>
              <w:jc w:val="center"/>
              <w:rPr>
                <w:rFonts w:eastAsia="Times New Roman"/>
                <w:lang w:val="es-DO" w:eastAsia="es-DO"/>
              </w:rPr>
            </w:pPr>
            <w:r>
              <w:rPr>
                <w:rFonts w:eastAsia="Times New Roman"/>
                <w:lang w:val="es-DO" w:eastAsia="es-DO"/>
              </w:rPr>
              <w:t>RD$</w:t>
            </w:r>
            <w:r>
              <w:t xml:space="preserve"> </w:t>
            </w:r>
            <w:r w:rsidRPr="004F0554">
              <w:rPr>
                <w:rFonts w:eastAsia="Times New Roman"/>
                <w:lang w:val="es-DO" w:eastAsia="es-DO"/>
              </w:rPr>
              <w:t>240,000.00</w:t>
            </w:r>
          </w:p>
        </w:tc>
        <w:tc>
          <w:tcPr>
            <w:tcW w:w="476" w:type="pct"/>
            <w:shd w:val="clear" w:color="auto" w:fill="auto"/>
            <w:noWrap/>
            <w:vAlign w:val="center"/>
          </w:tcPr>
          <w:p w14:paraId="1F17E80E" w14:textId="1993D4B4" w:rsidR="004F0554" w:rsidRDefault="004F0554" w:rsidP="004F0554">
            <w:pPr>
              <w:spacing w:after="0" w:line="240" w:lineRule="auto"/>
              <w:jc w:val="center"/>
              <w:rPr>
                <w:rFonts w:eastAsia="Times New Roman"/>
                <w:lang w:val="es-DO" w:eastAsia="es-DO"/>
              </w:rPr>
            </w:pPr>
            <w:r>
              <w:rPr>
                <w:rFonts w:eastAsia="Times New Roman"/>
                <w:lang w:val="es-DO" w:eastAsia="es-DO"/>
              </w:rPr>
              <w:t>RD$</w:t>
            </w:r>
            <w:r>
              <w:t xml:space="preserve"> </w:t>
            </w:r>
            <w:r w:rsidRPr="004F0554">
              <w:rPr>
                <w:rFonts w:eastAsia="Times New Roman"/>
                <w:lang w:val="es-DO" w:eastAsia="es-DO"/>
              </w:rPr>
              <w:t>240,000.00</w:t>
            </w:r>
          </w:p>
        </w:tc>
      </w:tr>
    </w:tbl>
    <w:p w14:paraId="023894F6" w14:textId="77777777" w:rsidR="006D1150" w:rsidRDefault="006D1150" w:rsidP="005A6CAB">
      <w:pPr>
        <w:rPr>
          <w:lang w:val="es-DO"/>
        </w:rPr>
      </w:pPr>
    </w:p>
    <w:p w14:paraId="1E322343" w14:textId="035983B9" w:rsidR="00D11C11" w:rsidRPr="006D1150" w:rsidRDefault="004C43F1" w:rsidP="005A6CAB">
      <w:pPr>
        <w:spacing w:line="360" w:lineRule="auto"/>
        <w:jc w:val="center"/>
        <w:rPr>
          <w:lang w:val="es-DO"/>
        </w:rPr>
      </w:pPr>
      <w:r w:rsidRPr="007B7853">
        <w:rPr>
          <w:b/>
          <w:bCs/>
          <w:lang w:val="es-DO"/>
        </w:rPr>
        <w:t>Fuente</w:t>
      </w:r>
      <w:r w:rsidRPr="00C865B6">
        <w:rPr>
          <w:lang w:val="es-DO"/>
        </w:rPr>
        <w:t xml:space="preserve">: </w:t>
      </w:r>
      <w:r w:rsidRPr="007B7853">
        <w:rPr>
          <w:lang w:val="es-DO"/>
        </w:rPr>
        <w:t xml:space="preserve">Departamento </w:t>
      </w:r>
      <w:r>
        <w:rPr>
          <w:lang w:val="es-DO"/>
        </w:rPr>
        <w:t>Planificación Institucional</w:t>
      </w:r>
      <w:r w:rsidRPr="007B7853">
        <w:rPr>
          <w:lang w:val="es-DO"/>
        </w:rPr>
        <w:t>. Superintendencia de Bancos de la República Dominicana, 202</w:t>
      </w:r>
      <w:r>
        <w:rPr>
          <w:lang w:val="es-DO"/>
        </w:rPr>
        <w:t>3.</w:t>
      </w:r>
    </w:p>
    <w:sectPr w:rsidR="00D11C11" w:rsidRPr="006D1150" w:rsidSect="00860016">
      <w:pgSz w:w="15840" w:h="12240" w:orient="landscape"/>
      <w:pgMar w:top="2160" w:right="1701" w:bottom="2160" w:left="1701" w:header="720" w:footer="402"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8BBE29C" w14:textId="77777777" w:rsidR="005826F0" w:rsidRDefault="005826F0" w:rsidP="00E84651">
      <w:pPr>
        <w:spacing w:after="0" w:line="240" w:lineRule="auto"/>
      </w:pPr>
      <w:r>
        <w:separator/>
      </w:r>
    </w:p>
  </w:endnote>
  <w:endnote w:type="continuationSeparator" w:id="0">
    <w:p w14:paraId="6B998557" w14:textId="77777777" w:rsidR="005826F0" w:rsidRDefault="005826F0" w:rsidP="00E84651">
      <w:pPr>
        <w:spacing w:after="0" w:line="240" w:lineRule="auto"/>
      </w:pPr>
      <w:r>
        <w:continuationSeparator/>
      </w:r>
    </w:p>
  </w:endnote>
  <w:endnote w:type="continuationNotice" w:id="1">
    <w:p w14:paraId="5BF42880" w14:textId="77777777" w:rsidR="005826F0" w:rsidRDefault="005826F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Gotham">
    <w:altName w:val="Calibri"/>
    <w:charset w:val="00"/>
    <w:family w:val="auto"/>
    <w:pitch w:val="variable"/>
    <w:sig w:usb0="800000A7" w:usb1="00000000" w:usb2="00000000" w:usb3="00000000" w:csb0="00000009" w:csb1="00000000"/>
  </w:font>
  <w:font w:name="Gotham Thin">
    <w:altName w:val="Calibri"/>
    <w:panose1 w:val="00000000000000000000"/>
    <w:charset w:val="00"/>
    <w:family w:val="modern"/>
    <w:notTrueType/>
    <w:pitch w:val="variable"/>
    <w:sig w:usb0="A00000AF" w:usb1="50000048" w:usb2="00000000" w:usb3="00000000" w:csb0="00000111" w:csb1="00000000"/>
  </w:font>
  <w:font w:name="MS Mincho">
    <w:altName w:val="ＭＳ 明朝"/>
    <w:panose1 w:val="02020609040205080304"/>
    <w:charset w:val="80"/>
    <w:family w:val="modern"/>
    <w:pitch w:val="fixed"/>
    <w:sig w:usb0="E00002FF" w:usb1="6AC7FDFB" w:usb2="08000012" w:usb3="00000000" w:csb0="0002009F" w:csb1="00000000"/>
  </w:font>
  <w:font w:name="Artifex CF Light">
    <w:altName w:val="Courier New"/>
    <w:panose1 w:val="00000000000000000000"/>
    <w:charset w:val="00"/>
    <w:family w:val="modern"/>
    <w:notTrueType/>
    <w:pitch w:val="variable"/>
    <w:sig w:usb0="00000007" w:usb1="00000000" w:usb2="00000000" w:usb3="00000000" w:csb0="00000093" w:csb1="00000000"/>
  </w:font>
  <w:font w:name="Arial Unicode MS">
    <w:panose1 w:val="020B0604020202020204"/>
    <w:charset w:val="00"/>
    <w:family w:val="roman"/>
    <w:pitch w:val="variable"/>
    <w:sig w:usb0="00000003" w:usb1="00000000" w:usb2="00000000" w:usb3="00000000" w:csb0="00000001" w:csb1="00000000"/>
  </w:font>
  <w:font w:name="Artifex CF Extra Light">
    <w:altName w:val="Calibri"/>
    <w:panose1 w:val="00000000000000000000"/>
    <w:charset w:val="00"/>
    <w:family w:val="modern"/>
    <w:notTrueType/>
    <w:pitch w:val="variable"/>
    <w:sig w:usb0="00000007" w:usb1="00000000" w:usb2="00000000" w:usb3="00000000" w:csb0="00000093" w:csb1="00000000"/>
  </w:font>
  <w:font w:name="Segoe UI">
    <w:panose1 w:val="020B0502040204020203"/>
    <w:charset w:val="00"/>
    <w:family w:val="swiss"/>
    <w:pitch w:val="variable"/>
    <w:sig w:usb0="E4002EFF" w:usb1="C000E47F"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rial MT">
    <w:altName w:val="Arial"/>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98864644"/>
      <w:docPartObj>
        <w:docPartGallery w:val="Page Numbers (Bottom of Page)"/>
        <w:docPartUnique/>
      </w:docPartObj>
    </w:sdtPr>
    <w:sdtEndPr>
      <w:rPr>
        <w:noProof/>
      </w:rPr>
    </w:sdtEndPr>
    <w:sdtContent>
      <w:p w14:paraId="1A9E6193" w14:textId="53F74689" w:rsidR="00425CF6" w:rsidRDefault="00425CF6">
        <w:pPr>
          <w:pStyle w:val="Piedepgina"/>
          <w:jc w:val="center"/>
        </w:pPr>
        <w:r>
          <w:fldChar w:fldCharType="begin"/>
        </w:r>
        <w:r>
          <w:instrText xml:space="preserve"> PAGE   \* MERGEFORMAT </w:instrText>
        </w:r>
        <w:r>
          <w:fldChar w:fldCharType="separate"/>
        </w:r>
        <w:r>
          <w:rPr>
            <w:noProof/>
          </w:rPr>
          <w:t>2</w:t>
        </w:r>
        <w:r>
          <w:rPr>
            <w:noProof/>
          </w:rPr>
          <w:fldChar w:fldCharType="end"/>
        </w:r>
      </w:p>
    </w:sdtContent>
  </w:sdt>
  <w:p w14:paraId="5882525B" w14:textId="77777777" w:rsidR="00425CF6" w:rsidRDefault="00425CF6">
    <w:pPr>
      <w:pStyle w:val="Piedep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839D200" w14:textId="79154200" w:rsidR="006E1AFE" w:rsidRDefault="006E1AFE">
    <w:pPr>
      <w:pStyle w:val="Piedepgina"/>
      <w:jc w:val="center"/>
    </w:pPr>
    <w:r>
      <w:rPr>
        <w:noProof/>
      </w:rPr>
      <w:drawing>
        <wp:anchor distT="0" distB="0" distL="114300" distR="114300" simplePos="0" relativeHeight="251658240" behindDoc="1" locked="0" layoutInCell="1" allowOverlap="1" wp14:anchorId="0AE419CF" wp14:editId="2C04DD8A">
          <wp:simplePos x="0" y="0"/>
          <wp:positionH relativeFrom="margin">
            <wp:align>center</wp:align>
          </wp:positionH>
          <wp:positionV relativeFrom="paragraph">
            <wp:posOffset>-228600</wp:posOffset>
          </wp:positionV>
          <wp:extent cx="3000375" cy="400050"/>
          <wp:effectExtent l="0" t="0" r="9525" b="0"/>
          <wp:wrapNone/>
          <wp:docPr id="1420002871" name="Imagen 1420002871" descr="A screenshot of a computer&#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Imagen 81" descr="A screenshot of a computer&#10;&#10;Description automatically generated with medium confidence"/>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000375" cy="400050"/>
                  </a:xfrm>
                  <a:prstGeom prst="rect">
                    <a:avLst/>
                  </a:prstGeom>
                  <a:noFill/>
                  <a:ln>
                    <a:noFill/>
                  </a:ln>
                </pic:spPr>
              </pic:pic>
            </a:graphicData>
          </a:graphic>
        </wp:anchor>
      </w:drawing>
    </w:r>
  </w:p>
  <w:sdt>
    <w:sdtPr>
      <w:id w:val="-1193148862"/>
      <w:docPartObj>
        <w:docPartGallery w:val="Page Numbers (Bottom of Page)"/>
        <w:docPartUnique/>
      </w:docPartObj>
    </w:sdtPr>
    <w:sdtContent>
      <w:p w14:paraId="65ACFAB3" w14:textId="3B92D9AE" w:rsidR="006E1AFE" w:rsidRDefault="006E1AFE" w:rsidP="001E74F4">
        <w:pPr>
          <w:pStyle w:val="Piedepgina"/>
          <w:jc w:val="center"/>
        </w:pPr>
        <w:r>
          <w:fldChar w:fldCharType="begin"/>
        </w:r>
        <w:r>
          <w:instrText>PAGE   \* MERGEFORMAT</w:instrText>
        </w:r>
        <w:r>
          <w:fldChar w:fldCharType="separate"/>
        </w:r>
        <w:r>
          <w:rPr>
            <w:lang w:val="es-ES"/>
          </w:rPr>
          <w:t>2</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859BFCF" w14:textId="77777777" w:rsidR="005826F0" w:rsidRDefault="005826F0" w:rsidP="00E84651">
      <w:pPr>
        <w:spacing w:after="0" w:line="240" w:lineRule="auto"/>
      </w:pPr>
      <w:r>
        <w:separator/>
      </w:r>
    </w:p>
  </w:footnote>
  <w:footnote w:type="continuationSeparator" w:id="0">
    <w:p w14:paraId="48FC3BA5" w14:textId="77777777" w:rsidR="005826F0" w:rsidRDefault="005826F0" w:rsidP="00E84651">
      <w:pPr>
        <w:spacing w:after="0" w:line="240" w:lineRule="auto"/>
      </w:pPr>
      <w:r>
        <w:continuationSeparator/>
      </w:r>
    </w:p>
  </w:footnote>
  <w:footnote w:type="continuationNotice" w:id="1">
    <w:p w14:paraId="15DAC8BA" w14:textId="77777777" w:rsidR="005826F0" w:rsidRDefault="005826F0">
      <w:pPr>
        <w:spacing w:after="0" w:line="240" w:lineRule="auto"/>
      </w:pPr>
    </w:p>
  </w:footnote>
  <w:footnote w:id="2">
    <w:p w14:paraId="13610B13" w14:textId="77777777" w:rsidR="007B1CCF" w:rsidRPr="009F1A44" w:rsidRDefault="007B1CCF" w:rsidP="007B1CCF">
      <w:pPr>
        <w:pStyle w:val="Textonotapie"/>
        <w:rPr>
          <w:sz w:val="16"/>
          <w:szCs w:val="16"/>
        </w:rPr>
      </w:pPr>
      <w:r w:rsidRPr="00C539DA">
        <w:rPr>
          <w:rStyle w:val="Refdenotaalpie"/>
          <w:color w:val="767171"/>
          <w:sz w:val="16"/>
          <w:szCs w:val="16"/>
        </w:rPr>
        <w:footnoteRef/>
      </w:r>
      <w:r w:rsidRPr="00C539DA">
        <w:rPr>
          <w:color w:val="767171"/>
          <w:sz w:val="16"/>
          <w:szCs w:val="16"/>
        </w:rPr>
        <w:t xml:space="preserve"> Datos preliminares.</w:t>
      </w:r>
    </w:p>
  </w:footnote>
  <w:footnote w:id="3">
    <w:p w14:paraId="0D944C8E" w14:textId="48E1719A" w:rsidR="005A5297" w:rsidRPr="005A5297" w:rsidRDefault="005A5297">
      <w:pPr>
        <w:pStyle w:val="Textonotapie"/>
        <w:rPr>
          <w:rFonts w:ascii="Times New Roman" w:eastAsia="Arial Unicode MS" w:hAnsi="Times New Roman"/>
          <w:color w:val="767171"/>
          <w:spacing w:val="20"/>
          <w:sz w:val="24"/>
          <w:szCs w:val="18"/>
          <w:u w:color="000000"/>
          <w:lang w:val="es-ES" w:eastAsia="es-DO"/>
        </w:rPr>
      </w:pPr>
      <w:r w:rsidRPr="005A5297">
        <w:rPr>
          <w:rFonts w:ascii="Times New Roman" w:eastAsia="Arial Unicode MS" w:hAnsi="Times New Roman"/>
          <w:color w:val="767171"/>
          <w:spacing w:val="20"/>
          <w:sz w:val="24"/>
          <w:szCs w:val="18"/>
          <w:u w:color="000000"/>
          <w:lang w:val="es-ES" w:eastAsia="es-DO"/>
        </w:rPr>
        <w:footnoteRef/>
      </w:r>
      <w:r w:rsidRPr="005A5297">
        <w:rPr>
          <w:rFonts w:ascii="Times New Roman" w:eastAsia="Arial Unicode MS" w:hAnsi="Times New Roman"/>
          <w:color w:val="767171"/>
          <w:spacing w:val="20"/>
          <w:sz w:val="24"/>
          <w:szCs w:val="18"/>
          <w:u w:color="000000"/>
          <w:lang w:val="es-ES" w:eastAsia="es-DO"/>
        </w:rPr>
        <w:t xml:space="preserve"> En base al presupuesto aprobado de RD$4,082,542,497</w:t>
      </w:r>
      <w:r>
        <w:rPr>
          <w:rFonts w:ascii="Times New Roman" w:eastAsia="Arial Unicode MS" w:hAnsi="Times New Roman"/>
          <w:color w:val="767171"/>
          <w:spacing w:val="20"/>
          <w:sz w:val="24"/>
          <w:szCs w:val="18"/>
          <w:u w:color="000000"/>
          <w:lang w:val="es-ES" w:eastAsia="es-DO"/>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EB0D2C" w14:textId="3B197AFD" w:rsidR="00FA73AB" w:rsidRDefault="00FA73AB">
    <w:pPr>
      <w:pStyle w:val="Encabezado"/>
    </w:pPr>
  </w:p>
  <w:p w14:paraId="5B900E8E" w14:textId="77777777" w:rsidR="00FA73AB" w:rsidRDefault="00FA73AB">
    <w:pPr>
      <w:pStyle w:val="Encabezado"/>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464575" w14:textId="77777777" w:rsidR="00B56CA4" w:rsidRDefault="00B56CA4">
    <w:pPr>
      <w:pStyle w:val="Encabezado"/>
    </w:pPr>
  </w:p>
</w:hdr>
</file>

<file path=word/intelligence2.xml><?xml version="1.0" encoding="utf-8"?>
<int2:intelligence xmlns:int2="http://schemas.microsoft.com/office/intelligence/2020/intelligence" xmlns:oel="http://schemas.microsoft.com/office/2019/extlst">
  <int2:observations>
    <int2:bookmark int2:bookmarkName="_Int_x3e5cfiJ" int2:invalidationBookmarkName="" int2:hashCode="4ILegjFfjKphgo" int2:id="2S8ONiF6">
      <int2:state int2:value="Rejected" int2:type="AugLoop_Text_Critique"/>
    </int2:bookmark>
    <int2:bookmark int2:bookmarkName="_Int_3D8LQYrq" int2:invalidationBookmarkName="" int2:hashCode="rmz1yDKcAVNRNS" int2:id="AGgxNGTw">
      <int2:state int2:value="Rejected" int2:type="AugLoop_Text_Critique"/>
    </int2:bookmark>
    <int2:bookmark int2:bookmarkName="_Int_jU0xaVuk" int2:invalidationBookmarkName="" int2:hashCode="yyJpCm5AVqtknb" int2:id="HipVqQNw">
      <int2:state int2:value="Rejected" int2:type="AugLoop_Text_Critique"/>
    </int2:bookmark>
    <int2:bookmark int2:bookmarkName="_Int_Gq6LZPdr" int2:invalidationBookmarkName="" int2:hashCode="ymfJi4nBS2X7Ph" int2:id="I8mgLkxD">
      <int2:state int2:value="Rejected" int2:type="AugLoop_Text_Critique"/>
    </int2:bookmark>
    <int2:bookmark int2:bookmarkName="_Int_5MDZ0coW" int2:invalidationBookmarkName="" int2:hashCode="qzynSr3aAg/8+f" int2:id="OOhzoayq">
      <int2:state int2:value="Rejected" int2:type="AugLoop_Text_Critique"/>
    </int2:bookmark>
    <int2:bookmark int2:bookmarkName="_Int_ToDQR1Fz" int2:invalidationBookmarkName="" int2:hashCode="SZxoefU9hYO6mk" int2:id="S387hgAU">
      <int2:state int2:value="Rejected" int2:type="AugLoop_Text_Critique"/>
    </int2:bookmark>
    <int2:bookmark int2:bookmarkName="_Int_o8Ni7vGs" int2:invalidationBookmarkName="" int2:hashCode="DRTOpa/I0VUXlR" int2:id="U7i3lUuW">
      <int2:state int2:value="Rejected" int2:type="AugLoop_Text_Critique"/>
    </int2:bookmark>
    <int2:bookmark int2:bookmarkName="_Int_n13DYW1r" int2:invalidationBookmarkName="" int2:hashCode="p08WwReS2mo2l5" int2:id="VqeRFA3q">
      <int2:state int2:value="Rejected" int2:type="AugLoop_Text_Critique"/>
    </int2:bookmark>
    <int2:bookmark int2:bookmarkName="_Int_OmbYVclI" int2:invalidationBookmarkName="" int2:hashCode="7p7UYb2ZfCQEg5" int2:id="ZDSUVhtK">
      <int2:state int2:value="Rejected" int2:type="AugLoop_Text_Critique"/>
    </int2:bookmark>
    <int2:bookmark int2:bookmarkName="_Int_h5ayyKIT" int2:invalidationBookmarkName="" int2:hashCode="N5/A1SmacawPFx" int2:id="cvko4nMs">
      <int2:state int2:value="Rejected" int2:type="AugLoop_Text_Critique"/>
    </int2:bookmark>
    <int2:bookmark int2:bookmarkName="_Int_VNEGhkxu" int2:invalidationBookmarkName="" int2:hashCode="ka2g+gknZYMbO4" int2:id="kR5z9BXK">
      <int2:state int2:value="Rejected" int2:type="AugLoop_Text_Critique"/>
    </int2:bookmark>
    <int2:bookmark int2:bookmarkName="_Int_RDEaCvGK" int2:invalidationBookmarkName="" int2:hashCode="D9FErG/WGnq/HP" int2:id="uaGRBKkJ">
      <int2:state int2:value="Rejected" int2:type="AugLoop_Text_Critique"/>
    </int2:bookmark>
    <int2:bookmark int2:bookmarkName="_Int_HbgpXInc" int2:invalidationBookmarkName="" int2:hashCode="gHe8FaMFG6w4GO" int2:id="vaEsAzPt">
      <int2:state int2:value="Rejected" int2:type="AugLoop_Text_Critique"/>
    </int2:bookmark>
  </int2:observations>
  <int2:intelligenceSettings>
    <int2:extLst>
      <oel:ext uri="74B372B9-2EFF-4315-9A3F-32BA87CA82B1">
        <int2:goals int2:version="1" int2:formality="1"/>
      </oel:ext>
    </int2:extLst>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F8B074F"/>
    <w:multiLevelType w:val="hybridMultilevel"/>
    <w:tmpl w:val="0F908C02"/>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 w15:restartNumberingAfterBreak="0">
    <w:nsid w:val="10CC0E49"/>
    <w:multiLevelType w:val="multilevel"/>
    <w:tmpl w:val="90B8474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2" w15:restartNumberingAfterBreak="0">
    <w:nsid w:val="16707767"/>
    <w:multiLevelType w:val="multilevel"/>
    <w:tmpl w:val="10D4D33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abstractNum w:abstractNumId="3" w15:restartNumberingAfterBreak="0">
    <w:nsid w:val="17957547"/>
    <w:multiLevelType w:val="hybridMultilevel"/>
    <w:tmpl w:val="09C89F1E"/>
    <w:lvl w:ilvl="0" w:tplc="E8FCC1EC">
      <w:start w:val="1"/>
      <w:numFmt w:val="bullet"/>
      <w:lvlText w:val=""/>
      <w:lvlJc w:val="left"/>
      <w:pPr>
        <w:ind w:left="360" w:hanging="360"/>
      </w:pPr>
      <w:rPr>
        <w:rFonts w:ascii="Symbol" w:hAnsi="Symbol" w:hint="default"/>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4" w15:restartNumberingAfterBreak="0">
    <w:nsid w:val="17FA031D"/>
    <w:multiLevelType w:val="hybridMultilevel"/>
    <w:tmpl w:val="58842F10"/>
    <w:lvl w:ilvl="0" w:tplc="E23807BC">
      <w:start w:val="1"/>
      <w:numFmt w:val="bullet"/>
      <w:lvlText w:val=""/>
      <w:lvlJc w:val="left"/>
      <w:pPr>
        <w:ind w:left="360" w:hanging="360"/>
      </w:pPr>
      <w:rPr>
        <w:rFonts w:ascii="Symbol" w:hAnsi="Symbol" w:hint="default"/>
        <w:color w:val="76717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5" w15:restartNumberingAfterBreak="0">
    <w:nsid w:val="19E35F71"/>
    <w:multiLevelType w:val="hybridMultilevel"/>
    <w:tmpl w:val="927C2732"/>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6" w15:restartNumberingAfterBreak="0">
    <w:nsid w:val="22CF09F5"/>
    <w:multiLevelType w:val="hybridMultilevel"/>
    <w:tmpl w:val="80B081AA"/>
    <w:lvl w:ilvl="0" w:tplc="E23807BC">
      <w:start w:val="1"/>
      <w:numFmt w:val="bullet"/>
      <w:lvlText w:val=""/>
      <w:lvlJc w:val="left"/>
      <w:pPr>
        <w:ind w:left="360" w:hanging="360"/>
      </w:pPr>
      <w:rPr>
        <w:rFonts w:ascii="Symbol" w:hAnsi="Symbol" w:hint="default"/>
        <w:color w:val="767171"/>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7" w15:restartNumberingAfterBreak="0">
    <w:nsid w:val="24F1600C"/>
    <w:multiLevelType w:val="hybridMultilevel"/>
    <w:tmpl w:val="6D608556"/>
    <w:lvl w:ilvl="0" w:tplc="279C1268">
      <w:start w:val="1"/>
      <w:numFmt w:val="upperRoman"/>
      <w:lvlText w:val="%1."/>
      <w:lvlJc w:val="left"/>
      <w:pPr>
        <w:ind w:left="2520" w:hanging="72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8" w15:restartNumberingAfterBreak="0">
    <w:nsid w:val="2A220632"/>
    <w:multiLevelType w:val="multilevel"/>
    <w:tmpl w:val="BE0C5D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15:restartNumberingAfterBreak="0">
    <w:nsid w:val="2ABB7944"/>
    <w:multiLevelType w:val="hybridMultilevel"/>
    <w:tmpl w:val="A6C2E6B6"/>
    <w:lvl w:ilvl="0" w:tplc="E23807BC">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0" w15:restartNumberingAfterBreak="0">
    <w:nsid w:val="368D09A1"/>
    <w:multiLevelType w:val="hybridMultilevel"/>
    <w:tmpl w:val="EA1CCA7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1" w15:restartNumberingAfterBreak="0">
    <w:nsid w:val="39041AB4"/>
    <w:multiLevelType w:val="multilevel"/>
    <w:tmpl w:val="96CE048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b/>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2" w15:restartNumberingAfterBreak="0">
    <w:nsid w:val="39361974"/>
    <w:multiLevelType w:val="hybridMultilevel"/>
    <w:tmpl w:val="B254C99E"/>
    <w:lvl w:ilvl="0" w:tplc="614870C6">
      <w:start w:val="1"/>
      <w:numFmt w:val="bullet"/>
      <w:lvlText w:val=""/>
      <w:lvlJc w:val="left"/>
      <w:pPr>
        <w:ind w:left="720" w:hanging="360"/>
      </w:pPr>
      <w:rPr>
        <w:rFonts w:ascii="Symbol" w:hAnsi="Symbol" w:hint="default"/>
        <w:color w:val="767171"/>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3" w15:restartNumberingAfterBreak="0">
    <w:nsid w:val="3B294655"/>
    <w:multiLevelType w:val="hybridMultilevel"/>
    <w:tmpl w:val="B802C14A"/>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4" w15:restartNumberingAfterBreak="0">
    <w:nsid w:val="3E1578CF"/>
    <w:multiLevelType w:val="hybridMultilevel"/>
    <w:tmpl w:val="4A5C3268"/>
    <w:lvl w:ilvl="0" w:tplc="1C0A0001">
      <w:start w:val="1"/>
      <w:numFmt w:val="bullet"/>
      <w:lvlText w:val=""/>
      <w:lvlJc w:val="left"/>
      <w:pPr>
        <w:ind w:left="360" w:hanging="360"/>
      </w:pPr>
      <w:rPr>
        <w:rFonts w:ascii="Symbol" w:hAnsi="Symbol" w:hint="default"/>
        <w:b/>
        <w:bCs/>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15" w15:restartNumberingAfterBreak="0">
    <w:nsid w:val="448D25F8"/>
    <w:multiLevelType w:val="hybridMultilevel"/>
    <w:tmpl w:val="C262DDDA"/>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6" w15:restartNumberingAfterBreak="0">
    <w:nsid w:val="498963BF"/>
    <w:multiLevelType w:val="hybridMultilevel"/>
    <w:tmpl w:val="D59E8A80"/>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17" w15:restartNumberingAfterBreak="0">
    <w:nsid w:val="4DC01079"/>
    <w:multiLevelType w:val="multilevel"/>
    <w:tmpl w:val="55589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8" w15:restartNumberingAfterBreak="0">
    <w:nsid w:val="512C59F4"/>
    <w:multiLevelType w:val="hybridMultilevel"/>
    <w:tmpl w:val="752C8C7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19" w15:restartNumberingAfterBreak="0">
    <w:nsid w:val="53CC0104"/>
    <w:multiLevelType w:val="hybridMultilevel"/>
    <w:tmpl w:val="E44E1164"/>
    <w:lvl w:ilvl="0" w:tplc="1C0A0001">
      <w:start w:val="1"/>
      <w:numFmt w:val="bullet"/>
      <w:lvlText w:val=""/>
      <w:lvlJc w:val="left"/>
      <w:pPr>
        <w:ind w:left="360" w:hanging="360"/>
      </w:pPr>
      <w:rPr>
        <w:rFonts w:ascii="Symbol" w:hAnsi="Symbol"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0" w15:restartNumberingAfterBreak="0">
    <w:nsid w:val="561E09A1"/>
    <w:multiLevelType w:val="hybridMultilevel"/>
    <w:tmpl w:val="DB284B86"/>
    <w:lvl w:ilvl="0" w:tplc="1C0A0001">
      <w:start w:val="1"/>
      <w:numFmt w:val="bullet"/>
      <w:lvlText w:val=""/>
      <w:lvlJc w:val="left"/>
      <w:pPr>
        <w:ind w:left="360" w:hanging="360"/>
      </w:pPr>
      <w:rPr>
        <w:rFonts w:ascii="Symbol" w:hAnsi="Symbol" w:hint="default"/>
        <w:b/>
      </w:rPr>
    </w:lvl>
    <w:lvl w:ilvl="1" w:tplc="1C0A0019" w:tentative="1">
      <w:start w:val="1"/>
      <w:numFmt w:val="lowerLetter"/>
      <w:lvlText w:val="%2."/>
      <w:lvlJc w:val="left"/>
      <w:pPr>
        <w:ind w:left="1080" w:hanging="360"/>
      </w:pPr>
    </w:lvl>
    <w:lvl w:ilvl="2" w:tplc="1C0A001B" w:tentative="1">
      <w:start w:val="1"/>
      <w:numFmt w:val="lowerRoman"/>
      <w:lvlText w:val="%3."/>
      <w:lvlJc w:val="right"/>
      <w:pPr>
        <w:ind w:left="1800" w:hanging="180"/>
      </w:pPr>
    </w:lvl>
    <w:lvl w:ilvl="3" w:tplc="1C0A000F" w:tentative="1">
      <w:start w:val="1"/>
      <w:numFmt w:val="decimal"/>
      <w:lvlText w:val="%4."/>
      <w:lvlJc w:val="left"/>
      <w:pPr>
        <w:ind w:left="2520" w:hanging="360"/>
      </w:pPr>
    </w:lvl>
    <w:lvl w:ilvl="4" w:tplc="1C0A0019" w:tentative="1">
      <w:start w:val="1"/>
      <w:numFmt w:val="lowerLetter"/>
      <w:lvlText w:val="%5."/>
      <w:lvlJc w:val="left"/>
      <w:pPr>
        <w:ind w:left="3240" w:hanging="360"/>
      </w:pPr>
    </w:lvl>
    <w:lvl w:ilvl="5" w:tplc="1C0A001B" w:tentative="1">
      <w:start w:val="1"/>
      <w:numFmt w:val="lowerRoman"/>
      <w:lvlText w:val="%6."/>
      <w:lvlJc w:val="right"/>
      <w:pPr>
        <w:ind w:left="3960" w:hanging="180"/>
      </w:pPr>
    </w:lvl>
    <w:lvl w:ilvl="6" w:tplc="1C0A000F" w:tentative="1">
      <w:start w:val="1"/>
      <w:numFmt w:val="decimal"/>
      <w:lvlText w:val="%7."/>
      <w:lvlJc w:val="left"/>
      <w:pPr>
        <w:ind w:left="4680" w:hanging="360"/>
      </w:pPr>
    </w:lvl>
    <w:lvl w:ilvl="7" w:tplc="1C0A0019" w:tentative="1">
      <w:start w:val="1"/>
      <w:numFmt w:val="lowerLetter"/>
      <w:lvlText w:val="%8."/>
      <w:lvlJc w:val="left"/>
      <w:pPr>
        <w:ind w:left="5400" w:hanging="360"/>
      </w:pPr>
    </w:lvl>
    <w:lvl w:ilvl="8" w:tplc="1C0A001B" w:tentative="1">
      <w:start w:val="1"/>
      <w:numFmt w:val="lowerRoman"/>
      <w:lvlText w:val="%9."/>
      <w:lvlJc w:val="right"/>
      <w:pPr>
        <w:ind w:left="6120" w:hanging="180"/>
      </w:pPr>
    </w:lvl>
  </w:abstractNum>
  <w:abstractNum w:abstractNumId="21" w15:restartNumberingAfterBreak="0">
    <w:nsid w:val="5D585628"/>
    <w:multiLevelType w:val="hybridMultilevel"/>
    <w:tmpl w:val="F6025912"/>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2" w15:restartNumberingAfterBreak="0">
    <w:nsid w:val="62603F1E"/>
    <w:multiLevelType w:val="hybridMultilevel"/>
    <w:tmpl w:val="EFC87188"/>
    <w:lvl w:ilvl="0" w:tplc="1C0A0001">
      <w:start w:val="1"/>
      <w:numFmt w:val="bullet"/>
      <w:lvlText w:val=""/>
      <w:lvlJc w:val="left"/>
      <w:pPr>
        <w:ind w:left="798" w:hanging="360"/>
      </w:pPr>
      <w:rPr>
        <w:rFonts w:ascii="Symbol" w:hAnsi="Symbol" w:hint="default"/>
      </w:rPr>
    </w:lvl>
    <w:lvl w:ilvl="1" w:tplc="1C0A0003" w:tentative="1">
      <w:start w:val="1"/>
      <w:numFmt w:val="bullet"/>
      <w:lvlText w:val="o"/>
      <w:lvlJc w:val="left"/>
      <w:pPr>
        <w:ind w:left="1518" w:hanging="360"/>
      </w:pPr>
      <w:rPr>
        <w:rFonts w:ascii="Courier New" w:hAnsi="Courier New" w:cs="Courier New" w:hint="default"/>
      </w:rPr>
    </w:lvl>
    <w:lvl w:ilvl="2" w:tplc="1C0A0005" w:tentative="1">
      <w:start w:val="1"/>
      <w:numFmt w:val="bullet"/>
      <w:lvlText w:val=""/>
      <w:lvlJc w:val="left"/>
      <w:pPr>
        <w:ind w:left="2238" w:hanging="360"/>
      </w:pPr>
      <w:rPr>
        <w:rFonts w:ascii="Wingdings" w:hAnsi="Wingdings" w:hint="default"/>
      </w:rPr>
    </w:lvl>
    <w:lvl w:ilvl="3" w:tplc="1C0A0001" w:tentative="1">
      <w:start w:val="1"/>
      <w:numFmt w:val="bullet"/>
      <w:lvlText w:val=""/>
      <w:lvlJc w:val="left"/>
      <w:pPr>
        <w:ind w:left="2958" w:hanging="360"/>
      </w:pPr>
      <w:rPr>
        <w:rFonts w:ascii="Symbol" w:hAnsi="Symbol" w:hint="default"/>
      </w:rPr>
    </w:lvl>
    <w:lvl w:ilvl="4" w:tplc="1C0A0003" w:tentative="1">
      <w:start w:val="1"/>
      <w:numFmt w:val="bullet"/>
      <w:lvlText w:val="o"/>
      <w:lvlJc w:val="left"/>
      <w:pPr>
        <w:ind w:left="3678" w:hanging="360"/>
      </w:pPr>
      <w:rPr>
        <w:rFonts w:ascii="Courier New" w:hAnsi="Courier New" w:cs="Courier New" w:hint="default"/>
      </w:rPr>
    </w:lvl>
    <w:lvl w:ilvl="5" w:tplc="1C0A0005" w:tentative="1">
      <w:start w:val="1"/>
      <w:numFmt w:val="bullet"/>
      <w:lvlText w:val=""/>
      <w:lvlJc w:val="left"/>
      <w:pPr>
        <w:ind w:left="4398" w:hanging="360"/>
      </w:pPr>
      <w:rPr>
        <w:rFonts w:ascii="Wingdings" w:hAnsi="Wingdings" w:hint="default"/>
      </w:rPr>
    </w:lvl>
    <w:lvl w:ilvl="6" w:tplc="1C0A0001" w:tentative="1">
      <w:start w:val="1"/>
      <w:numFmt w:val="bullet"/>
      <w:lvlText w:val=""/>
      <w:lvlJc w:val="left"/>
      <w:pPr>
        <w:ind w:left="5118" w:hanging="360"/>
      </w:pPr>
      <w:rPr>
        <w:rFonts w:ascii="Symbol" w:hAnsi="Symbol" w:hint="default"/>
      </w:rPr>
    </w:lvl>
    <w:lvl w:ilvl="7" w:tplc="1C0A0003" w:tentative="1">
      <w:start w:val="1"/>
      <w:numFmt w:val="bullet"/>
      <w:lvlText w:val="o"/>
      <w:lvlJc w:val="left"/>
      <w:pPr>
        <w:ind w:left="5838" w:hanging="360"/>
      </w:pPr>
      <w:rPr>
        <w:rFonts w:ascii="Courier New" w:hAnsi="Courier New" w:cs="Courier New" w:hint="default"/>
      </w:rPr>
    </w:lvl>
    <w:lvl w:ilvl="8" w:tplc="1C0A0005" w:tentative="1">
      <w:start w:val="1"/>
      <w:numFmt w:val="bullet"/>
      <w:lvlText w:val=""/>
      <w:lvlJc w:val="left"/>
      <w:pPr>
        <w:ind w:left="6558" w:hanging="360"/>
      </w:pPr>
      <w:rPr>
        <w:rFonts w:ascii="Wingdings" w:hAnsi="Wingdings" w:hint="default"/>
      </w:rPr>
    </w:lvl>
  </w:abstractNum>
  <w:abstractNum w:abstractNumId="23" w15:restartNumberingAfterBreak="0">
    <w:nsid w:val="68EF5FF3"/>
    <w:multiLevelType w:val="hybridMultilevel"/>
    <w:tmpl w:val="8C483B80"/>
    <w:lvl w:ilvl="0" w:tplc="1C0A0001">
      <w:start w:val="1"/>
      <w:numFmt w:val="bullet"/>
      <w:lvlText w:val=""/>
      <w:lvlJc w:val="left"/>
      <w:pPr>
        <w:ind w:left="360" w:hanging="360"/>
      </w:pPr>
      <w:rPr>
        <w:rFonts w:ascii="Symbol" w:hAnsi="Symbol" w:hint="default"/>
      </w:rPr>
    </w:lvl>
    <w:lvl w:ilvl="1" w:tplc="1C0A0003">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4" w15:restartNumberingAfterBreak="0">
    <w:nsid w:val="6A2303E7"/>
    <w:multiLevelType w:val="hybridMultilevel"/>
    <w:tmpl w:val="EEEEDB94"/>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5" w15:restartNumberingAfterBreak="0">
    <w:nsid w:val="717B3A75"/>
    <w:multiLevelType w:val="hybridMultilevel"/>
    <w:tmpl w:val="DA906FCC"/>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26" w15:restartNumberingAfterBreak="0">
    <w:nsid w:val="77251E1A"/>
    <w:multiLevelType w:val="hybridMultilevel"/>
    <w:tmpl w:val="E06C23B0"/>
    <w:lvl w:ilvl="0" w:tplc="59CC4216">
      <w:start w:val="1"/>
      <w:numFmt w:val="bullet"/>
      <w:lvlText w:val=""/>
      <w:lvlJc w:val="left"/>
      <w:pPr>
        <w:ind w:left="360" w:hanging="360"/>
      </w:pPr>
      <w:rPr>
        <w:rFonts w:ascii="Symbol" w:hAnsi="Symbol" w:hint="default"/>
        <w:color w:val="767171"/>
      </w:rPr>
    </w:lvl>
    <w:lvl w:ilvl="1" w:tplc="FFFFFFFF">
      <w:start w:val="1"/>
      <w:numFmt w:val="bullet"/>
      <w:lvlText w:val="o"/>
      <w:lvlJc w:val="left"/>
      <w:pPr>
        <w:ind w:left="1080" w:hanging="360"/>
      </w:pPr>
      <w:rPr>
        <w:rFonts w:ascii="Courier New" w:hAnsi="Courier New" w:cs="Courier New" w:hint="default"/>
      </w:rPr>
    </w:lvl>
    <w:lvl w:ilvl="2" w:tplc="FFFFFFFF">
      <w:start w:val="1"/>
      <w:numFmt w:val="bullet"/>
      <w:lvlText w:val=""/>
      <w:lvlJc w:val="left"/>
      <w:pPr>
        <w:ind w:left="1800" w:hanging="360"/>
      </w:pPr>
      <w:rPr>
        <w:rFonts w:ascii="Wingdings" w:hAnsi="Wingdings" w:hint="default"/>
      </w:rPr>
    </w:lvl>
    <w:lvl w:ilvl="3" w:tplc="FFFFFFFF">
      <w:start w:val="1"/>
      <w:numFmt w:val="bullet"/>
      <w:lvlText w:val=""/>
      <w:lvlJc w:val="left"/>
      <w:pPr>
        <w:ind w:left="2520" w:hanging="360"/>
      </w:pPr>
      <w:rPr>
        <w:rFonts w:ascii="Symbol" w:hAnsi="Symbol" w:hint="default"/>
      </w:rPr>
    </w:lvl>
    <w:lvl w:ilvl="4" w:tplc="FFFFFFFF">
      <w:start w:val="1"/>
      <w:numFmt w:val="bullet"/>
      <w:lvlText w:val="o"/>
      <w:lvlJc w:val="left"/>
      <w:pPr>
        <w:ind w:left="3240" w:hanging="360"/>
      </w:pPr>
      <w:rPr>
        <w:rFonts w:ascii="Courier New" w:hAnsi="Courier New" w:cs="Courier New" w:hint="default"/>
      </w:rPr>
    </w:lvl>
    <w:lvl w:ilvl="5" w:tplc="FFFFFFFF">
      <w:start w:val="1"/>
      <w:numFmt w:val="bullet"/>
      <w:lvlText w:val=""/>
      <w:lvlJc w:val="left"/>
      <w:pPr>
        <w:ind w:left="3960" w:hanging="360"/>
      </w:pPr>
      <w:rPr>
        <w:rFonts w:ascii="Wingdings" w:hAnsi="Wingdings" w:hint="default"/>
      </w:rPr>
    </w:lvl>
    <w:lvl w:ilvl="6" w:tplc="FFFFFFFF">
      <w:start w:val="1"/>
      <w:numFmt w:val="bullet"/>
      <w:lvlText w:val=""/>
      <w:lvlJc w:val="left"/>
      <w:pPr>
        <w:ind w:left="4680" w:hanging="360"/>
      </w:pPr>
      <w:rPr>
        <w:rFonts w:ascii="Symbol" w:hAnsi="Symbol" w:hint="default"/>
      </w:rPr>
    </w:lvl>
    <w:lvl w:ilvl="7" w:tplc="FFFFFFFF">
      <w:start w:val="1"/>
      <w:numFmt w:val="bullet"/>
      <w:lvlText w:val="o"/>
      <w:lvlJc w:val="left"/>
      <w:pPr>
        <w:ind w:left="5400" w:hanging="360"/>
      </w:pPr>
      <w:rPr>
        <w:rFonts w:ascii="Courier New" w:hAnsi="Courier New" w:cs="Courier New" w:hint="default"/>
      </w:rPr>
    </w:lvl>
    <w:lvl w:ilvl="8" w:tplc="FFFFFFFF">
      <w:start w:val="1"/>
      <w:numFmt w:val="bullet"/>
      <w:lvlText w:val=""/>
      <w:lvlJc w:val="left"/>
      <w:pPr>
        <w:ind w:left="6120" w:hanging="360"/>
      </w:pPr>
      <w:rPr>
        <w:rFonts w:ascii="Wingdings" w:hAnsi="Wingdings" w:hint="default"/>
      </w:rPr>
    </w:lvl>
  </w:abstractNum>
  <w:abstractNum w:abstractNumId="27" w15:restartNumberingAfterBreak="0">
    <w:nsid w:val="775078C2"/>
    <w:multiLevelType w:val="hybridMultilevel"/>
    <w:tmpl w:val="F830E85E"/>
    <w:lvl w:ilvl="0" w:tplc="1C0A0001">
      <w:start w:val="1"/>
      <w:numFmt w:val="bullet"/>
      <w:lvlText w:val=""/>
      <w:lvlJc w:val="left"/>
      <w:pPr>
        <w:ind w:left="720" w:hanging="360"/>
      </w:pPr>
      <w:rPr>
        <w:rFonts w:ascii="Symbol" w:hAnsi="Symbol" w:hint="default"/>
      </w:rPr>
    </w:lvl>
    <w:lvl w:ilvl="1" w:tplc="1C0A0003" w:tentative="1">
      <w:start w:val="1"/>
      <w:numFmt w:val="bullet"/>
      <w:lvlText w:val="o"/>
      <w:lvlJc w:val="left"/>
      <w:pPr>
        <w:ind w:left="1440" w:hanging="360"/>
      </w:pPr>
      <w:rPr>
        <w:rFonts w:ascii="Courier New" w:hAnsi="Courier New" w:cs="Courier New" w:hint="default"/>
      </w:rPr>
    </w:lvl>
    <w:lvl w:ilvl="2" w:tplc="1C0A0005" w:tentative="1">
      <w:start w:val="1"/>
      <w:numFmt w:val="bullet"/>
      <w:lvlText w:val=""/>
      <w:lvlJc w:val="left"/>
      <w:pPr>
        <w:ind w:left="2160" w:hanging="360"/>
      </w:pPr>
      <w:rPr>
        <w:rFonts w:ascii="Wingdings" w:hAnsi="Wingdings" w:hint="default"/>
      </w:rPr>
    </w:lvl>
    <w:lvl w:ilvl="3" w:tplc="1C0A0001" w:tentative="1">
      <w:start w:val="1"/>
      <w:numFmt w:val="bullet"/>
      <w:lvlText w:val=""/>
      <w:lvlJc w:val="left"/>
      <w:pPr>
        <w:ind w:left="2880" w:hanging="360"/>
      </w:pPr>
      <w:rPr>
        <w:rFonts w:ascii="Symbol" w:hAnsi="Symbol" w:hint="default"/>
      </w:rPr>
    </w:lvl>
    <w:lvl w:ilvl="4" w:tplc="1C0A0003" w:tentative="1">
      <w:start w:val="1"/>
      <w:numFmt w:val="bullet"/>
      <w:lvlText w:val="o"/>
      <w:lvlJc w:val="left"/>
      <w:pPr>
        <w:ind w:left="3600" w:hanging="360"/>
      </w:pPr>
      <w:rPr>
        <w:rFonts w:ascii="Courier New" w:hAnsi="Courier New" w:cs="Courier New" w:hint="default"/>
      </w:rPr>
    </w:lvl>
    <w:lvl w:ilvl="5" w:tplc="1C0A0005" w:tentative="1">
      <w:start w:val="1"/>
      <w:numFmt w:val="bullet"/>
      <w:lvlText w:val=""/>
      <w:lvlJc w:val="left"/>
      <w:pPr>
        <w:ind w:left="4320" w:hanging="360"/>
      </w:pPr>
      <w:rPr>
        <w:rFonts w:ascii="Wingdings" w:hAnsi="Wingdings" w:hint="default"/>
      </w:rPr>
    </w:lvl>
    <w:lvl w:ilvl="6" w:tplc="1C0A0001" w:tentative="1">
      <w:start w:val="1"/>
      <w:numFmt w:val="bullet"/>
      <w:lvlText w:val=""/>
      <w:lvlJc w:val="left"/>
      <w:pPr>
        <w:ind w:left="5040" w:hanging="360"/>
      </w:pPr>
      <w:rPr>
        <w:rFonts w:ascii="Symbol" w:hAnsi="Symbol" w:hint="default"/>
      </w:rPr>
    </w:lvl>
    <w:lvl w:ilvl="7" w:tplc="1C0A0003" w:tentative="1">
      <w:start w:val="1"/>
      <w:numFmt w:val="bullet"/>
      <w:lvlText w:val="o"/>
      <w:lvlJc w:val="left"/>
      <w:pPr>
        <w:ind w:left="5760" w:hanging="360"/>
      </w:pPr>
      <w:rPr>
        <w:rFonts w:ascii="Courier New" w:hAnsi="Courier New" w:cs="Courier New" w:hint="default"/>
      </w:rPr>
    </w:lvl>
    <w:lvl w:ilvl="8" w:tplc="1C0A0005" w:tentative="1">
      <w:start w:val="1"/>
      <w:numFmt w:val="bullet"/>
      <w:lvlText w:val=""/>
      <w:lvlJc w:val="left"/>
      <w:pPr>
        <w:ind w:left="6480" w:hanging="360"/>
      </w:pPr>
      <w:rPr>
        <w:rFonts w:ascii="Wingdings" w:hAnsi="Wingdings" w:hint="default"/>
      </w:rPr>
    </w:lvl>
  </w:abstractNum>
  <w:abstractNum w:abstractNumId="28" w15:restartNumberingAfterBreak="0">
    <w:nsid w:val="77BC40D2"/>
    <w:multiLevelType w:val="hybridMultilevel"/>
    <w:tmpl w:val="E8E67E3C"/>
    <w:lvl w:ilvl="0" w:tplc="1C0A0001">
      <w:start w:val="1"/>
      <w:numFmt w:val="bullet"/>
      <w:lvlText w:val=""/>
      <w:lvlJc w:val="left"/>
      <w:pPr>
        <w:ind w:left="1080" w:hanging="360"/>
      </w:pPr>
      <w:rPr>
        <w:rFonts w:ascii="Symbol" w:hAnsi="Symbol" w:hint="default"/>
      </w:rPr>
    </w:lvl>
    <w:lvl w:ilvl="1" w:tplc="1C0A0003" w:tentative="1">
      <w:start w:val="1"/>
      <w:numFmt w:val="bullet"/>
      <w:lvlText w:val="o"/>
      <w:lvlJc w:val="left"/>
      <w:pPr>
        <w:ind w:left="1800" w:hanging="360"/>
      </w:pPr>
      <w:rPr>
        <w:rFonts w:ascii="Courier New" w:hAnsi="Courier New" w:cs="Courier New" w:hint="default"/>
      </w:rPr>
    </w:lvl>
    <w:lvl w:ilvl="2" w:tplc="1C0A0005" w:tentative="1">
      <w:start w:val="1"/>
      <w:numFmt w:val="bullet"/>
      <w:lvlText w:val=""/>
      <w:lvlJc w:val="left"/>
      <w:pPr>
        <w:ind w:left="2520" w:hanging="360"/>
      </w:pPr>
      <w:rPr>
        <w:rFonts w:ascii="Wingdings" w:hAnsi="Wingdings" w:hint="default"/>
      </w:rPr>
    </w:lvl>
    <w:lvl w:ilvl="3" w:tplc="1C0A0001" w:tentative="1">
      <w:start w:val="1"/>
      <w:numFmt w:val="bullet"/>
      <w:lvlText w:val=""/>
      <w:lvlJc w:val="left"/>
      <w:pPr>
        <w:ind w:left="3240" w:hanging="360"/>
      </w:pPr>
      <w:rPr>
        <w:rFonts w:ascii="Symbol" w:hAnsi="Symbol" w:hint="default"/>
      </w:rPr>
    </w:lvl>
    <w:lvl w:ilvl="4" w:tplc="1C0A0003" w:tentative="1">
      <w:start w:val="1"/>
      <w:numFmt w:val="bullet"/>
      <w:lvlText w:val="o"/>
      <w:lvlJc w:val="left"/>
      <w:pPr>
        <w:ind w:left="3960" w:hanging="360"/>
      </w:pPr>
      <w:rPr>
        <w:rFonts w:ascii="Courier New" w:hAnsi="Courier New" w:cs="Courier New" w:hint="default"/>
      </w:rPr>
    </w:lvl>
    <w:lvl w:ilvl="5" w:tplc="1C0A0005" w:tentative="1">
      <w:start w:val="1"/>
      <w:numFmt w:val="bullet"/>
      <w:lvlText w:val=""/>
      <w:lvlJc w:val="left"/>
      <w:pPr>
        <w:ind w:left="4680" w:hanging="360"/>
      </w:pPr>
      <w:rPr>
        <w:rFonts w:ascii="Wingdings" w:hAnsi="Wingdings" w:hint="default"/>
      </w:rPr>
    </w:lvl>
    <w:lvl w:ilvl="6" w:tplc="1C0A0001" w:tentative="1">
      <w:start w:val="1"/>
      <w:numFmt w:val="bullet"/>
      <w:lvlText w:val=""/>
      <w:lvlJc w:val="left"/>
      <w:pPr>
        <w:ind w:left="5400" w:hanging="360"/>
      </w:pPr>
      <w:rPr>
        <w:rFonts w:ascii="Symbol" w:hAnsi="Symbol" w:hint="default"/>
      </w:rPr>
    </w:lvl>
    <w:lvl w:ilvl="7" w:tplc="1C0A0003" w:tentative="1">
      <w:start w:val="1"/>
      <w:numFmt w:val="bullet"/>
      <w:lvlText w:val="o"/>
      <w:lvlJc w:val="left"/>
      <w:pPr>
        <w:ind w:left="6120" w:hanging="360"/>
      </w:pPr>
      <w:rPr>
        <w:rFonts w:ascii="Courier New" w:hAnsi="Courier New" w:cs="Courier New" w:hint="default"/>
      </w:rPr>
    </w:lvl>
    <w:lvl w:ilvl="8" w:tplc="1C0A0005" w:tentative="1">
      <w:start w:val="1"/>
      <w:numFmt w:val="bullet"/>
      <w:lvlText w:val=""/>
      <w:lvlJc w:val="left"/>
      <w:pPr>
        <w:ind w:left="6840" w:hanging="360"/>
      </w:pPr>
      <w:rPr>
        <w:rFonts w:ascii="Wingdings" w:hAnsi="Wingdings" w:hint="default"/>
      </w:rPr>
    </w:lvl>
  </w:abstractNum>
  <w:abstractNum w:abstractNumId="29" w15:restartNumberingAfterBreak="0">
    <w:nsid w:val="79161BFB"/>
    <w:multiLevelType w:val="hybridMultilevel"/>
    <w:tmpl w:val="489032DE"/>
    <w:lvl w:ilvl="0" w:tplc="1C0A0001">
      <w:start w:val="1"/>
      <w:numFmt w:val="bullet"/>
      <w:lvlText w:val=""/>
      <w:lvlJc w:val="left"/>
      <w:pPr>
        <w:ind w:left="360" w:hanging="360"/>
      </w:pPr>
      <w:rPr>
        <w:rFonts w:ascii="Symbol" w:hAnsi="Symbol" w:hint="default"/>
      </w:rPr>
    </w:lvl>
    <w:lvl w:ilvl="1" w:tplc="1C0A0003" w:tentative="1">
      <w:start w:val="1"/>
      <w:numFmt w:val="bullet"/>
      <w:lvlText w:val="o"/>
      <w:lvlJc w:val="left"/>
      <w:pPr>
        <w:ind w:left="1080" w:hanging="360"/>
      </w:pPr>
      <w:rPr>
        <w:rFonts w:ascii="Courier New" w:hAnsi="Courier New" w:cs="Courier New" w:hint="default"/>
      </w:rPr>
    </w:lvl>
    <w:lvl w:ilvl="2" w:tplc="1C0A0005" w:tentative="1">
      <w:start w:val="1"/>
      <w:numFmt w:val="bullet"/>
      <w:lvlText w:val=""/>
      <w:lvlJc w:val="left"/>
      <w:pPr>
        <w:ind w:left="1800" w:hanging="360"/>
      </w:pPr>
      <w:rPr>
        <w:rFonts w:ascii="Wingdings" w:hAnsi="Wingdings" w:hint="default"/>
      </w:rPr>
    </w:lvl>
    <w:lvl w:ilvl="3" w:tplc="1C0A0001" w:tentative="1">
      <w:start w:val="1"/>
      <w:numFmt w:val="bullet"/>
      <w:lvlText w:val=""/>
      <w:lvlJc w:val="left"/>
      <w:pPr>
        <w:ind w:left="2520" w:hanging="360"/>
      </w:pPr>
      <w:rPr>
        <w:rFonts w:ascii="Symbol" w:hAnsi="Symbol" w:hint="default"/>
      </w:rPr>
    </w:lvl>
    <w:lvl w:ilvl="4" w:tplc="1C0A0003" w:tentative="1">
      <w:start w:val="1"/>
      <w:numFmt w:val="bullet"/>
      <w:lvlText w:val="o"/>
      <w:lvlJc w:val="left"/>
      <w:pPr>
        <w:ind w:left="3240" w:hanging="360"/>
      </w:pPr>
      <w:rPr>
        <w:rFonts w:ascii="Courier New" w:hAnsi="Courier New" w:cs="Courier New" w:hint="default"/>
      </w:rPr>
    </w:lvl>
    <w:lvl w:ilvl="5" w:tplc="1C0A0005" w:tentative="1">
      <w:start w:val="1"/>
      <w:numFmt w:val="bullet"/>
      <w:lvlText w:val=""/>
      <w:lvlJc w:val="left"/>
      <w:pPr>
        <w:ind w:left="3960" w:hanging="360"/>
      </w:pPr>
      <w:rPr>
        <w:rFonts w:ascii="Wingdings" w:hAnsi="Wingdings" w:hint="default"/>
      </w:rPr>
    </w:lvl>
    <w:lvl w:ilvl="6" w:tplc="1C0A0001" w:tentative="1">
      <w:start w:val="1"/>
      <w:numFmt w:val="bullet"/>
      <w:lvlText w:val=""/>
      <w:lvlJc w:val="left"/>
      <w:pPr>
        <w:ind w:left="4680" w:hanging="360"/>
      </w:pPr>
      <w:rPr>
        <w:rFonts w:ascii="Symbol" w:hAnsi="Symbol" w:hint="default"/>
      </w:rPr>
    </w:lvl>
    <w:lvl w:ilvl="7" w:tplc="1C0A0003" w:tentative="1">
      <w:start w:val="1"/>
      <w:numFmt w:val="bullet"/>
      <w:lvlText w:val="o"/>
      <w:lvlJc w:val="left"/>
      <w:pPr>
        <w:ind w:left="5400" w:hanging="360"/>
      </w:pPr>
      <w:rPr>
        <w:rFonts w:ascii="Courier New" w:hAnsi="Courier New" w:cs="Courier New" w:hint="default"/>
      </w:rPr>
    </w:lvl>
    <w:lvl w:ilvl="8" w:tplc="1C0A0005" w:tentative="1">
      <w:start w:val="1"/>
      <w:numFmt w:val="bullet"/>
      <w:lvlText w:val=""/>
      <w:lvlJc w:val="left"/>
      <w:pPr>
        <w:ind w:left="6120" w:hanging="360"/>
      </w:pPr>
      <w:rPr>
        <w:rFonts w:ascii="Wingdings" w:hAnsi="Wingdings" w:hint="default"/>
      </w:rPr>
    </w:lvl>
  </w:abstractNum>
  <w:abstractNum w:abstractNumId="30" w15:restartNumberingAfterBreak="0">
    <w:nsid w:val="7DA91DAD"/>
    <w:multiLevelType w:val="multilevel"/>
    <w:tmpl w:val="57803ECA"/>
    <w:lvl w:ilvl="0">
      <w:start w:val="1"/>
      <w:numFmt w:val="bullet"/>
      <w:lvlText w:val=""/>
      <w:lvlJc w:val="left"/>
      <w:pPr>
        <w:tabs>
          <w:tab w:val="num" w:pos="360"/>
        </w:tabs>
        <w:ind w:left="360" w:hanging="360"/>
      </w:pPr>
      <w:rPr>
        <w:rFonts w:ascii="Symbol" w:hAnsi="Symbol" w:hint="default"/>
        <w:sz w:val="20"/>
      </w:rPr>
    </w:lvl>
    <w:lvl w:ilvl="1">
      <w:start w:val="1"/>
      <w:numFmt w:val="bullet"/>
      <w:lvlText w:val=""/>
      <w:lvlJc w:val="left"/>
      <w:pPr>
        <w:tabs>
          <w:tab w:val="num" w:pos="1080"/>
        </w:tabs>
        <w:ind w:left="1080" w:hanging="360"/>
      </w:pPr>
      <w:rPr>
        <w:rFonts w:ascii="Symbol" w:hAnsi="Symbol" w:hint="default"/>
        <w:sz w:val="20"/>
      </w:rPr>
    </w:lvl>
    <w:lvl w:ilvl="2" w:tentative="1">
      <w:start w:val="1"/>
      <w:numFmt w:val="bullet"/>
      <w:lvlText w:val=""/>
      <w:lvlJc w:val="left"/>
      <w:pPr>
        <w:tabs>
          <w:tab w:val="num" w:pos="1800"/>
        </w:tabs>
        <w:ind w:left="1800" w:hanging="360"/>
      </w:pPr>
      <w:rPr>
        <w:rFonts w:ascii="Symbol" w:hAnsi="Symbol" w:hint="default"/>
        <w:sz w:val="20"/>
      </w:rPr>
    </w:lvl>
    <w:lvl w:ilvl="3" w:tentative="1">
      <w:start w:val="1"/>
      <w:numFmt w:val="bullet"/>
      <w:lvlText w:val=""/>
      <w:lvlJc w:val="left"/>
      <w:pPr>
        <w:tabs>
          <w:tab w:val="num" w:pos="2520"/>
        </w:tabs>
        <w:ind w:left="2520" w:hanging="360"/>
      </w:pPr>
      <w:rPr>
        <w:rFonts w:ascii="Symbol" w:hAnsi="Symbol" w:hint="default"/>
        <w:sz w:val="20"/>
      </w:rPr>
    </w:lvl>
    <w:lvl w:ilvl="4" w:tentative="1">
      <w:start w:val="1"/>
      <w:numFmt w:val="bullet"/>
      <w:lvlText w:val=""/>
      <w:lvlJc w:val="left"/>
      <w:pPr>
        <w:tabs>
          <w:tab w:val="num" w:pos="3240"/>
        </w:tabs>
        <w:ind w:left="3240" w:hanging="360"/>
      </w:pPr>
      <w:rPr>
        <w:rFonts w:ascii="Symbol" w:hAnsi="Symbol" w:hint="default"/>
        <w:sz w:val="20"/>
      </w:rPr>
    </w:lvl>
    <w:lvl w:ilvl="5" w:tentative="1">
      <w:start w:val="1"/>
      <w:numFmt w:val="bullet"/>
      <w:lvlText w:val=""/>
      <w:lvlJc w:val="left"/>
      <w:pPr>
        <w:tabs>
          <w:tab w:val="num" w:pos="3960"/>
        </w:tabs>
        <w:ind w:left="3960" w:hanging="360"/>
      </w:pPr>
      <w:rPr>
        <w:rFonts w:ascii="Symbol" w:hAnsi="Symbol" w:hint="default"/>
        <w:sz w:val="20"/>
      </w:rPr>
    </w:lvl>
    <w:lvl w:ilvl="6" w:tentative="1">
      <w:start w:val="1"/>
      <w:numFmt w:val="bullet"/>
      <w:lvlText w:val=""/>
      <w:lvlJc w:val="left"/>
      <w:pPr>
        <w:tabs>
          <w:tab w:val="num" w:pos="4680"/>
        </w:tabs>
        <w:ind w:left="4680" w:hanging="360"/>
      </w:pPr>
      <w:rPr>
        <w:rFonts w:ascii="Symbol" w:hAnsi="Symbol" w:hint="default"/>
        <w:sz w:val="20"/>
      </w:rPr>
    </w:lvl>
    <w:lvl w:ilvl="7" w:tentative="1">
      <w:start w:val="1"/>
      <w:numFmt w:val="bullet"/>
      <w:lvlText w:val=""/>
      <w:lvlJc w:val="left"/>
      <w:pPr>
        <w:tabs>
          <w:tab w:val="num" w:pos="5400"/>
        </w:tabs>
        <w:ind w:left="5400" w:hanging="360"/>
      </w:pPr>
      <w:rPr>
        <w:rFonts w:ascii="Symbol" w:hAnsi="Symbol" w:hint="default"/>
        <w:sz w:val="20"/>
      </w:rPr>
    </w:lvl>
    <w:lvl w:ilvl="8" w:tentative="1">
      <w:start w:val="1"/>
      <w:numFmt w:val="bullet"/>
      <w:lvlText w:val=""/>
      <w:lvlJc w:val="left"/>
      <w:pPr>
        <w:tabs>
          <w:tab w:val="num" w:pos="6120"/>
        </w:tabs>
        <w:ind w:left="6120" w:hanging="360"/>
      </w:pPr>
      <w:rPr>
        <w:rFonts w:ascii="Symbol" w:hAnsi="Symbol" w:hint="default"/>
        <w:sz w:val="20"/>
      </w:rPr>
    </w:lvl>
  </w:abstractNum>
  <w:num w:numId="1" w16cid:durableId="1187871138">
    <w:abstractNumId w:val="7"/>
  </w:num>
  <w:num w:numId="2" w16cid:durableId="108279726">
    <w:abstractNumId w:val="26"/>
  </w:num>
  <w:num w:numId="3" w16cid:durableId="2243179">
    <w:abstractNumId w:val="4"/>
  </w:num>
  <w:num w:numId="4" w16cid:durableId="1967539828">
    <w:abstractNumId w:val="8"/>
  </w:num>
  <w:num w:numId="5" w16cid:durableId="540016760">
    <w:abstractNumId w:val="2"/>
  </w:num>
  <w:num w:numId="6" w16cid:durableId="1206285110">
    <w:abstractNumId w:val="1"/>
  </w:num>
  <w:num w:numId="7" w16cid:durableId="818225672">
    <w:abstractNumId w:val="11"/>
  </w:num>
  <w:num w:numId="8" w16cid:durableId="661930876">
    <w:abstractNumId w:val="17"/>
  </w:num>
  <w:num w:numId="9" w16cid:durableId="781649018">
    <w:abstractNumId w:val="25"/>
  </w:num>
  <w:num w:numId="10" w16cid:durableId="2101563225">
    <w:abstractNumId w:val="21"/>
  </w:num>
  <w:num w:numId="11" w16cid:durableId="983849570">
    <w:abstractNumId w:val="14"/>
  </w:num>
  <w:num w:numId="12" w16cid:durableId="832179047">
    <w:abstractNumId w:val="19"/>
  </w:num>
  <w:num w:numId="13" w16cid:durableId="1988708115">
    <w:abstractNumId w:val="20"/>
  </w:num>
  <w:num w:numId="14" w16cid:durableId="823739958">
    <w:abstractNumId w:val="10"/>
  </w:num>
  <w:num w:numId="15" w16cid:durableId="982855731">
    <w:abstractNumId w:val="22"/>
  </w:num>
  <w:num w:numId="16" w16cid:durableId="1193376621">
    <w:abstractNumId w:val="23"/>
  </w:num>
  <w:num w:numId="17" w16cid:durableId="720329299">
    <w:abstractNumId w:val="28"/>
  </w:num>
  <w:num w:numId="18" w16cid:durableId="757748110">
    <w:abstractNumId w:val="24"/>
  </w:num>
  <w:num w:numId="19" w16cid:durableId="1385984558">
    <w:abstractNumId w:val="3"/>
  </w:num>
  <w:num w:numId="20" w16cid:durableId="79833981">
    <w:abstractNumId w:val="6"/>
  </w:num>
  <w:num w:numId="21" w16cid:durableId="2087416944">
    <w:abstractNumId w:val="9"/>
  </w:num>
  <w:num w:numId="22" w16cid:durableId="1368027417">
    <w:abstractNumId w:val="0"/>
  </w:num>
  <w:num w:numId="23" w16cid:durableId="282156063">
    <w:abstractNumId w:val="16"/>
  </w:num>
  <w:num w:numId="24" w16cid:durableId="615063501">
    <w:abstractNumId w:val="13"/>
  </w:num>
  <w:num w:numId="25" w16cid:durableId="1627392917">
    <w:abstractNumId w:val="29"/>
  </w:num>
  <w:num w:numId="26" w16cid:durableId="994603450">
    <w:abstractNumId w:val="15"/>
  </w:num>
  <w:num w:numId="27" w16cid:durableId="899360953">
    <w:abstractNumId w:val="30"/>
  </w:num>
  <w:num w:numId="28" w16cid:durableId="612590336">
    <w:abstractNumId w:val="12"/>
  </w:num>
  <w:num w:numId="29" w16cid:durableId="1932812381">
    <w:abstractNumId w:val="5"/>
  </w:num>
  <w:num w:numId="30" w16cid:durableId="2062438054">
    <w:abstractNumId w:val="27"/>
  </w:num>
  <w:num w:numId="31" w16cid:durableId="1256597498">
    <w:abstractNumId w:val="18"/>
  </w:num>
  <w:numIdMacAtCleanup w:val="2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0"/>
  <w:proofState w:spelling="clean" w:grammar="clean"/>
  <w:defaultTabStop w:val="720"/>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7F4E"/>
    <w:rsid w:val="000000E7"/>
    <w:rsid w:val="00000FC3"/>
    <w:rsid w:val="00001305"/>
    <w:rsid w:val="000016A7"/>
    <w:rsid w:val="000021CB"/>
    <w:rsid w:val="0000339D"/>
    <w:rsid w:val="00004392"/>
    <w:rsid w:val="00004487"/>
    <w:rsid w:val="00004D34"/>
    <w:rsid w:val="00004DD5"/>
    <w:rsid w:val="0000505F"/>
    <w:rsid w:val="000059C6"/>
    <w:rsid w:val="0000685B"/>
    <w:rsid w:val="000072F6"/>
    <w:rsid w:val="0000797F"/>
    <w:rsid w:val="00007A01"/>
    <w:rsid w:val="00007A75"/>
    <w:rsid w:val="00007BB5"/>
    <w:rsid w:val="00010B70"/>
    <w:rsid w:val="000138C7"/>
    <w:rsid w:val="00013DC7"/>
    <w:rsid w:val="00015008"/>
    <w:rsid w:val="00015EF5"/>
    <w:rsid w:val="00016356"/>
    <w:rsid w:val="00016E07"/>
    <w:rsid w:val="000170E9"/>
    <w:rsid w:val="00017E9B"/>
    <w:rsid w:val="00020197"/>
    <w:rsid w:val="00020640"/>
    <w:rsid w:val="0002117C"/>
    <w:rsid w:val="000211BF"/>
    <w:rsid w:val="00021A8C"/>
    <w:rsid w:val="00021FA5"/>
    <w:rsid w:val="00022266"/>
    <w:rsid w:val="00022CAA"/>
    <w:rsid w:val="000232BD"/>
    <w:rsid w:val="0002386B"/>
    <w:rsid w:val="00023AD4"/>
    <w:rsid w:val="00023CE7"/>
    <w:rsid w:val="0002409B"/>
    <w:rsid w:val="000247B1"/>
    <w:rsid w:val="00024912"/>
    <w:rsid w:val="00024984"/>
    <w:rsid w:val="00024C63"/>
    <w:rsid w:val="00025B14"/>
    <w:rsid w:val="00025D82"/>
    <w:rsid w:val="00026320"/>
    <w:rsid w:val="000263CE"/>
    <w:rsid w:val="000264D5"/>
    <w:rsid w:val="00026BFD"/>
    <w:rsid w:val="00026C5D"/>
    <w:rsid w:val="000270EF"/>
    <w:rsid w:val="00027445"/>
    <w:rsid w:val="00030D84"/>
    <w:rsid w:val="0003129D"/>
    <w:rsid w:val="000319F6"/>
    <w:rsid w:val="0003207B"/>
    <w:rsid w:val="00032423"/>
    <w:rsid w:val="000327FE"/>
    <w:rsid w:val="00033800"/>
    <w:rsid w:val="000356E0"/>
    <w:rsid w:val="00035BF2"/>
    <w:rsid w:val="00035FC8"/>
    <w:rsid w:val="000371C5"/>
    <w:rsid w:val="000371D0"/>
    <w:rsid w:val="00037BC3"/>
    <w:rsid w:val="000403F1"/>
    <w:rsid w:val="00041281"/>
    <w:rsid w:val="00041304"/>
    <w:rsid w:val="000418D3"/>
    <w:rsid w:val="00041E27"/>
    <w:rsid w:val="0004270D"/>
    <w:rsid w:val="00042882"/>
    <w:rsid w:val="00043A4E"/>
    <w:rsid w:val="0004510D"/>
    <w:rsid w:val="00045585"/>
    <w:rsid w:val="000463B0"/>
    <w:rsid w:val="00046613"/>
    <w:rsid w:val="00046997"/>
    <w:rsid w:val="00047797"/>
    <w:rsid w:val="00050004"/>
    <w:rsid w:val="00050CA2"/>
    <w:rsid w:val="00051E7A"/>
    <w:rsid w:val="0005255A"/>
    <w:rsid w:val="0005268C"/>
    <w:rsid w:val="00052CF2"/>
    <w:rsid w:val="00053B8E"/>
    <w:rsid w:val="00054032"/>
    <w:rsid w:val="0005428A"/>
    <w:rsid w:val="000544D9"/>
    <w:rsid w:val="00054DE8"/>
    <w:rsid w:val="0005584D"/>
    <w:rsid w:val="00055A67"/>
    <w:rsid w:val="00055FA8"/>
    <w:rsid w:val="0005607E"/>
    <w:rsid w:val="0005617F"/>
    <w:rsid w:val="000566B5"/>
    <w:rsid w:val="000570ED"/>
    <w:rsid w:val="00057391"/>
    <w:rsid w:val="00057745"/>
    <w:rsid w:val="000606B7"/>
    <w:rsid w:val="00060DA9"/>
    <w:rsid w:val="00061D58"/>
    <w:rsid w:val="0006315C"/>
    <w:rsid w:val="00063651"/>
    <w:rsid w:val="0006395C"/>
    <w:rsid w:val="00064F1E"/>
    <w:rsid w:val="00065CD3"/>
    <w:rsid w:val="00065F00"/>
    <w:rsid w:val="00065FDF"/>
    <w:rsid w:val="000664AA"/>
    <w:rsid w:val="000675E1"/>
    <w:rsid w:val="00067B6B"/>
    <w:rsid w:val="00067ED2"/>
    <w:rsid w:val="00070307"/>
    <w:rsid w:val="000704F6"/>
    <w:rsid w:val="00070759"/>
    <w:rsid w:val="000715DF"/>
    <w:rsid w:val="0007244B"/>
    <w:rsid w:val="000728E2"/>
    <w:rsid w:val="0007427A"/>
    <w:rsid w:val="000751B8"/>
    <w:rsid w:val="00076E89"/>
    <w:rsid w:val="00077A1C"/>
    <w:rsid w:val="00080D87"/>
    <w:rsid w:val="00081499"/>
    <w:rsid w:val="00081969"/>
    <w:rsid w:val="000827D4"/>
    <w:rsid w:val="000831D4"/>
    <w:rsid w:val="00085A0B"/>
    <w:rsid w:val="00086148"/>
    <w:rsid w:val="0008650A"/>
    <w:rsid w:val="00086DEB"/>
    <w:rsid w:val="00087AF5"/>
    <w:rsid w:val="00090137"/>
    <w:rsid w:val="00090744"/>
    <w:rsid w:val="00090D5D"/>
    <w:rsid w:val="00091713"/>
    <w:rsid w:val="000921D3"/>
    <w:rsid w:val="00093FB1"/>
    <w:rsid w:val="00094462"/>
    <w:rsid w:val="00094ACB"/>
    <w:rsid w:val="0009574D"/>
    <w:rsid w:val="000960E2"/>
    <w:rsid w:val="00097028"/>
    <w:rsid w:val="00097EFD"/>
    <w:rsid w:val="000A2404"/>
    <w:rsid w:val="000A283A"/>
    <w:rsid w:val="000A39DE"/>
    <w:rsid w:val="000A3DA6"/>
    <w:rsid w:val="000A4098"/>
    <w:rsid w:val="000A4873"/>
    <w:rsid w:val="000A5745"/>
    <w:rsid w:val="000A6CEB"/>
    <w:rsid w:val="000B1039"/>
    <w:rsid w:val="000B1930"/>
    <w:rsid w:val="000B2D25"/>
    <w:rsid w:val="000B46C3"/>
    <w:rsid w:val="000B5BE4"/>
    <w:rsid w:val="000B5F36"/>
    <w:rsid w:val="000B66E0"/>
    <w:rsid w:val="000B672C"/>
    <w:rsid w:val="000B7B92"/>
    <w:rsid w:val="000C004B"/>
    <w:rsid w:val="000C00FF"/>
    <w:rsid w:val="000C180D"/>
    <w:rsid w:val="000C2321"/>
    <w:rsid w:val="000C2A68"/>
    <w:rsid w:val="000C32DE"/>
    <w:rsid w:val="000C344F"/>
    <w:rsid w:val="000C3D28"/>
    <w:rsid w:val="000C3E83"/>
    <w:rsid w:val="000C469A"/>
    <w:rsid w:val="000C54F1"/>
    <w:rsid w:val="000C5888"/>
    <w:rsid w:val="000C6843"/>
    <w:rsid w:val="000C737F"/>
    <w:rsid w:val="000C73BE"/>
    <w:rsid w:val="000C7BBE"/>
    <w:rsid w:val="000D0598"/>
    <w:rsid w:val="000D05E6"/>
    <w:rsid w:val="000D07DE"/>
    <w:rsid w:val="000D0E27"/>
    <w:rsid w:val="000D1668"/>
    <w:rsid w:val="000D1700"/>
    <w:rsid w:val="000D2062"/>
    <w:rsid w:val="000D2A1B"/>
    <w:rsid w:val="000D2CE4"/>
    <w:rsid w:val="000D2F55"/>
    <w:rsid w:val="000D3158"/>
    <w:rsid w:val="000D3A54"/>
    <w:rsid w:val="000D3CC1"/>
    <w:rsid w:val="000D6360"/>
    <w:rsid w:val="000D6426"/>
    <w:rsid w:val="000D691F"/>
    <w:rsid w:val="000D6BC1"/>
    <w:rsid w:val="000D6C19"/>
    <w:rsid w:val="000D6CBF"/>
    <w:rsid w:val="000D7B24"/>
    <w:rsid w:val="000D7F8B"/>
    <w:rsid w:val="000E0663"/>
    <w:rsid w:val="000E0A98"/>
    <w:rsid w:val="000E0D3E"/>
    <w:rsid w:val="000E1A7F"/>
    <w:rsid w:val="000E23D9"/>
    <w:rsid w:val="000E2B0B"/>
    <w:rsid w:val="000E2E64"/>
    <w:rsid w:val="000E36BB"/>
    <w:rsid w:val="000E3D23"/>
    <w:rsid w:val="000E5A7A"/>
    <w:rsid w:val="000E5E86"/>
    <w:rsid w:val="000E6CC8"/>
    <w:rsid w:val="000E6F34"/>
    <w:rsid w:val="000E7647"/>
    <w:rsid w:val="000F05A5"/>
    <w:rsid w:val="000F08F8"/>
    <w:rsid w:val="000F10E1"/>
    <w:rsid w:val="000F1688"/>
    <w:rsid w:val="000F32C0"/>
    <w:rsid w:val="000F38C3"/>
    <w:rsid w:val="000F38E8"/>
    <w:rsid w:val="000F3A05"/>
    <w:rsid w:val="000F4971"/>
    <w:rsid w:val="000F4D68"/>
    <w:rsid w:val="000F5702"/>
    <w:rsid w:val="000F5AAD"/>
    <w:rsid w:val="000F5B48"/>
    <w:rsid w:val="000F69FF"/>
    <w:rsid w:val="000F6E8F"/>
    <w:rsid w:val="000F759D"/>
    <w:rsid w:val="000F7BEA"/>
    <w:rsid w:val="000F7FCE"/>
    <w:rsid w:val="001001B9"/>
    <w:rsid w:val="0010033E"/>
    <w:rsid w:val="00100361"/>
    <w:rsid w:val="00100A10"/>
    <w:rsid w:val="00101FA4"/>
    <w:rsid w:val="00101FF3"/>
    <w:rsid w:val="00102551"/>
    <w:rsid w:val="0010269A"/>
    <w:rsid w:val="001027AE"/>
    <w:rsid w:val="00102A8E"/>
    <w:rsid w:val="00102D4D"/>
    <w:rsid w:val="0010335A"/>
    <w:rsid w:val="00105D5A"/>
    <w:rsid w:val="00105DE1"/>
    <w:rsid w:val="00106063"/>
    <w:rsid w:val="00106168"/>
    <w:rsid w:val="00106EFB"/>
    <w:rsid w:val="00106FFE"/>
    <w:rsid w:val="001074CC"/>
    <w:rsid w:val="001104A9"/>
    <w:rsid w:val="00110D17"/>
    <w:rsid w:val="00111125"/>
    <w:rsid w:val="00111783"/>
    <w:rsid w:val="001126B2"/>
    <w:rsid w:val="001127CE"/>
    <w:rsid w:val="0011292A"/>
    <w:rsid w:val="00114F2A"/>
    <w:rsid w:val="0011575B"/>
    <w:rsid w:val="001157E1"/>
    <w:rsid w:val="00115E70"/>
    <w:rsid w:val="001162B9"/>
    <w:rsid w:val="00116A35"/>
    <w:rsid w:val="00117AC0"/>
    <w:rsid w:val="00120C58"/>
    <w:rsid w:val="001218D9"/>
    <w:rsid w:val="001225F0"/>
    <w:rsid w:val="001234E9"/>
    <w:rsid w:val="001236D2"/>
    <w:rsid w:val="001238D5"/>
    <w:rsid w:val="001240D0"/>
    <w:rsid w:val="00124266"/>
    <w:rsid w:val="001249A4"/>
    <w:rsid w:val="00124E2F"/>
    <w:rsid w:val="00124EFC"/>
    <w:rsid w:val="0012514E"/>
    <w:rsid w:val="00125259"/>
    <w:rsid w:val="00125D46"/>
    <w:rsid w:val="0012607D"/>
    <w:rsid w:val="00126816"/>
    <w:rsid w:val="00126B60"/>
    <w:rsid w:val="00126BD7"/>
    <w:rsid w:val="00126F59"/>
    <w:rsid w:val="001273DD"/>
    <w:rsid w:val="00127F53"/>
    <w:rsid w:val="0013019F"/>
    <w:rsid w:val="00130202"/>
    <w:rsid w:val="00132836"/>
    <w:rsid w:val="0013285B"/>
    <w:rsid w:val="00132FE9"/>
    <w:rsid w:val="0013355F"/>
    <w:rsid w:val="00134001"/>
    <w:rsid w:val="00135068"/>
    <w:rsid w:val="00135255"/>
    <w:rsid w:val="001352BF"/>
    <w:rsid w:val="00135528"/>
    <w:rsid w:val="0013562A"/>
    <w:rsid w:val="00135C8D"/>
    <w:rsid w:val="0013634F"/>
    <w:rsid w:val="00137A8A"/>
    <w:rsid w:val="001401C9"/>
    <w:rsid w:val="0014028E"/>
    <w:rsid w:val="00140849"/>
    <w:rsid w:val="00141920"/>
    <w:rsid w:val="00141EC1"/>
    <w:rsid w:val="0014270C"/>
    <w:rsid w:val="00142CE5"/>
    <w:rsid w:val="00142ECF"/>
    <w:rsid w:val="0014465A"/>
    <w:rsid w:val="0014475D"/>
    <w:rsid w:val="001469A6"/>
    <w:rsid w:val="00146EA7"/>
    <w:rsid w:val="001475D0"/>
    <w:rsid w:val="001477DC"/>
    <w:rsid w:val="00147AEF"/>
    <w:rsid w:val="00147D42"/>
    <w:rsid w:val="0015138B"/>
    <w:rsid w:val="00151607"/>
    <w:rsid w:val="001516D7"/>
    <w:rsid w:val="00151806"/>
    <w:rsid w:val="001518B7"/>
    <w:rsid w:val="00151BCC"/>
    <w:rsid w:val="0015394B"/>
    <w:rsid w:val="00153BBE"/>
    <w:rsid w:val="00153BE0"/>
    <w:rsid w:val="001548E5"/>
    <w:rsid w:val="00154FF8"/>
    <w:rsid w:val="001550BD"/>
    <w:rsid w:val="00155F1B"/>
    <w:rsid w:val="001565AC"/>
    <w:rsid w:val="00156B19"/>
    <w:rsid w:val="00157D0A"/>
    <w:rsid w:val="0016108B"/>
    <w:rsid w:val="001610E8"/>
    <w:rsid w:val="00161451"/>
    <w:rsid w:val="00161B59"/>
    <w:rsid w:val="00162182"/>
    <w:rsid w:val="001626B4"/>
    <w:rsid w:val="00163110"/>
    <w:rsid w:val="001638E3"/>
    <w:rsid w:val="00163C39"/>
    <w:rsid w:val="00165C93"/>
    <w:rsid w:val="00166481"/>
    <w:rsid w:val="00166B8D"/>
    <w:rsid w:val="00167497"/>
    <w:rsid w:val="00167C04"/>
    <w:rsid w:val="00167F7E"/>
    <w:rsid w:val="00170504"/>
    <w:rsid w:val="00170C58"/>
    <w:rsid w:val="00171BAC"/>
    <w:rsid w:val="00174A62"/>
    <w:rsid w:val="00174DFA"/>
    <w:rsid w:val="00175002"/>
    <w:rsid w:val="00175247"/>
    <w:rsid w:val="001759DB"/>
    <w:rsid w:val="00175A83"/>
    <w:rsid w:val="00175BD4"/>
    <w:rsid w:val="00175F55"/>
    <w:rsid w:val="00176555"/>
    <w:rsid w:val="00177CBE"/>
    <w:rsid w:val="00177D03"/>
    <w:rsid w:val="001800D7"/>
    <w:rsid w:val="00181075"/>
    <w:rsid w:val="001813FC"/>
    <w:rsid w:val="0018148D"/>
    <w:rsid w:val="001818F3"/>
    <w:rsid w:val="001820F0"/>
    <w:rsid w:val="00182473"/>
    <w:rsid w:val="001829E0"/>
    <w:rsid w:val="001830DA"/>
    <w:rsid w:val="00184788"/>
    <w:rsid w:val="00184BF6"/>
    <w:rsid w:val="00184F66"/>
    <w:rsid w:val="00185002"/>
    <w:rsid w:val="00191661"/>
    <w:rsid w:val="00191C4F"/>
    <w:rsid w:val="00192520"/>
    <w:rsid w:val="001925CF"/>
    <w:rsid w:val="0019275E"/>
    <w:rsid w:val="00192B66"/>
    <w:rsid w:val="001935CA"/>
    <w:rsid w:val="001935D9"/>
    <w:rsid w:val="00194327"/>
    <w:rsid w:val="001944FC"/>
    <w:rsid w:val="001946CD"/>
    <w:rsid w:val="001952FE"/>
    <w:rsid w:val="00196282"/>
    <w:rsid w:val="00196509"/>
    <w:rsid w:val="001967A0"/>
    <w:rsid w:val="00196C28"/>
    <w:rsid w:val="00197DEA"/>
    <w:rsid w:val="001A0D7F"/>
    <w:rsid w:val="001A0DEC"/>
    <w:rsid w:val="001A1866"/>
    <w:rsid w:val="001A1F5F"/>
    <w:rsid w:val="001A2165"/>
    <w:rsid w:val="001A2776"/>
    <w:rsid w:val="001A431D"/>
    <w:rsid w:val="001A6233"/>
    <w:rsid w:val="001A6373"/>
    <w:rsid w:val="001A67D4"/>
    <w:rsid w:val="001A74DD"/>
    <w:rsid w:val="001B0B65"/>
    <w:rsid w:val="001B0BE7"/>
    <w:rsid w:val="001B0C14"/>
    <w:rsid w:val="001B149F"/>
    <w:rsid w:val="001B1540"/>
    <w:rsid w:val="001B1CE2"/>
    <w:rsid w:val="001B1FF4"/>
    <w:rsid w:val="001B26CF"/>
    <w:rsid w:val="001B2F44"/>
    <w:rsid w:val="001B3087"/>
    <w:rsid w:val="001B3141"/>
    <w:rsid w:val="001B3232"/>
    <w:rsid w:val="001B39B9"/>
    <w:rsid w:val="001B42AF"/>
    <w:rsid w:val="001B53F7"/>
    <w:rsid w:val="001B563A"/>
    <w:rsid w:val="001B5FDC"/>
    <w:rsid w:val="001B69FB"/>
    <w:rsid w:val="001B715C"/>
    <w:rsid w:val="001B76F9"/>
    <w:rsid w:val="001B7DE4"/>
    <w:rsid w:val="001C05C1"/>
    <w:rsid w:val="001C3061"/>
    <w:rsid w:val="001C3155"/>
    <w:rsid w:val="001C3200"/>
    <w:rsid w:val="001C3276"/>
    <w:rsid w:val="001C3284"/>
    <w:rsid w:val="001C4937"/>
    <w:rsid w:val="001C4D42"/>
    <w:rsid w:val="001C50F2"/>
    <w:rsid w:val="001C588E"/>
    <w:rsid w:val="001C5EA9"/>
    <w:rsid w:val="001C6F8A"/>
    <w:rsid w:val="001C78DC"/>
    <w:rsid w:val="001C7A05"/>
    <w:rsid w:val="001D012E"/>
    <w:rsid w:val="001D09BC"/>
    <w:rsid w:val="001D1275"/>
    <w:rsid w:val="001D1D8C"/>
    <w:rsid w:val="001D2655"/>
    <w:rsid w:val="001D27AA"/>
    <w:rsid w:val="001D27F3"/>
    <w:rsid w:val="001D2E07"/>
    <w:rsid w:val="001D301E"/>
    <w:rsid w:val="001D393D"/>
    <w:rsid w:val="001D3CD4"/>
    <w:rsid w:val="001D3E5E"/>
    <w:rsid w:val="001D54B7"/>
    <w:rsid w:val="001D608D"/>
    <w:rsid w:val="001D60C4"/>
    <w:rsid w:val="001D60FC"/>
    <w:rsid w:val="001D65E6"/>
    <w:rsid w:val="001E0141"/>
    <w:rsid w:val="001E0655"/>
    <w:rsid w:val="001E07B9"/>
    <w:rsid w:val="001E0DCA"/>
    <w:rsid w:val="001E1242"/>
    <w:rsid w:val="001E1C55"/>
    <w:rsid w:val="001E1D6F"/>
    <w:rsid w:val="001E213E"/>
    <w:rsid w:val="001E223A"/>
    <w:rsid w:val="001E232D"/>
    <w:rsid w:val="001E237E"/>
    <w:rsid w:val="001E280B"/>
    <w:rsid w:val="001E28A2"/>
    <w:rsid w:val="001E2D93"/>
    <w:rsid w:val="001E2FC0"/>
    <w:rsid w:val="001E3278"/>
    <w:rsid w:val="001E3A59"/>
    <w:rsid w:val="001E3FF2"/>
    <w:rsid w:val="001E43BE"/>
    <w:rsid w:val="001E457D"/>
    <w:rsid w:val="001E4796"/>
    <w:rsid w:val="001E4954"/>
    <w:rsid w:val="001E4D55"/>
    <w:rsid w:val="001E539B"/>
    <w:rsid w:val="001E74F4"/>
    <w:rsid w:val="001F0DAD"/>
    <w:rsid w:val="001F2499"/>
    <w:rsid w:val="001F26CC"/>
    <w:rsid w:val="001F2F98"/>
    <w:rsid w:val="001F356B"/>
    <w:rsid w:val="001F48E5"/>
    <w:rsid w:val="001F49E8"/>
    <w:rsid w:val="001F4ADC"/>
    <w:rsid w:val="001F602A"/>
    <w:rsid w:val="001F6052"/>
    <w:rsid w:val="001F6505"/>
    <w:rsid w:val="001F7545"/>
    <w:rsid w:val="001F77EF"/>
    <w:rsid w:val="002001B5"/>
    <w:rsid w:val="00200B6E"/>
    <w:rsid w:val="0020162A"/>
    <w:rsid w:val="00201BD0"/>
    <w:rsid w:val="0020230C"/>
    <w:rsid w:val="0020248C"/>
    <w:rsid w:val="00202902"/>
    <w:rsid w:val="00202E46"/>
    <w:rsid w:val="00202FFD"/>
    <w:rsid w:val="002031C0"/>
    <w:rsid w:val="0020334B"/>
    <w:rsid w:val="00203D55"/>
    <w:rsid w:val="00204355"/>
    <w:rsid w:val="00204ECE"/>
    <w:rsid w:val="00206C08"/>
    <w:rsid w:val="0021106F"/>
    <w:rsid w:val="00211433"/>
    <w:rsid w:val="00211D2C"/>
    <w:rsid w:val="002121C5"/>
    <w:rsid w:val="00212CA7"/>
    <w:rsid w:val="0021331F"/>
    <w:rsid w:val="00213356"/>
    <w:rsid w:val="0021355F"/>
    <w:rsid w:val="0021442A"/>
    <w:rsid w:val="0021478E"/>
    <w:rsid w:val="00215624"/>
    <w:rsid w:val="002166C6"/>
    <w:rsid w:val="00217269"/>
    <w:rsid w:val="002174E7"/>
    <w:rsid w:val="0021764F"/>
    <w:rsid w:val="00217B44"/>
    <w:rsid w:val="00217C52"/>
    <w:rsid w:val="002203DE"/>
    <w:rsid w:val="002210B5"/>
    <w:rsid w:val="002221E2"/>
    <w:rsid w:val="00222444"/>
    <w:rsid w:val="00222A94"/>
    <w:rsid w:val="00222C65"/>
    <w:rsid w:val="00222C74"/>
    <w:rsid w:val="00222D6C"/>
    <w:rsid w:val="00222E8A"/>
    <w:rsid w:val="00223160"/>
    <w:rsid w:val="0022392B"/>
    <w:rsid w:val="002244EF"/>
    <w:rsid w:val="00225F37"/>
    <w:rsid w:val="00226219"/>
    <w:rsid w:val="00227785"/>
    <w:rsid w:val="00227913"/>
    <w:rsid w:val="00227F12"/>
    <w:rsid w:val="00230F25"/>
    <w:rsid w:val="002312C9"/>
    <w:rsid w:val="00231532"/>
    <w:rsid w:val="00231570"/>
    <w:rsid w:val="00231D4A"/>
    <w:rsid w:val="00232299"/>
    <w:rsid w:val="00234A67"/>
    <w:rsid w:val="00234C46"/>
    <w:rsid w:val="00234DD2"/>
    <w:rsid w:val="00234FCF"/>
    <w:rsid w:val="00235264"/>
    <w:rsid w:val="00235926"/>
    <w:rsid w:val="0023641B"/>
    <w:rsid w:val="00236D8E"/>
    <w:rsid w:val="002400DB"/>
    <w:rsid w:val="002401C2"/>
    <w:rsid w:val="002409A6"/>
    <w:rsid w:val="00240A00"/>
    <w:rsid w:val="002419E3"/>
    <w:rsid w:val="00241AD5"/>
    <w:rsid w:val="00241B84"/>
    <w:rsid w:val="002437F8"/>
    <w:rsid w:val="00243FED"/>
    <w:rsid w:val="00244B5B"/>
    <w:rsid w:val="0024507F"/>
    <w:rsid w:val="002454E3"/>
    <w:rsid w:val="0024711E"/>
    <w:rsid w:val="002516BB"/>
    <w:rsid w:val="002523DB"/>
    <w:rsid w:val="00252453"/>
    <w:rsid w:val="00252AF2"/>
    <w:rsid w:val="002533A9"/>
    <w:rsid w:val="0025391C"/>
    <w:rsid w:val="0025473E"/>
    <w:rsid w:val="002548A0"/>
    <w:rsid w:val="00254AF5"/>
    <w:rsid w:val="00254D24"/>
    <w:rsid w:val="00254FF8"/>
    <w:rsid w:val="002559B6"/>
    <w:rsid w:val="00255E80"/>
    <w:rsid w:val="00256710"/>
    <w:rsid w:val="002567D9"/>
    <w:rsid w:val="00257445"/>
    <w:rsid w:val="00257594"/>
    <w:rsid w:val="00257ACA"/>
    <w:rsid w:val="00257D15"/>
    <w:rsid w:val="0026028A"/>
    <w:rsid w:val="00261D35"/>
    <w:rsid w:val="002620E0"/>
    <w:rsid w:val="0026256F"/>
    <w:rsid w:val="0026267C"/>
    <w:rsid w:val="002627B1"/>
    <w:rsid w:val="002629F8"/>
    <w:rsid w:val="00263A40"/>
    <w:rsid w:val="0026428A"/>
    <w:rsid w:val="00265F65"/>
    <w:rsid w:val="00266224"/>
    <w:rsid w:val="0026647D"/>
    <w:rsid w:val="00266CC3"/>
    <w:rsid w:val="002679F5"/>
    <w:rsid w:val="00267A40"/>
    <w:rsid w:val="00267DC2"/>
    <w:rsid w:val="002700E4"/>
    <w:rsid w:val="00270349"/>
    <w:rsid w:val="0027153A"/>
    <w:rsid w:val="00271E9A"/>
    <w:rsid w:val="002722D4"/>
    <w:rsid w:val="00272315"/>
    <w:rsid w:val="00272D05"/>
    <w:rsid w:val="00273255"/>
    <w:rsid w:val="00273862"/>
    <w:rsid w:val="0027434E"/>
    <w:rsid w:val="00274E64"/>
    <w:rsid w:val="00274E67"/>
    <w:rsid w:val="0027556F"/>
    <w:rsid w:val="00275BAC"/>
    <w:rsid w:val="00275EF4"/>
    <w:rsid w:val="002776F6"/>
    <w:rsid w:val="0027773A"/>
    <w:rsid w:val="00280078"/>
    <w:rsid w:val="0028039E"/>
    <w:rsid w:val="00280F23"/>
    <w:rsid w:val="002813C9"/>
    <w:rsid w:val="00281980"/>
    <w:rsid w:val="00281BCE"/>
    <w:rsid w:val="00282B0F"/>
    <w:rsid w:val="00283A61"/>
    <w:rsid w:val="0028444F"/>
    <w:rsid w:val="00285C62"/>
    <w:rsid w:val="002900EF"/>
    <w:rsid w:val="00291F11"/>
    <w:rsid w:val="00292857"/>
    <w:rsid w:val="00292898"/>
    <w:rsid w:val="00292E97"/>
    <w:rsid w:val="002933A6"/>
    <w:rsid w:val="00293551"/>
    <w:rsid w:val="00293E72"/>
    <w:rsid w:val="0029445B"/>
    <w:rsid w:val="00294A54"/>
    <w:rsid w:val="00294DCE"/>
    <w:rsid w:val="00295208"/>
    <w:rsid w:val="00297284"/>
    <w:rsid w:val="002974FB"/>
    <w:rsid w:val="00297D18"/>
    <w:rsid w:val="00297D74"/>
    <w:rsid w:val="00297FAE"/>
    <w:rsid w:val="002A0191"/>
    <w:rsid w:val="002A0325"/>
    <w:rsid w:val="002A082B"/>
    <w:rsid w:val="002A0E22"/>
    <w:rsid w:val="002A15AA"/>
    <w:rsid w:val="002A1BD4"/>
    <w:rsid w:val="002A22F0"/>
    <w:rsid w:val="002A2E40"/>
    <w:rsid w:val="002A3358"/>
    <w:rsid w:val="002A4050"/>
    <w:rsid w:val="002A45FB"/>
    <w:rsid w:val="002A4BD0"/>
    <w:rsid w:val="002A4C2D"/>
    <w:rsid w:val="002A565F"/>
    <w:rsid w:val="002A573F"/>
    <w:rsid w:val="002A59A2"/>
    <w:rsid w:val="002A5ED1"/>
    <w:rsid w:val="002A61E2"/>
    <w:rsid w:val="002A6976"/>
    <w:rsid w:val="002A6E9A"/>
    <w:rsid w:val="002B07B7"/>
    <w:rsid w:val="002B10FC"/>
    <w:rsid w:val="002B224D"/>
    <w:rsid w:val="002B23FE"/>
    <w:rsid w:val="002B2620"/>
    <w:rsid w:val="002B26E4"/>
    <w:rsid w:val="002B330D"/>
    <w:rsid w:val="002B345C"/>
    <w:rsid w:val="002B4072"/>
    <w:rsid w:val="002B4451"/>
    <w:rsid w:val="002B4A7B"/>
    <w:rsid w:val="002B52A4"/>
    <w:rsid w:val="002B5A68"/>
    <w:rsid w:val="002B5F0B"/>
    <w:rsid w:val="002B60D6"/>
    <w:rsid w:val="002B7306"/>
    <w:rsid w:val="002B76F5"/>
    <w:rsid w:val="002C0A28"/>
    <w:rsid w:val="002C1202"/>
    <w:rsid w:val="002C16EB"/>
    <w:rsid w:val="002C1B87"/>
    <w:rsid w:val="002C2548"/>
    <w:rsid w:val="002C2845"/>
    <w:rsid w:val="002C28F2"/>
    <w:rsid w:val="002C3B98"/>
    <w:rsid w:val="002C3F22"/>
    <w:rsid w:val="002C40BD"/>
    <w:rsid w:val="002C476E"/>
    <w:rsid w:val="002C671C"/>
    <w:rsid w:val="002C720A"/>
    <w:rsid w:val="002D05BE"/>
    <w:rsid w:val="002D1809"/>
    <w:rsid w:val="002D1AB9"/>
    <w:rsid w:val="002D2672"/>
    <w:rsid w:val="002D268D"/>
    <w:rsid w:val="002D2E8C"/>
    <w:rsid w:val="002D31A6"/>
    <w:rsid w:val="002D50B6"/>
    <w:rsid w:val="002D5B29"/>
    <w:rsid w:val="002D6EDC"/>
    <w:rsid w:val="002D7180"/>
    <w:rsid w:val="002D7725"/>
    <w:rsid w:val="002D7938"/>
    <w:rsid w:val="002D7939"/>
    <w:rsid w:val="002D7B41"/>
    <w:rsid w:val="002E02BD"/>
    <w:rsid w:val="002E02C8"/>
    <w:rsid w:val="002E2BD7"/>
    <w:rsid w:val="002E3017"/>
    <w:rsid w:val="002E35B6"/>
    <w:rsid w:val="002E3B56"/>
    <w:rsid w:val="002E3D34"/>
    <w:rsid w:val="002E4218"/>
    <w:rsid w:val="002E4487"/>
    <w:rsid w:val="002E5813"/>
    <w:rsid w:val="002E5D21"/>
    <w:rsid w:val="002E61D8"/>
    <w:rsid w:val="002E686C"/>
    <w:rsid w:val="002E747F"/>
    <w:rsid w:val="002E7C5C"/>
    <w:rsid w:val="002F0026"/>
    <w:rsid w:val="002F0652"/>
    <w:rsid w:val="002F0B5D"/>
    <w:rsid w:val="002F0C4B"/>
    <w:rsid w:val="002F110E"/>
    <w:rsid w:val="002F1E10"/>
    <w:rsid w:val="002F360B"/>
    <w:rsid w:val="002F46EC"/>
    <w:rsid w:val="002F479D"/>
    <w:rsid w:val="002F4AF7"/>
    <w:rsid w:val="002F5D3A"/>
    <w:rsid w:val="002F6E62"/>
    <w:rsid w:val="002F71F9"/>
    <w:rsid w:val="002F72C9"/>
    <w:rsid w:val="002F7794"/>
    <w:rsid w:val="002F7C2C"/>
    <w:rsid w:val="0030081B"/>
    <w:rsid w:val="00300E00"/>
    <w:rsid w:val="0030224F"/>
    <w:rsid w:val="003034EB"/>
    <w:rsid w:val="00304007"/>
    <w:rsid w:val="00305617"/>
    <w:rsid w:val="00306AF8"/>
    <w:rsid w:val="00306F1C"/>
    <w:rsid w:val="00306F28"/>
    <w:rsid w:val="0030741F"/>
    <w:rsid w:val="00307E3A"/>
    <w:rsid w:val="00310921"/>
    <w:rsid w:val="0031122F"/>
    <w:rsid w:val="00311567"/>
    <w:rsid w:val="003128E3"/>
    <w:rsid w:val="00312C22"/>
    <w:rsid w:val="00312E04"/>
    <w:rsid w:val="00313537"/>
    <w:rsid w:val="00313B8E"/>
    <w:rsid w:val="00315927"/>
    <w:rsid w:val="00315CC0"/>
    <w:rsid w:val="00315F0D"/>
    <w:rsid w:val="00316121"/>
    <w:rsid w:val="00316A7B"/>
    <w:rsid w:val="00317581"/>
    <w:rsid w:val="00317806"/>
    <w:rsid w:val="00317815"/>
    <w:rsid w:val="003205F7"/>
    <w:rsid w:val="00320FBD"/>
    <w:rsid w:val="003222B2"/>
    <w:rsid w:val="00322D1E"/>
    <w:rsid w:val="003230A4"/>
    <w:rsid w:val="00323B2B"/>
    <w:rsid w:val="003243EE"/>
    <w:rsid w:val="00324743"/>
    <w:rsid w:val="00324A48"/>
    <w:rsid w:val="00325174"/>
    <w:rsid w:val="003252F0"/>
    <w:rsid w:val="00326FC0"/>
    <w:rsid w:val="003302B8"/>
    <w:rsid w:val="00330BBF"/>
    <w:rsid w:val="00331ECE"/>
    <w:rsid w:val="003326FB"/>
    <w:rsid w:val="00332723"/>
    <w:rsid w:val="00332A51"/>
    <w:rsid w:val="0033356B"/>
    <w:rsid w:val="00333FFC"/>
    <w:rsid w:val="00334AB6"/>
    <w:rsid w:val="00334FB0"/>
    <w:rsid w:val="00334FB6"/>
    <w:rsid w:val="00335BDC"/>
    <w:rsid w:val="00336BCB"/>
    <w:rsid w:val="0033762E"/>
    <w:rsid w:val="0033776F"/>
    <w:rsid w:val="00337C05"/>
    <w:rsid w:val="003401A7"/>
    <w:rsid w:val="00340A50"/>
    <w:rsid w:val="00341453"/>
    <w:rsid w:val="0034153E"/>
    <w:rsid w:val="00341A4B"/>
    <w:rsid w:val="0034224F"/>
    <w:rsid w:val="003427EA"/>
    <w:rsid w:val="003434D6"/>
    <w:rsid w:val="003437DC"/>
    <w:rsid w:val="00344B50"/>
    <w:rsid w:val="0034554C"/>
    <w:rsid w:val="003461CD"/>
    <w:rsid w:val="003463D4"/>
    <w:rsid w:val="003476B2"/>
    <w:rsid w:val="00347F68"/>
    <w:rsid w:val="003501D8"/>
    <w:rsid w:val="003507F8"/>
    <w:rsid w:val="003516A1"/>
    <w:rsid w:val="003521DE"/>
    <w:rsid w:val="00352655"/>
    <w:rsid w:val="00352EA7"/>
    <w:rsid w:val="003533BB"/>
    <w:rsid w:val="003537AF"/>
    <w:rsid w:val="0035429F"/>
    <w:rsid w:val="00354A31"/>
    <w:rsid w:val="003555E6"/>
    <w:rsid w:val="00355C6E"/>
    <w:rsid w:val="00355EDE"/>
    <w:rsid w:val="00355FE2"/>
    <w:rsid w:val="00356C67"/>
    <w:rsid w:val="00357F73"/>
    <w:rsid w:val="00360115"/>
    <w:rsid w:val="003602D4"/>
    <w:rsid w:val="00361A78"/>
    <w:rsid w:val="00361B74"/>
    <w:rsid w:val="00362CC2"/>
    <w:rsid w:val="00362DF7"/>
    <w:rsid w:val="00363765"/>
    <w:rsid w:val="003637BF"/>
    <w:rsid w:val="00363B2B"/>
    <w:rsid w:val="00364BA0"/>
    <w:rsid w:val="00364D15"/>
    <w:rsid w:val="0036602B"/>
    <w:rsid w:val="00367197"/>
    <w:rsid w:val="00370410"/>
    <w:rsid w:val="003706DD"/>
    <w:rsid w:val="00371167"/>
    <w:rsid w:val="003715DB"/>
    <w:rsid w:val="00371932"/>
    <w:rsid w:val="00371A57"/>
    <w:rsid w:val="0037276D"/>
    <w:rsid w:val="00375027"/>
    <w:rsid w:val="0037552D"/>
    <w:rsid w:val="003757C3"/>
    <w:rsid w:val="0037623A"/>
    <w:rsid w:val="00376773"/>
    <w:rsid w:val="0038006D"/>
    <w:rsid w:val="00380F18"/>
    <w:rsid w:val="00381658"/>
    <w:rsid w:val="00381F58"/>
    <w:rsid w:val="003821A8"/>
    <w:rsid w:val="0038236B"/>
    <w:rsid w:val="00383337"/>
    <w:rsid w:val="00383B2B"/>
    <w:rsid w:val="00383B9D"/>
    <w:rsid w:val="00383C18"/>
    <w:rsid w:val="003850C2"/>
    <w:rsid w:val="00385F28"/>
    <w:rsid w:val="00386BD3"/>
    <w:rsid w:val="00390527"/>
    <w:rsid w:val="0039103D"/>
    <w:rsid w:val="003911BF"/>
    <w:rsid w:val="003914AA"/>
    <w:rsid w:val="003915EB"/>
    <w:rsid w:val="0039192A"/>
    <w:rsid w:val="0039237A"/>
    <w:rsid w:val="00392F2C"/>
    <w:rsid w:val="003931EB"/>
    <w:rsid w:val="00393497"/>
    <w:rsid w:val="003936CB"/>
    <w:rsid w:val="00393941"/>
    <w:rsid w:val="00394BBB"/>
    <w:rsid w:val="00395780"/>
    <w:rsid w:val="00395A02"/>
    <w:rsid w:val="00396EDD"/>
    <w:rsid w:val="00397483"/>
    <w:rsid w:val="00397F6F"/>
    <w:rsid w:val="003A1032"/>
    <w:rsid w:val="003A178D"/>
    <w:rsid w:val="003A19A9"/>
    <w:rsid w:val="003A1DEB"/>
    <w:rsid w:val="003A2A80"/>
    <w:rsid w:val="003A5396"/>
    <w:rsid w:val="003A57DD"/>
    <w:rsid w:val="003A5AFB"/>
    <w:rsid w:val="003A6D1F"/>
    <w:rsid w:val="003B093D"/>
    <w:rsid w:val="003B1443"/>
    <w:rsid w:val="003B15A3"/>
    <w:rsid w:val="003B31F8"/>
    <w:rsid w:val="003B3253"/>
    <w:rsid w:val="003B3D76"/>
    <w:rsid w:val="003B4524"/>
    <w:rsid w:val="003B4CF5"/>
    <w:rsid w:val="003B53B6"/>
    <w:rsid w:val="003B53BE"/>
    <w:rsid w:val="003B548B"/>
    <w:rsid w:val="003B5551"/>
    <w:rsid w:val="003B5C4A"/>
    <w:rsid w:val="003B6208"/>
    <w:rsid w:val="003B681C"/>
    <w:rsid w:val="003B74BA"/>
    <w:rsid w:val="003C0155"/>
    <w:rsid w:val="003C151D"/>
    <w:rsid w:val="003C15FD"/>
    <w:rsid w:val="003C16BA"/>
    <w:rsid w:val="003C20C5"/>
    <w:rsid w:val="003C2391"/>
    <w:rsid w:val="003C2827"/>
    <w:rsid w:val="003C2EF1"/>
    <w:rsid w:val="003C3046"/>
    <w:rsid w:val="003C3A47"/>
    <w:rsid w:val="003C3BD7"/>
    <w:rsid w:val="003C41F6"/>
    <w:rsid w:val="003C4496"/>
    <w:rsid w:val="003C462F"/>
    <w:rsid w:val="003C63A0"/>
    <w:rsid w:val="003C7A9C"/>
    <w:rsid w:val="003C7C83"/>
    <w:rsid w:val="003D03B9"/>
    <w:rsid w:val="003D0DCB"/>
    <w:rsid w:val="003D1132"/>
    <w:rsid w:val="003D1BD4"/>
    <w:rsid w:val="003D1DD8"/>
    <w:rsid w:val="003D2053"/>
    <w:rsid w:val="003D2D3B"/>
    <w:rsid w:val="003D2D66"/>
    <w:rsid w:val="003D39C5"/>
    <w:rsid w:val="003D39CC"/>
    <w:rsid w:val="003D40EB"/>
    <w:rsid w:val="003D4111"/>
    <w:rsid w:val="003D4E97"/>
    <w:rsid w:val="003D4F96"/>
    <w:rsid w:val="003D5661"/>
    <w:rsid w:val="003D577E"/>
    <w:rsid w:val="003D586B"/>
    <w:rsid w:val="003D694B"/>
    <w:rsid w:val="003D69E9"/>
    <w:rsid w:val="003D6E9C"/>
    <w:rsid w:val="003D79BF"/>
    <w:rsid w:val="003D7FE2"/>
    <w:rsid w:val="003E089B"/>
    <w:rsid w:val="003E0D3A"/>
    <w:rsid w:val="003E236A"/>
    <w:rsid w:val="003E28A5"/>
    <w:rsid w:val="003E2E25"/>
    <w:rsid w:val="003E38F8"/>
    <w:rsid w:val="003E3911"/>
    <w:rsid w:val="003E4298"/>
    <w:rsid w:val="003E50BE"/>
    <w:rsid w:val="003E536F"/>
    <w:rsid w:val="003E5B6F"/>
    <w:rsid w:val="003E735A"/>
    <w:rsid w:val="003E774F"/>
    <w:rsid w:val="003E7C79"/>
    <w:rsid w:val="003E7EAF"/>
    <w:rsid w:val="003E7F8F"/>
    <w:rsid w:val="003F0BD3"/>
    <w:rsid w:val="003F140B"/>
    <w:rsid w:val="003F1867"/>
    <w:rsid w:val="003F1AD0"/>
    <w:rsid w:val="003F2730"/>
    <w:rsid w:val="003F2B81"/>
    <w:rsid w:val="003F2F6D"/>
    <w:rsid w:val="003F33ED"/>
    <w:rsid w:val="003F4768"/>
    <w:rsid w:val="003F47A7"/>
    <w:rsid w:val="003F49AE"/>
    <w:rsid w:val="003F4CE1"/>
    <w:rsid w:val="003F5BD1"/>
    <w:rsid w:val="003F5C0D"/>
    <w:rsid w:val="003F6859"/>
    <w:rsid w:val="003F7128"/>
    <w:rsid w:val="003F735A"/>
    <w:rsid w:val="003F7B26"/>
    <w:rsid w:val="003F7B99"/>
    <w:rsid w:val="003F7C54"/>
    <w:rsid w:val="004004D8"/>
    <w:rsid w:val="0040080B"/>
    <w:rsid w:val="004009C0"/>
    <w:rsid w:val="00400F7D"/>
    <w:rsid w:val="00401011"/>
    <w:rsid w:val="00401960"/>
    <w:rsid w:val="004022BD"/>
    <w:rsid w:val="00402717"/>
    <w:rsid w:val="00403724"/>
    <w:rsid w:val="00403B17"/>
    <w:rsid w:val="0040416E"/>
    <w:rsid w:val="00404DEF"/>
    <w:rsid w:val="00405C29"/>
    <w:rsid w:val="00405FCF"/>
    <w:rsid w:val="00406A6A"/>
    <w:rsid w:val="0040769C"/>
    <w:rsid w:val="00407D98"/>
    <w:rsid w:val="00410983"/>
    <w:rsid w:val="00410D11"/>
    <w:rsid w:val="00411947"/>
    <w:rsid w:val="00411D69"/>
    <w:rsid w:val="00412708"/>
    <w:rsid w:val="004129E6"/>
    <w:rsid w:val="00412DF1"/>
    <w:rsid w:val="00413ABC"/>
    <w:rsid w:val="0041414F"/>
    <w:rsid w:val="00415CF7"/>
    <w:rsid w:val="00417597"/>
    <w:rsid w:val="00417920"/>
    <w:rsid w:val="00417D1A"/>
    <w:rsid w:val="0042060E"/>
    <w:rsid w:val="00420DEE"/>
    <w:rsid w:val="00420F7D"/>
    <w:rsid w:val="00421397"/>
    <w:rsid w:val="004215F5"/>
    <w:rsid w:val="00421E8F"/>
    <w:rsid w:val="004222FF"/>
    <w:rsid w:val="00422DD5"/>
    <w:rsid w:val="00423202"/>
    <w:rsid w:val="004247D7"/>
    <w:rsid w:val="0042500B"/>
    <w:rsid w:val="004257D3"/>
    <w:rsid w:val="00425CF6"/>
    <w:rsid w:val="0042752A"/>
    <w:rsid w:val="00427956"/>
    <w:rsid w:val="00430CD1"/>
    <w:rsid w:val="004315EA"/>
    <w:rsid w:val="00431E24"/>
    <w:rsid w:val="00432186"/>
    <w:rsid w:val="0043269C"/>
    <w:rsid w:val="00432E00"/>
    <w:rsid w:val="00432F10"/>
    <w:rsid w:val="00432FA5"/>
    <w:rsid w:val="004336B7"/>
    <w:rsid w:val="0043586E"/>
    <w:rsid w:val="00435985"/>
    <w:rsid w:val="00435B2B"/>
    <w:rsid w:val="00435B75"/>
    <w:rsid w:val="0043606A"/>
    <w:rsid w:val="004360E5"/>
    <w:rsid w:val="00436998"/>
    <w:rsid w:val="00436F67"/>
    <w:rsid w:val="004372EE"/>
    <w:rsid w:val="004405D0"/>
    <w:rsid w:val="00441A38"/>
    <w:rsid w:val="00442C44"/>
    <w:rsid w:val="004438EC"/>
    <w:rsid w:val="00443BFC"/>
    <w:rsid w:val="004457D5"/>
    <w:rsid w:val="00445EAF"/>
    <w:rsid w:val="00446905"/>
    <w:rsid w:val="00446EF4"/>
    <w:rsid w:val="00450125"/>
    <w:rsid w:val="00450327"/>
    <w:rsid w:val="00450F6E"/>
    <w:rsid w:val="00451159"/>
    <w:rsid w:val="0045147F"/>
    <w:rsid w:val="0045218A"/>
    <w:rsid w:val="0045272B"/>
    <w:rsid w:val="00452802"/>
    <w:rsid w:val="004539A9"/>
    <w:rsid w:val="004539DC"/>
    <w:rsid w:val="00454105"/>
    <w:rsid w:val="00454C8B"/>
    <w:rsid w:val="00455AB6"/>
    <w:rsid w:val="00455D7F"/>
    <w:rsid w:val="00456950"/>
    <w:rsid w:val="0045718A"/>
    <w:rsid w:val="0045771C"/>
    <w:rsid w:val="00457D01"/>
    <w:rsid w:val="00457DAF"/>
    <w:rsid w:val="004604FF"/>
    <w:rsid w:val="00460780"/>
    <w:rsid w:val="00460A42"/>
    <w:rsid w:val="00460B48"/>
    <w:rsid w:val="00460CDF"/>
    <w:rsid w:val="00461536"/>
    <w:rsid w:val="004617C1"/>
    <w:rsid w:val="00462DCA"/>
    <w:rsid w:val="00463A18"/>
    <w:rsid w:val="00464498"/>
    <w:rsid w:val="004645AE"/>
    <w:rsid w:val="004645CE"/>
    <w:rsid w:val="004652DD"/>
    <w:rsid w:val="00465432"/>
    <w:rsid w:val="00465831"/>
    <w:rsid w:val="00465AF3"/>
    <w:rsid w:val="00465B65"/>
    <w:rsid w:val="00466097"/>
    <w:rsid w:val="00466143"/>
    <w:rsid w:val="004671B7"/>
    <w:rsid w:val="00467488"/>
    <w:rsid w:val="00467E2A"/>
    <w:rsid w:val="0047008B"/>
    <w:rsid w:val="0047031D"/>
    <w:rsid w:val="004705A8"/>
    <w:rsid w:val="0047062C"/>
    <w:rsid w:val="00471740"/>
    <w:rsid w:val="00471881"/>
    <w:rsid w:val="00471A25"/>
    <w:rsid w:val="00472211"/>
    <w:rsid w:val="00472FC3"/>
    <w:rsid w:val="00473CF3"/>
    <w:rsid w:val="0047413A"/>
    <w:rsid w:val="0047428D"/>
    <w:rsid w:val="00474980"/>
    <w:rsid w:val="004750C2"/>
    <w:rsid w:val="00475669"/>
    <w:rsid w:val="004759DD"/>
    <w:rsid w:val="00476E4F"/>
    <w:rsid w:val="004770C8"/>
    <w:rsid w:val="004775AA"/>
    <w:rsid w:val="0048046F"/>
    <w:rsid w:val="0048078E"/>
    <w:rsid w:val="00481012"/>
    <w:rsid w:val="00481631"/>
    <w:rsid w:val="00481A32"/>
    <w:rsid w:val="00482BC0"/>
    <w:rsid w:val="00483658"/>
    <w:rsid w:val="00483778"/>
    <w:rsid w:val="00483F1C"/>
    <w:rsid w:val="00484E69"/>
    <w:rsid w:val="00485B71"/>
    <w:rsid w:val="00485ED6"/>
    <w:rsid w:val="00485F4E"/>
    <w:rsid w:val="00486A14"/>
    <w:rsid w:val="00486DF9"/>
    <w:rsid w:val="004870D3"/>
    <w:rsid w:val="004873A6"/>
    <w:rsid w:val="004875C4"/>
    <w:rsid w:val="0048798D"/>
    <w:rsid w:val="00487CF0"/>
    <w:rsid w:val="004911F2"/>
    <w:rsid w:val="00491B52"/>
    <w:rsid w:val="00491E34"/>
    <w:rsid w:val="00493499"/>
    <w:rsid w:val="0049521C"/>
    <w:rsid w:val="004954A6"/>
    <w:rsid w:val="00495620"/>
    <w:rsid w:val="00495B6B"/>
    <w:rsid w:val="0049642D"/>
    <w:rsid w:val="00496B4A"/>
    <w:rsid w:val="00497527"/>
    <w:rsid w:val="00497A7D"/>
    <w:rsid w:val="00497D41"/>
    <w:rsid w:val="004A0040"/>
    <w:rsid w:val="004A0176"/>
    <w:rsid w:val="004A191A"/>
    <w:rsid w:val="004A1A27"/>
    <w:rsid w:val="004A3101"/>
    <w:rsid w:val="004A4A9B"/>
    <w:rsid w:val="004A5ACE"/>
    <w:rsid w:val="004A6606"/>
    <w:rsid w:val="004A691D"/>
    <w:rsid w:val="004A6E83"/>
    <w:rsid w:val="004A6EC7"/>
    <w:rsid w:val="004B0B10"/>
    <w:rsid w:val="004B1CE5"/>
    <w:rsid w:val="004B2CF6"/>
    <w:rsid w:val="004B3F02"/>
    <w:rsid w:val="004B4223"/>
    <w:rsid w:val="004B446E"/>
    <w:rsid w:val="004B45D5"/>
    <w:rsid w:val="004B4E2F"/>
    <w:rsid w:val="004B5074"/>
    <w:rsid w:val="004B51F2"/>
    <w:rsid w:val="004B586C"/>
    <w:rsid w:val="004B5AF8"/>
    <w:rsid w:val="004B67BA"/>
    <w:rsid w:val="004B6D2C"/>
    <w:rsid w:val="004B7A18"/>
    <w:rsid w:val="004B7FB2"/>
    <w:rsid w:val="004C127A"/>
    <w:rsid w:val="004C2617"/>
    <w:rsid w:val="004C2ACA"/>
    <w:rsid w:val="004C2FE4"/>
    <w:rsid w:val="004C33AA"/>
    <w:rsid w:val="004C36F0"/>
    <w:rsid w:val="004C3752"/>
    <w:rsid w:val="004C3DF3"/>
    <w:rsid w:val="004C43F1"/>
    <w:rsid w:val="004C476A"/>
    <w:rsid w:val="004C5766"/>
    <w:rsid w:val="004C5807"/>
    <w:rsid w:val="004C5CBF"/>
    <w:rsid w:val="004C5DA8"/>
    <w:rsid w:val="004C6AF9"/>
    <w:rsid w:val="004C743E"/>
    <w:rsid w:val="004C75EC"/>
    <w:rsid w:val="004C7E38"/>
    <w:rsid w:val="004D00B2"/>
    <w:rsid w:val="004D0670"/>
    <w:rsid w:val="004D0FCD"/>
    <w:rsid w:val="004D1981"/>
    <w:rsid w:val="004D1B8B"/>
    <w:rsid w:val="004D245D"/>
    <w:rsid w:val="004D2C0F"/>
    <w:rsid w:val="004D2EB6"/>
    <w:rsid w:val="004D362B"/>
    <w:rsid w:val="004D3A8F"/>
    <w:rsid w:val="004D3C6C"/>
    <w:rsid w:val="004D43BA"/>
    <w:rsid w:val="004D501C"/>
    <w:rsid w:val="004D50FD"/>
    <w:rsid w:val="004D52A9"/>
    <w:rsid w:val="004D5EBB"/>
    <w:rsid w:val="004D62E6"/>
    <w:rsid w:val="004D6A78"/>
    <w:rsid w:val="004D6AFB"/>
    <w:rsid w:val="004D70BB"/>
    <w:rsid w:val="004D7AA4"/>
    <w:rsid w:val="004D7E41"/>
    <w:rsid w:val="004E0079"/>
    <w:rsid w:val="004E118E"/>
    <w:rsid w:val="004E1832"/>
    <w:rsid w:val="004E2A19"/>
    <w:rsid w:val="004E327B"/>
    <w:rsid w:val="004E430C"/>
    <w:rsid w:val="004E5614"/>
    <w:rsid w:val="004E61C0"/>
    <w:rsid w:val="004E63B6"/>
    <w:rsid w:val="004E6855"/>
    <w:rsid w:val="004E7324"/>
    <w:rsid w:val="004E78AE"/>
    <w:rsid w:val="004E7CA8"/>
    <w:rsid w:val="004F00D0"/>
    <w:rsid w:val="004F0554"/>
    <w:rsid w:val="004F10A5"/>
    <w:rsid w:val="004F17D8"/>
    <w:rsid w:val="004F2257"/>
    <w:rsid w:val="004F2DD5"/>
    <w:rsid w:val="004F2F04"/>
    <w:rsid w:val="004F32BF"/>
    <w:rsid w:val="004F3439"/>
    <w:rsid w:val="004F3816"/>
    <w:rsid w:val="004F3A79"/>
    <w:rsid w:val="004F3B49"/>
    <w:rsid w:val="004F3D26"/>
    <w:rsid w:val="004F430E"/>
    <w:rsid w:val="004F5553"/>
    <w:rsid w:val="004F652A"/>
    <w:rsid w:val="004F6CE5"/>
    <w:rsid w:val="004F7497"/>
    <w:rsid w:val="00500261"/>
    <w:rsid w:val="005006D1"/>
    <w:rsid w:val="0050104A"/>
    <w:rsid w:val="0050207F"/>
    <w:rsid w:val="00502850"/>
    <w:rsid w:val="005031E5"/>
    <w:rsid w:val="0050338F"/>
    <w:rsid w:val="0050541B"/>
    <w:rsid w:val="005054D7"/>
    <w:rsid w:val="00505950"/>
    <w:rsid w:val="0050604C"/>
    <w:rsid w:val="00506352"/>
    <w:rsid w:val="0050773C"/>
    <w:rsid w:val="00507C9F"/>
    <w:rsid w:val="00507D90"/>
    <w:rsid w:val="00507DAF"/>
    <w:rsid w:val="00507EFA"/>
    <w:rsid w:val="005101C1"/>
    <w:rsid w:val="00510670"/>
    <w:rsid w:val="00510A59"/>
    <w:rsid w:val="00510C27"/>
    <w:rsid w:val="005121CD"/>
    <w:rsid w:val="005124E3"/>
    <w:rsid w:val="00513831"/>
    <w:rsid w:val="00513844"/>
    <w:rsid w:val="0051405C"/>
    <w:rsid w:val="00514EF6"/>
    <w:rsid w:val="00515D49"/>
    <w:rsid w:val="005164DD"/>
    <w:rsid w:val="00516CA4"/>
    <w:rsid w:val="0051747A"/>
    <w:rsid w:val="0051750A"/>
    <w:rsid w:val="005176B8"/>
    <w:rsid w:val="0052056D"/>
    <w:rsid w:val="0052148F"/>
    <w:rsid w:val="005217A6"/>
    <w:rsid w:val="005217E9"/>
    <w:rsid w:val="005225A9"/>
    <w:rsid w:val="00522BC5"/>
    <w:rsid w:val="00522E54"/>
    <w:rsid w:val="005235CC"/>
    <w:rsid w:val="00523DFC"/>
    <w:rsid w:val="00525F05"/>
    <w:rsid w:val="0052638B"/>
    <w:rsid w:val="00526DB8"/>
    <w:rsid w:val="005273D1"/>
    <w:rsid w:val="005276D1"/>
    <w:rsid w:val="0052793A"/>
    <w:rsid w:val="005300C0"/>
    <w:rsid w:val="00530282"/>
    <w:rsid w:val="00530378"/>
    <w:rsid w:val="0053109A"/>
    <w:rsid w:val="0053158E"/>
    <w:rsid w:val="005315A5"/>
    <w:rsid w:val="00532407"/>
    <w:rsid w:val="0053264B"/>
    <w:rsid w:val="0053355B"/>
    <w:rsid w:val="0053356B"/>
    <w:rsid w:val="00535E27"/>
    <w:rsid w:val="005373C8"/>
    <w:rsid w:val="00537791"/>
    <w:rsid w:val="005401B3"/>
    <w:rsid w:val="0054050A"/>
    <w:rsid w:val="0054128C"/>
    <w:rsid w:val="00541A7A"/>
    <w:rsid w:val="005421D6"/>
    <w:rsid w:val="0054233F"/>
    <w:rsid w:val="00542395"/>
    <w:rsid w:val="00542924"/>
    <w:rsid w:val="00542ABF"/>
    <w:rsid w:val="00542B16"/>
    <w:rsid w:val="005431D6"/>
    <w:rsid w:val="005436D5"/>
    <w:rsid w:val="00543FB2"/>
    <w:rsid w:val="00544419"/>
    <w:rsid w:val="00544807"/>
    <w:rsid w:val="00545797"/>
    <w:rsid w:val="00545E64"/>
    <w:rsid w:val="0054607C"/>
    <w:rsid w:val="005465A3"/>
    <w:rsid w:val="0054730D"/>
    <w:rsid w:val="00547464"/>
    <w:rsid w:val="00547656"/>
    <w:rsid w:val="00547759"/>
    <w:rsid w:val="00547815"/>
    <w:rsid w:val="00550AD2"/>
    <w:rsid w:val="00550FB5"/>
    <w:rsid w:val="005511C2"/>
    <w:rsid w:val="0055180D"/>
    <w:rsid w:val="00551FBD"/>
    <w:rsid w:val="005521A5"/>
    <w:rsid w:val="00552FAF"/>
    <w:rsid w:val="005532A2"/>
    <w:rsid w:val="00553744"/>
    <w:rsid w:val="00553B24"/>
    <w:rsid w:val="00553EBC"/>
    <w:rsid w:val="00554407"/>
    <w:rsid w:val="005564B0"/>
    <w:rsid w:val="0055658F"/>
    <w:rsid w:val="005572B7"/>
    <w:rsid w:val="00560286"/>
    <w:rsid w:val="0056076A"/>
    <w:rsid w:val="00560BA4"/>
    <w:rsid w:val="00560D1B"/>
    <w:rsid w:val="00561674"/>
    <w:rsid w:val="005640F1"/>
    <w:rsid w:val="005643A5"/>
    <w:rsid w:val="005645F5"/>
    <w:rsid w:val="00564966"/>
    <w:rsid w:val="00564DF8"/>
    <w:rsid w:val="0056588A"/>
    <w:rsid w:val="00565A50"/>
    <w:rsid w:val="00567720"/>
    <w:rsid w:val="005706E9"/>
    <w:rsid w:val="0057077D"/>
    <w:rsid w:val="0057082E"/>
    <w:rsid w:val="00570B8D"/>
    <w:rsid w:val="00570DBC"/>
    <w:rsid w:val="00572015"/>
    <w:rsid w:val="0057240C"/>
    <w:rsid w:val="00572C3A"/>
    <w:rsid w:val="00572D53"/>
    <w:rsid w:val="00572EEF"/>
    <w:rsid w:val="00572FC4"/>
    <w:rsid w:val="005730DC"/>
    <w:rsid w:val="0057401D"/>
    <w:rsid w:val="00574459"/>
    <w:rsid w:val="0057473B"/>
    <w:rsid w:val="00574BD1"/>
    <w:rsid w:val="00575C88"/>
    <w:rsid w:val="00575EB7"/>
    <w:rsid w:val="005760E1"/>
    <w:rsid w:val="00577225"/>
    <w:rsid w:val="0058011D"/>
    <w:rsid w:val="00580129"/>
    <w:rsid w:val="005805BA"/>
    <w:rsid w:val="00581828"/>
    <w:rsid w:val="0058195D"/>
    <w:rsid w:val="0058207D"/>
    <w:rsid w:val="0058232C"/>
    <w:rsid w:val="005826F0"/>
    <w:rsid w:val="00583113"/>
    <w:rsid w:val="0058464A"/>
    <w:rsid w:val="005849D4"/>
    <w:rsid w:val="005850E9"/>
    <w:rsid w:val="005852A2"/>
    <w:rsid w:val="00585C9D"/>
    <w:rsid w:val="00585D85"/>
    <w:rsid w:val="00585E45"/>
    <w:rsid w:val="00586683"/>
    <w:rsid w:val="0058691A"/>
    <w:rsid w:val="00587D34"/>
    <w:rsid w:val="0059059B"/>
    <w:rsid w:val="00590BA0"/>
    <w:rsid w:val="00590D2C"/>
    <w:rsid w:val="00590F9F"/>
    <w:rsid w:val="0059173E"/>
    <w:rsid w:val="00591C5D"/>
    <w:rsid w:val="00591DAD"/>
    <w:rsid w:val="00592762"/>
    <w:rsid w:val="005937C0"/>
    <w:rsid w:val="00594222"/>
    <w:rsid w:val="005942EF"/>
    <w:rsid w:val="0059448E"/>
    <w:rsid w:val="0059503D"/>
    <w:rsid w:val="00595178"/>
    <w:rsid w:val="005953B8"/>
    <w:rsid w:val="00595EAB"/>
    <w:rsid w:val="00596621"/>
    <w:rsid w:val="005966D8"/>
    <w:rsid w:val="00596A3E"/>
    <w:rsid w:val="005974A6"/>
    <w:rsid w:val="005978F4"/>
    <w:rsid w:val="00597A56"/>
    <w:rsid w:val="005A0343"/>
    <w:rsid w:val="005A0BA4"/>
    <w:rsid w:val="005A2D68"/>
    <w:rsid w:val="005A3793"/>
    <w:rsid w:val="005A38DB"/>
    <w:rsid w:val="005A3A50"/>
    <w:rsid w:val="005A3E63"/>
    <w:rsid w:val="005A44A8"/>
    <w:rsid w:val="005A5297"/>
    <w:rsid w:val="005A694A"/>
    <w:rsid w:val="005A6963"/>
    <w:rsid w:val="005A6C1D"/>
    <w:rsid w:val="005A6CAB"/>
    <w:rsid w:val="005A6ED1"/>
    <w:rsid w:val="005B047F"/>
    <w:rsid w:val="005B0488"/>
    <w:rsid w:val="005B06FF"/>
    <w:rsid w:val="005B0C8A"/>
    <w:rsid w:val="005B1AED"/>
    <w:rsid w:val="005B1D61"/>
    <w:rsid w:val="005B231F"/>
    <w:rsid w:val="005B36F9"/>
    <w:rsid w:val="005B46B3"/>
    <w:rsid w:val="005B46C7"/>
    <w:rsid w:val="005B4FC1"/>
    <w:rsid w:val="005B55E5"/>
    <w:rsid w:val="005B602C"/>
    <w:rsid w:val="005B62C4"/>
    <w:rsid w:val="005B6D4F"/>
    <w:rsid w:val="005B6D87"/>
    <w:rsid w:val="005B724C"/>
    <w:rsid w:val="005B7E18"/>
    <w:rsid w:val="005C03B2"/>
    <w:rsid w:val="005C0600"/>
    <w:rsid w:val="005C0CEC"/>
    <w:rsid w:val="005C1DEB"/>
    <w:rsid w:val="005C35BD"/>
    <w:rsid w:val="005C3FD3"/>
    <w:rsid w:val="005C548C"/>
    <w:rsid w:val="005C5D4D"/>
    <w:rsid w:val="005C61BC"/>
    <w:rsid w:val="005C639B"/>
    <w:rsid w:val="005C6FA1"/>
    <w:rsid w:val="005D10E7"/>
    <w:rsid w:val="005D12D6"/>
    <w:rsid w:val="005D18BC"/>
    <w:rsid w:val="005D19B9"/>
    <w:rsid w:val="005D1B22"/>
    <w:rsid w:val="005D22A2"/>
    <w:rsid w:val="005D25E8"/>
    <w:rsid w:val="005D26AC"/>
    <w:rsid w:val="005D3434"/>
    <w:rsid w:val="005D3AAF"/>
    <w:rsid w:val="005D4918"/>
    <w:rsid w:val="005D51A7"/>
    <w:rsid w:val="005D5312"/>
    <w:rsid w:val="005D5C92"/>
    <w:rsid w:val="005D5CC5"/>
    <w:rsid w:val="005D5DD8"/>
    <w:rsid w:val="005E01E2"/>
    <w:rsid w:val="005E09D2"/>
    <w:rsid w:val="005E0E7D"/>
    <w:rsid w:val="005E1BD0"/>
    <w:rsid w:val="005E2052"/>
    <w:rsid w:val="005E2F87"/>
    <w:rsid w:val="005E31C6"/>
    <w:rsid w:val="005E328A"/>
    <w:rsid w:val="005E3648"/>
    <w:rsid w:val="005E48FF"/>
    <w:rsid w:val="005E6B49"/>
    <w:rsid w:val="005E7ABA"/>
    <w:rsid w:val="005F02E4"/>
    <w:rsid w:val="005F0F7F"/>
    <w:rsid w:val="005F19D0"/>
    <w:rsid w:val="005F2185"/>
    <w:rsid w:val="005F2BB9"/>
    <w:rsid w:val="005F2D16"/>
    <w:rsid w:val="005F5429"/>
    <w:rsid w:val="005F60D6"/>
    <w:rsid w:val="005F6882"/>
    <w:rsid w:val="005F68D5"/>
    <w:rsid w:val="005F70B0"/>
    <w:rsid w:val="005F72E4"/>
    <w:rsid w:val="005F7534"/>
    <w:rsid w:val="0060021C"/>
    <w:rsid w:val="00600C36"/>
    <w:rsid w:val="006019D2"/>
    <w:rsid w:val="00604324"/>
    <w:rsid w:val="00605EDD"/>
    <w:rsid w:val="006105E8"/>
    <w:rsid w:val="0061078E"/>
    <w:rsid w:val="0061095C"/>
    <w:rsid w:val="00612576"/>
    <w:rsid w:val="00612686"/>
    <w:rsid w:val="00612C46"/>
    <w:rsid w:val="0061336F"/>
    <w:rsid w:val="006138E2"/>
    <w:rsid w:val="00613E6E"/>
    <w:rsid w:val="00614153"/>
    <w:rsid w:val="00614367"/>
    <w:rsid w:val="0061452C"/>
    <w:rsid w:val="0061489D"/>
    <w:rsid w:val="00614D42"/>
    <w:rsid w:val="006160B6"/>
    <w:rsid w:val="0061697D"/>
    <w:rsid w:val="00616B0F"/>
    <w:rsid w:val="006204B1"/>
    <w:rsid w:val="006213A2"/>
    <w:rsid w:val="00621747"/>
    <w:rsid w:val="00621A37"/>
    <w:rsid w:val="00621F43"/>
    <w:rsid w:val="00622277"/>
    <w:rsid w:val="00622646"/>
    <w:rsid w:val="00622A60"/>
    <w:rsid w:val="00622BB8"/>
    <w:rsid w:val="0062326C"/>
    <w:rsid w:val="006232E4"/>
    <w:rsid w:val="00623E2E"/>
    <w:rsid w:val="006246ED"/>
    <w:rsid w:val="00624FE9"/>
    <w:rsid w:val="006252C6"/>
    <w:rsid w:val="00625782"/>
    <w:rsid w:val="006257AE"/>
    <w:rsid w:val="00625C93"/>
    <w:rsid w:val="00626466"/>
    <w:rsid w:val="00626DFC"/>
    <w:rsid w:val="00626E05"/>
    <w:rsid w:val="00626E3D"/>
    <w:rsid w:val="00627D3C"/>
    <w:rsid w:val="00630A5B"/>
    <w:rsid w:val="00630E6F"/>
    <w:rsid w:val="0063178B"/>
    <w:rsid w:val="00631B03"/>
    <w:rsid w:val="00631F67"/>
    <w:rsid w:val="00631F6E"/>
    <w:rsid w:val="006324B2"/>
    <w:rsid w:val="00632822"/>
    <w:rsid w:val="00632C25"/>
    <w:rsid w:val="00632E56"/>
    <w:rsid w:val="006341A4"/>
    <w:rsid w:val="00634969"/>
    <w:rsid w:val="00634E48"/>
    <w:rsid w:val="00635189"/>
    <w:rsid w:val="0063542C"/>
    <w:rsid w:val="0063591A"/>
    <w:rsid w:val="00635927"/>
    <w:rsid w:val="0063594E"/>
    <w:rsid w:val="006359B0"/>
    <w:rsid w:val="00636444"/>
    <w:rsid w:val="006409CE"/>
    <w:rsid w:val="00642C36"/>
    <w:rsid w:val="00642F3E"/>
    <w:rsid w:val="00643A55"/>
    <w:rsid w:val="00643CA1"/>
    <w:rsid w:val="00644583"/>
    <w:rsid w:val="00644594"/>
    <w:rsid w:val="0064467C"/>
    <w:rsid w:val="00644BD3"/>
    <w:rsid w:val="00644BF9"/>
    <w:rsid w:val="00644FE7"/>
    <w:rsid w:val="00645354"/>
    <w:rsid w:val="00645AF5"/>
    <w:rsid w:val="00646801"/>
    <w:rsid w:val="00646EAC"/>
    <w:rsid w:val="00647010"/>
    <w:rsid w:val="006472DF"/>
    <w:rsid w:val="00647A51"/>
    <w:rsid w:val="0065062B"/>
    <w:rsid w:val="00650896"/>
    <w:rsid w:val="00650AEF"/>
    <w:rsid w:val="0065157E"/>
    <w:rsid w:val="00651647"/>
    <w:rsid w:val="00653895"/>
    <w:rsid w:val="00653ECA"/>
    <w:rsid w:val="00654164"/>
    <w:rsid w:val="0065473C"/>
    <w:rsid w:val="00654EFA"/>
    <w:rsid w:val="00654F27"/>
    <w:rsid w:val="00654FEC"/>
    <w:rsid w:val="0065524D"/>
    <w:rsid w:val="00655782"/>
    <w:rsid w:val="00655A2F"/>
    <w:rsid w:val="00655AC0"/>
    <w:rsid w:val="006570D2"/>
    <w:rsid w:val="0065757F"/>
    <w:rsid w:val="00657CB7"/>
    <w:rsid w:val="00660461"/>
    <w:rsid w:val="00660803"/>
    <w:rsid w:val="00661D6A"/>
    <w:rsid w:val="00661E27"/>
    <w:rsid w:val="006633A6"/>
    <w:rsid w:val="00663A12"/>
    <w:rsid w:val="00663C67"/>
    <w:rsid w:val="00663C7A"/>
    <w:rsid w:val="00664D8B"/>
    <w:rsid w:val="00665208"/>
    <w:rsid w:val="00665292"/>
    <w:rsid w:val="00665E94"/>
    <w:rsid w:val="006662C0"/>
    <w:rsid w:val="006669DC"/>
    <w:rsid w:val="00667424"/>
    <w:rsid w:val="00670CB5"/>
    <w:rsid w:val="00670F14"/>
    <w:rsid w:val="0067106B"/>
    <w:rsid w:val="00671C8B"/>
    <w:rsid w:val="00672E74"/>
    <w:rsid w:val="00676650"/>
    <w:rsid w:val="00677264"/>
    <w:rsid w:val="006773CA"/>
    <w:rsid w:val="006801E7"/>
    <w:rsid w:val="00681BD5"/>
    <w:rsid w:val="006824A1"/>
    <w:rsid w:val="00682865"/>
    <w:rsid w:val="006828F6"/>
    <w:rsid w:val="00685177"/>
    <w:rsid w:val="006860B9"/>
    <w:rsid w:val="00686DA5"/>
    <w:rsid w:val="006911F9"/>
    <w:rsid w:val="006913AB"/>
    <w:rsid w:val="0069144E"/>
    <w:rsid w:val="00691E2D"/>
    <w:rsid w:val="0069262A"/>
    <w:rsid w:val="00692CD9"/>
    <w:rsid w:val="00692E74"/>
    <w:rsid w:val="00693172"/>
    <w:rsid w:val="006934B6"/>
    <w:rsid w:val="0069469E"/>
    <w:rsid w:val="006947B8"/>
    <w:rsid w:val="006951EC"/>
    <w:rsid w:val="00696487"/>
    <w:rsid w:val="00697EA5"/>
    <w:rsid w:val="00697EA7"/>
    <w:rsid w:val="00697EB5"/>
    <w:rsid w:val="006A0619"/>
    <w:rsid w:val="006A076F"/>
    <w:rsid w:val="006A096E"/>
    <w:rsid w:val="006A1136"/>
    <w:rsid w:val="006A2566"/>
    <w:rsid w:val="006A282A"/>
    <w:rsid w:val="006A2835"/>
    <w:rsid w:val="006A31E5"/>
    <w:rsid w:val="006A34AB"/>
    <w:rsid w:val="006A34ED"/>
    <w:rsid w:val="006A4238"/>
    <w:rsid w:val="006A4A05"/>
    <w:rsid w:val="006A50C5"/>
    <w:rsid w:val="006A5777"/>
    <w:rsid w:val="006A5930"/>
    <w:rsid w:val="006A5B59"/>
    <w:rsid w:val="006A5E7D"/>
    <w:rsid w:val="006A62C3"/>
    <w:rsid w:val="006A68FF"/>
    <w:rsid w:val="006A76B2"/>
    <w:rsid w:val="006A7B6C"/>
    <w:rsid w:val="006B014A"/>
    <w:rsid w:val="006B014D"/>
    <w:rsid w:val="006B024B"/>
    <w:rsid w:val="006B0B66"/>
    <w:rsid w:val="006B17A0"/>
    <w:rsid w:val="006B204A"/>
    <w:rsid w:val="006B313C"/>
    <w:rsid w:val="006B31C2"/>
    <w:rsid w:val="006B358E"/>
    <w:rsid w:val="006B36E9"/>
    <w:rsid w:val="006B44AF"/>
    <w:rsid w:val="006B5233"/>
    <w:rsid w:val="006B5E7A"/>
    <w:rsid w:val="006B63F6"/>
    <w:rsid w:val="006B6D25"/>
    <w:rsid w:val="006B7534"/>
    <w:rsid w:val="006B7CDB"/>
    <w:rsid w:val="006C086B"/>
    <w:rsid w:val="006C11A8"/>
    <w:rsid w:val="006C15AE"/>
    <w:rsid w:val="006C1E6A"/>
    <w:rsid w:val="006C33BC"/>
    <w:rsid w:val="006C3466"/>
    <w:rsid w:val="006C4128"/>
    <w:rsid w:val="006C43A4"/>
    <w:rsid w:val="006C5104"/>
    <w:rsid w:val="006C578B"/>
    <w:rsid w:val="006C5961"/>
    <w:rsid w:val="006C6A12"/>
    <w:rsid w:val="006C73F0"/>
    <w:rsid w:val="006C7A52"/>
    <w:rsid w:val="006D0E3A"/>
    <w:rsid w:val="006D1150"/>
    <w:rsid w:val="006D1187"/>
    <w:rsid w:val="006D16E8"/>
    <w:rsid w:val="006D1737"/>
    <w:rsid w:val="006D4708"/>
    <w:rsid w:val="006D4FFF"/>
    <w:rsid w:val="006D5AE5"/>
    <w:rsid w:val="006D5C36"/>
    <w:rsid w:val="006D61D2"/>
    <w:rsid w:val="006D68B4"/>
    <w:rsid w:val="006D774B"/>
    <w:rsid w:val="006D7DB9"/>
    <w:rsid w:val="006D7DFD"/>
    <w:rsid w:val="006D7EF2"/>
    <w:rsid w:val="006E0782"/>
    <w:rsid w:val="006E0F82"/>
    <w:rsid w:val="006E122C"/>
    <w:rsid w:val="006E1291"/>
    <w:rsid w:val="006E1AFE"/>
    <w:rsid w:val="006E1D6E"/>
    <w:rsid w:val="006E1E78"/>
    <w:rsid w:val="006E267D"/>
    <w:rsid w:val="006E2B65"/>
    <w:rsid w:val="006E2C5D"/>
    <w:rsid w:val="006E2E55"/>
    <w:rsid w:val="006E3890"/>
    <w:rsid w:val="006E3BB7"/>
    <w:rsid w:val="006E3F08"/>
    <w:rsid w:val="006E53F0"/>
    <w:rsid w:val="006E6419"/>
    <w:rsid w:val="006E69AA"/>
    <w:rsid w:val="006E6F0E"/>
    <w:rsid w:val="006E72DC"/>
    <w:rsid w:val="006F0481"/>
    <w:rsid w:val="006F04C9"/>
    <w:rsid w:val="006F1A2A"/>
    <w:rsid w:val="006F1F1B"/>
    <w:rsid w:val="006F359D"/>
    <w:rsid w:val="006F4144"/>
    <w:rsid w:val="006F435C"/>
    <w:rsid w:val="006F5E87"/>
    <w:rsid w:val="006F5EBF"/>
    <w:rsid w:val="006F654A"/>
    <w:rsid w:val="006F6DD2"/>
    <w:rsid w:val="006F7516"/>
    <w:rsid w:val="006F796C"/>
    <w:rsid w:val="006F7A6F"/>
    <w:rsid w:val="00700BFA"/>
    <w:rsid w:val="00700E8E"/>
    <w:rsid w:val="007024B9"/>
    <w:rsid w:val="00702711"/>
    <w:rsid w:val="00703642"/>
    <w:rsid w:val="00704669"/>
    <w:rsid w:val="0070467A"/>
    <w:rsid w:val="0070547C"/>
    <w:rsid w:val="00705897"/>
    <w:rsid w:val="00705DD4"/>
    <w:rsid w:val="00706535"/>
    <w:rsid w:val="00707565"/>
    <w:rsid w:val="007077F5"/>
    <w:rsid w:val="00707D51"/>
    <w:rsid w:val="00710155"/>
    <w:rsid w:val="007105B5"/>
    <w:rsid w:val="00710EED"/>
    <w:rsid w:val="007113B0"/>
    <w:rsid w:val="00713580"/>
    <w:rsid w:val="007139F6"/>
    <w:rsid w:val="00713C96"/>
    <w:rsid w:val="00713FD3"/>
    <w:rsid w:val="0071420A"/>
    <w:rsid w:val="00714828"/>
    <w:rsid w:val="00714A54"/>
    <w:rsid w:val="00714C1C"/>
    <w:rsid w:val="0071513A"/>
    <w:rsid w:val="007157FF"/>
    <w:rsid w:val="0071701D"/>
    <w:rsid w:val="00717576"/>
    <w:rsid w:val="0072114D"/>
    <w:rsid w:val="007217D6"/>
    <w:rsid w:val="007220D1"/>
    <w:rsid w:val="00722814"/>
    <w:rsid w:val="00722904"/>
    <w:rsid w:val="00722FA0"/>
    <w:rsid w:val="00723693"/>
    <w:rsid w:val="0072417D"/>
    <w:rsid w:val="00724B7A"/>
    <w:rsid w:val="007258B6"/>
    <w:rsid w:val="00725E07"/>
    <w:rsid w:val="007265F3"/>
    <w:rsid w:val="00726E30"/>
    <w:rsid w:val="00727030"/>
    <w:rsid w:val="00727BCB"/>
    <w:rsid w:val="00730428"/>
    <w:rsid w:val="0073114E"/>
    <w:rsid w:val="007314D5"/>
    <w:rsid w:val="00731ADB"/>
    <w:rsid w:val="00732A57"/>
    <w:rsid w:val="00732F29"/>
    <w:rsid w:val="00733BB3"/>
    <w:rsid w:val="0073430F"/>
    <w:rsid w:val="007345B5"/>
    <w:rsid w:val="00735720"/>
    <w:rsid w:val="0073582B"/>
    <w:rsid w:val="00735AC9"/>
    <w:rsid w:val="00736265"/>
    <w:rsid w:val="00736870"/>
    <w:rsid w:val="00737E3E"/>
    <w:rsid w:val="007400C6"/>
    <w:rsid w:val="00740CDD"/>
    <w:rsid w:val="00741501"/>
    <w:rsid w:val="007422F9"/>
    <w:rsid w:val="00742509"/>
    <w:rsid w:val="007425C8"/>
    <w:rsid w:val="007429D7"/>
    <w:rsid w:val="00742B84"/>
    <w:rsid w:val="00743344"/>
    <w:rsid w:val="007437EE"/>
    <w:rsid w:val="00744AA6"/>
    <w:rsid w:val="0074571B"/>
    <w:rsid w:val="00745BE0"/>
    <w:rsid w:val="00745F88"/>
    <w:rsid w:val="00746564"/>
    <w:rsid w:val="00747FD5"/>
    <w:rsid w:val="007509E4"/>
    <w:rsid w:val="00750BA8"/>
    <w:rsid w:val="007511A3"/>
    <w:rsid w:val="00751D8A"/>
    <w:rsid w:val="00751FF3"/>
    <w:rsid w:val="00752072"/>
    <w:rsid w:val="007522D3"/>
    <w:rsid w:val="00752422"/>
    <w:rsid w:val="00752791"/>
    <w:rsid w:val="0075393A"/>
    <w:rsid w:val="00754398"/>
    <w:rsid w:val="0075465C"/>
    <w:rsid w:val="00754C7E"/>
    <w:rsid w:val="00755330"/>
    <w:rsid w:val="007557BA"/>
    <w:rsid w:val="00755BAB"/>
    <w:rsid w:val="00755C82"/>
    <w:rsid w:val="00756041"/>
    <w:rsid w:val="0075619B"/>
    <w:rsid w:val="00756931"/>
    <w:rsid w:val="00756950"/>
    <w:rsid w:val="00757CDC"/>
    <w:rsid w:val="00757D1A"/>
    <w:rsid w:val="0076041F"/>
    <w:rsid w:val="0076050C"/>
    <w:rsid w:val="00761D27"/>
    <w:rsid w:val="0076235F"/>
    <w:rsid w:val="007624C3"/>
    <w:rsid w:val="007630F3"/>
    <w:rsid w:val="00763DE7"/>
    <w:rsid w:val="00763F1F"/>
    <w:rsid w:val="00766F8F"/>
    <w:rsid w:val="007676CC"/>
    <w:rsid w:val="00767877"/>
    <w:rsid w:val="0077082D"/>
    <w:rsid w:val="00770BB7"/>
    <w:rsid w:val="00770C1D"/>
    <w:rsid w:val="00771BDC"/>
    <w:rsid w:val="00771C58"/>
    <w:rsid w:val="00772420"/>
    <w:rsid w:val="007738D7"/>
    <w:rsid w:val="00773C2F"/>
    <w:rsid w:val="00773EE8"/>
    <w:rsid w:val="0077439D"/>
    <w:rsid w:val="00774405"/>
    <w:rsid w:val="007758B2"/>
    <w:rsid w:val="00775BF9"/>
    <w:rsid w:val="00776083"/>
    <w:rsid w:val="007763A3"/>
    <w:rsid w:val="007774DA"/>
    <w:rsid w:val="007777A7"/>
    <w:rsid w:val="00777C3E"/>
    <w:rsid w:val="0078083D"/>
    <w:rsid w:val="0078089D"/>
    <w:rsid w:val="00781383"/>
    <w:rsid w:val="0078145F"/>
    <w:rsid w:val="00781684"/>
    <w:rsid w:val="00782809"/>
    <w:rsid w:val="00782916"/>
    <w:rsid w:val="00782974"/>
    <w:rsid w:val="00782DE7"/>
    <w:rsid w:val="00783019"/>
    <w:rsid w:val="007838A1"/>
    <w:rsid w:val="00783E75"/>
    <w:rsid w:val="007852D1"/>
    <w:rsid w:val="00785D18"/>
    <w:rsid w:val="0078665C"/>
    <w:rsid w:val="00786C60"/>
    <w:rsid w:val="00787069"/>
    <w:rsid w:val="0078726B"/>
    <w:rsid w:val="007877C3"/>
    <w:rsid w:val="00790B05"/>
    <w:rsid w:val="0079117C"/>
    <w:rsid w:val="00792889"/>
    <w:rsid w:val="00794179"/>
    <w:rsid w:val="00795A16"/>
    <w:rsid w:val="00796C22"/>
    <w:rsid w:val="00797039"/>
    <w:rsid w:val="00797724"/>
    <w:rsid w:val="00797869"/>
    <w:rsid w:val="00797B4E"/>
    <w:rsid w:val="007A0755"/>
    <w:rsid w:val="007A0948"/>
    <w:rsid w:val="007A0973"/>
    <w:rsid w:val="007A10D8"/>
    <w:rsid w:val="007A135C"/>
    <w:rsid w:val="007A13DE"/>
    <w:rsid w:val="007A1523"/>
    <w:rsid w:val="007A18D6"/>
    <w:rsid w:val="007A19BF"/>
    <w:rsid w:val="007A266B"/>
    <w:rsid w:val="007A267B"/>
    <w:rsid w:val="007A26CB"/>
    <w:rsid w:val="007A2A4B"/>
    <w:rsid w:val="007A2B61"/>
    <w:rsid w:val="007A36C4"/>
    <w:rsid w:val="007A3D9F"/>
    <w:rsid w:val="007A55D2"/>
    <w:rsid w:val="007A5AA6"/>
    <w:rsid w:val="007A60DB"/>
    <w:rsid w:val="007A60E0"/>
    <w:rsid w:val="007A6259"/>
    <w:rsid w:val="007A68AC"/>
    <w:rsid w:val="007A7CAB"/>
    <w:rsid w:val="007B0434"/>
    <w:rsid w:val="007B0EE9"/>
    <w:rsid w:val="007B1901"/>
    <w:rsid w:val="007B1CCF"/>
    <w:rsid w:val="007B1F38"/>
    <w:rsid w:val="007B2056"/>
    <w:rsid w:val="007B2592"/>
    <w:rsid w:val="007B2738"/>
    <w:rsid w:val="007B297C"/>
    <w:rsid w:val="007B3057"/>
    <w:rsid w:val="007B3AB1"/>
    <w:rsid w:val="007B448C"/>
    <w:rsid w:val="007B49B2"/>
    <w:rsid w:val="007B52E5"/>
    <w:rsid w:val="007B556B"/>
    <w:rsid w:val="007B5A46"/>
    <w:rsid w:val="007B5E77"/>
    <w:rsid w:val="007B632A"/>
    <w:rsid w:val="007B6534"/>
    <w:rsid w:val="007B7294"/>
    <w:rsid w:val="007B7410"/>
    <w:rsid w:val="007B7550"/>
    <w:rsid w:val="007B756C"/>
    <w:rsid w:val="007B7702"/>
    <w:rsid w:val="007B7853"/>
    <w:rsid w:val="007C0EDD"/>
    <w:rsid w:val="007C2438"/>
    <w:rsid w:val="007C29CF"/>
    <w:rsid w:val="007C34A6"/>
    <w:rsid w:val="007C35BF"/>
    <w:rsid w:val="007C4E88"/>
    <w:rsid w:val="007C5A83"/>
    <w:rsid w:val="007C5BE4"/>
    <w:rsid w:val="007C5C5D"/>
    <w:rsid w:val="007C6071"/>
    <w:rsid w:val="007C66F2"/>
    <w:rsid w:val="007C6A99"/>
    <w:rsid w:val="007C721F"/>
    <w:rsid w:val="007C7974"/>
    <w:rsid w:val="007C7CBA"/>
    <w:rsid w:val="007D0A36"/>
    <w:rsid w:val="007D0CDD"/>
    <w:rsid w:val="007D1544"/>
    <w:rsid w:val="007D172B"/>
    <w:rsid w:val="007D1CDC"/>
    <w:rsid w:val="007D249C"/>
    <w:rsid w:val="007D2C8E"/>
    <w:rsid w:val="007D41C2"/>
    <w:rsid w:val="007D44B0"/>
    <w:rsid w:val="007D48F3"/>
    <w:rsid w:val="007D4910"/>
    <w:rsid w:val="007D63BF"/>
    <w:rsid w:val="007D6676"/>
    <w:rsid w:val="007D7395"/>
    <w:rsid w:val="007D7522"/>
    <w:rsid w:val="007D79E9"/>
    <w:rsid w:val="007D7E24"/>
    <w:rsid w:val="007E0CAC"/>
    <w:rsid w:val="007E1418"/>
    <w:rsid w:val="007E26A2"/>
    <w:rsid w:val="007E3A73"/>
    <w:rsid w:val="007E44EE"/>
    <w:rsid w:val="007E4578"/>
    <w:rsid w:val="007E52EB"/>
    <w:rsid w:val="007E5BCE"/>
    <w:rsid w:val="007E6058"/>
    <w:rsid w:val="007F03EE"/>
    <w:rsid w:val="007F1737"/>
    <w:rsid w:val="007F1742"/>
    <w:rsid w:val="007F2618"/>
    <w:rsid w:val="007F2761"/>
    <w:rsid w:val="007F2AE9"/>
    <w:rsid w:val="007F3000"/>
    <w:rsid w:val="007F355A"/>
    <w:rsid w:val="007F35B8"/>
    <w:rsid w:val="007F43C4"/>
    <w:rsid w:val="007F5B17"/>
    <w:rsid w:val="007F5F3E"/>
    <w:rsid w:val="007F7AE1"/>
    <w:rsid w:val="0080021F"/>
    <w:rsid w:val="008007A7"/>
    <w:rsid w:val="00800ACF"/>
    <w:rsid w:val="00800F39"/>
    <w:rsid w:val="0080136D"/>
    <w:rsid w:val="008013B5"/>
    <w:rsid w:val="00801C9E"/>
    <w:rsid w:val="0080306C"/>
    <w:rsid w:val="008031FA"/>
    <w:rsid w:val="0080396C"/>
    <w:rsid w:val="00805018"/>
    <w:rsid w:val="00805181"/>
    <w:rsid w:val="008056B1"/>
    <w:rsid w:val="008058FD"/>
    <w:rsid w:val="008065AB"/>
    <w:rsid w:val="008076CB"/>
    <w:rsid w:val="00807D11"/>
    <w:rsid w:val="008107DF"/>
    <w:rsid w:val="00810811"/>
    <w:rsid w:val="00810875"/>
    <w:rsid w:val="0081099C"/>
    <w:rsid w:val="00811891"/>
    <w:rsid w:val="00811BD7"/>
    <w:rsid w:val="008138B4"/>
    <w:rsid w:val="0081408F"/>
    <w:rsid w:val="00814C65"/>
    <w:rsid w:val="008157C0"/>
    <w:rsid w:val="00815B65"/>
    <w:rsid w:val="0081663E"/>
    <w:rsid w:val="00816A80"/>
    <w:rsid w:val="00817480"/>
    <w:rsid w:val="008179FB"/>
    <w:rsid w:val="00820B10"/>
    <w:rsid w:val="00820CA2"/>
    <w:rsid w:val="00820DFC"/>
    <w:rsid w:val="00820ED3"/>
    <w:rsid w:val="0082147E"/>
    <w:rsid w:val="00821804"/>
    <w:rsid w:val="00821B67"/>
    <w:rsid w:val="00822E83"/>
    <w:rsid w:val="00822F20"/>
    <w:rsid w:val="00823772"/>
    <w:rsid w:val="00823824"/>
    <w:rsid w:val="00823C78"/>
    <w:rsid w:val="008240CC"/>
    <w:rsid w:val="00824187"/>
    <w:rsid w:val="008252FE"/>
    <w:rsid w:val="008258ED"/>
    <w:rsid w:val="00825ACE"/>
    <w:rsid w:val="00825D32"/>
    <w:rsid w:val="00825E75"/>
    <w:rsid w:val="00826B4D"/>
    <w:rsid w:val="00826F2F"/>
    <w:rsid w:val="00827819"/>
    <w:rsid w:val="008279C2"/>
    <w:rsid w:val="008279CF"/>
    <w:rsid w:val="0083107C"/>
    <w:rsid w:val="00831596"/>
    <w:rsid w:val="00831913"/>
    <w:rsid w:val="0083192A"/>
    <w:rsid w:val="00831B8F"/>
    <w:rsid w:val="00832826"/>
    <w:rsid w:val="00832CF7"/>
    <w:rsid w:val="008333B2"/>
    <w:rsid w:val="0083350A"/>
    <w:rsid w:val="00833667"/>
    <w:rsid w:val="00833A32"/>
    <w:rsid w:val="00834064"/>
    <w:rsid w:val="00834297"/>
    <w:rsid w:val="00834BDB"/>
    <w:rsid w:val="00834CB5"/>
    <w:rsid w:val="00835708"/>
    <w:rsid w:val="00836EC0"/>
    <w:rsid w:val="00836F90"/>
    <w:rsid w:val="00836FDC"/>
    <w:rsid w:val="00840882"/>
    <w:rsid w:val="008425DF"/>
    <w:rsid w:val="008431AE"/>
    <w:rsid w:val="008432D4"/>
    <w:rsid w:val="00843D51"/>
    <w:rsid w:val="008448A7"/>
    <w:rsid w:val="00844FD5"/>
    <w:rsid w:val="008456D7"/>
    <w:rsid w:val="0084639A"/>
    <w:rsid w:val="0084659A"/>
    <w:rsid w:val="008472A4"/>
    <w:rsid w:val="0084792F"/>
    <w:rsid w:val="008503C7"/>
    <w:rsid w:val="008506A3"/>
    <w:rsid w:val="008509EC"/>
    <w:rsid w:val="0085151D"/>
    <w:rsid w:val="008525C8"/>
    <w:rsid w:val="00852DEA"/>
    <w:rsid w:val="008535D6"/>
    <w:rsid w:val="008551FE"/>
    <w:rsid w:val="008556BB"/>
    <w:rsid w:val="008556D8"/>
    <w:rsid w:val="008559C3"/>
    <w:rsid w:val="00855EF9"/>
    <w:rsid w:val="008561C0"/>
    <w:rsid w:val="008562F9"/>
    <w:rsid w:val="00856511"/>
    <w:rsid w:val="00856629"/>
    <w:rsid w:val="00857637"/>
    <w:rsid w:val="008578F7"/>
    <w:rsid w:val="00857F58"/>
    <w:rsid w:val="00857FD6"/>
    <w:rsid w:val="00860016"/>
    <w:rsid w:val="00860389"/>
    <w:rsid w:val="0086103E"/>
    <w:rsid w:val="008612C8"/>
    <w:rsid w:val="008615DB"/>
    <w:rsid w:val="00861A99"/>
    <w:rsid w:val="00861C1D"/>
    <w:rsid w:val="008620F0"/>
    <w:rsid w:val="0086267D"/>
    <w:rsid w:val="00862AD6"/>
    <w:rsid w:val="008632D4"/>
    <w:rsid w:val="00863A88"/>
    <w:rsid w:val="00864D7D"/>
    <w:rsid w:val="00865B56"/>
    <w:rsid w:val="0086640D"/>
    <w:rsid w:val="008670C1"/>
    <w:rsid w:val="0086748B"/>
    <w:rsid w:val="00867D7D"/>
    <w:rsid w:val="00867FF6"/>
    <w:rsid w:val="0087042B"/>
    <w:rsid w:val="008707FE"/>
    <w:rsid w:val="00870EED"/>
    <w:rsid w:val="008710BB"/>
    <w:rsid w:val="008726BC"/>
    <w:rsid w:val="00873CF0"/>
    <w:rsid w:val="00873EBB"/>
    <w:rsid w:val="00873F4B"/>
    <w:rsid w:val="008744F4"/>
    <w:rsid w:val="00874596"/>
    <w:rsid w:val="0087515D"/>
    <w:rsid w:val="008752EC"/>
    <w:rsid w:val="0087560D"/>
    <w:rsid w:val="00876AB6"/>
    <w:rsid w:val="00876CF9"/>
    <w:rsid w:val="00877431"/>
    <w:rsid w:val="0087772C"/>
    <w:rsid w:val="00880708"/>
    <w:rsid w:val="008807B3"/>
    <w:rsid w:val="00881659"/>
    <w:rsid w:val="00881874"/>
    <w:rsid w:val="00881A02"/>
    <w:rsid w:val="00882727"/>
    <w:rsid w:val="00882C26"/>
    <w:rsid w:val="0088474C"/>
    <w:rsid w:val="00885B87"/>
    <w:rsid w:val="00890745"/>
    <w:rsid w:val="00891CF9"/>
    <w:rsid w:val="00892289"/>
    <w:rsid w:val="0089273D"/>
    <w:rsid w:val="008933F3"/>
    <w:rsid w:val="00893953"/>
    <w:rsid w:val="00893D4D"/>
    <w:rsid w:val="00893F2F"/>
    <w:rsid w:val="00894475"/>
    <w:rsid w:val="008950CB"/>
    <w:rsid w:val="0089564E"/>
    <w:rsid w:val="00895779"/>
    <w:rsid w:val="00895AA8"/>
    <w:rsid w:val="00895D0A"/>
    <w:rsid w:val="00895FDC"/>
    <w:rsid w:val="00896E91"/>
    <w:rsid w:val="00897A7B"/>
    <w:rsid w:val="00897B33"/>
    <w:rsid w:val="008A0319"/>
    <w:rsid w:val="008A192C"/>
    <w:rsid w:val="008A243B"/>
    <w:rsid w:val="008A276D"/>
    <w:rsid w:val="008A33E0"/>
    <w:rsid w:val="008A3434"/>
    <w:rsid w:val="008A375A"/>
    <w:rsid w:val="008A3949"/>
    <w:rsid w:val="008A3C3E"/>
    <w:rsid w:val="008A48AD"/>
    <w:rsid w:val="008A4E70"/>
    <w:rsid w:val="008A51DC"/>
    <w:rsid w:val="008A5CC5"/>
    <w:rsid w:val="008A6841"/>
    <w:rsid w:val="008A6A2B"/>
    <w:rsid w:val="008A7105"/>
    <w:rsid w:val="008A74CD"/>
    <w:rsid w:val="008B0F89"/>
    <w:rsid w:val="008B205B"/>
    <w:rsid w:val="008B25E0"/>
    <w:rsid w:val="008B2848"/>
    <w:rsid w:val="008B297E"/>
    <w:rsid w:val="008B2B4F"/>
    <w:rsid w:val="008B3B17"/>
    <w:rsid w:val="008B3C31"/>
    <w:rsid w:val="008B3F92"/>
    <w:rsid w:val="008B4013"/>
    <w:rsid w:val="008B4192"/>
    <w:rsid w:val="008B472A"/>
    <w:rsid w:val="008B5CBD"/>
    <w:rsid w:val="008B6828"/>
    <w:rsid w:val="008B69B0"/>
    <w:rsid w:val="008B7DCC"/>
    <w:rsid w:val="008B7EF5"/>
    <w:rsid w:val="008C05F4"/>
    <w:rsid w:val="008C0DC6"/>
    <w:rsid w:val="008C2244"/>
    <w:rsid w:val="008C22C6"/>
    <w:rsid w:val="008C22C8"/>
    <w:rsid w:val="008C26CC"/>
    <w:rsid w:val="008C2C1E"/>
    <w:rsid w:val="008C3C84"/>
    <w:rsid w:val="008C43E2"/>
    <w:rsid w:val="008C45C9"/>
    <w:rsid w:val="008C485E"/>
    <w:rsid w:val="008C5508"/>
    <w:rsid w:val="008C551B"/>
    <w:rsid w:val="008C5610"/>
    <w:rsid w:val="008C5CD5"/>
    <w:rsid w:val="008C5D48"/>
    <w:rsid w:val="008C6CE7"/>
    <w:rsid w:val="008C7BBA"/>
    <w:rsid w:val="008C7EA8"/>
    <w:rsid w:val="008D0573"/>
    <w:rsid w:val="008D0E58"/>
    <w:rsid w:val="008D10C2"/>
    <w:rsid w:val="008D13B9"/>
    <w:rsid w:val="008D254B"/>
    <w:rsid w:val="008D2838"/>
    <w:rsid w:val="008D37DB"/>
    <w:rsid w:val="008D3929"/>
    <w:rsid w:val="008D402C"/>
    <w:rsid w:val="008D40CE"/>
    <w:rsid w:val="008D4A74"/>
    <w:rsid w:val="008D5C76"/>
    <w:rsid w:val="008D6194"/>
    <w:rsid w:val="008D649B"/>
    <w:rsid w:val="008D6A00"/>
    <w:rsid w:val="008D6DD5"/>
    <w:rsid w:val="008D6F99"/>
    <w:rsid w:val="008D7F4E"/>
    <w:rsid w:val="008E0153"/>
    <w:rsid w:val="008E140B"/>
    <w:rsid w:val="008E157F"/>
    <w:rsid w:val="008E210F"/>
    <w:rsid w:val="008E2A9D"/>
    <w:rsid w:val="008E37F9"/>
    <w:rsid w:val="008E37FA"/>
    <w:rsid w:val="008E39CA"/>
    <w:rsid w:val="008E3CFE"/>
    <w:rsid w:val="008E40BA"/>
    <w:rsid w:val="008E4150"/>
    <w:rsid w:val="008E6008"/>
    <w:rsid w:val="008E6E3A"/>
    <w:rsid w:val="008E7B68"/>
    <w:rsid w:val="008F06B7"/>
    <w:rsid w:val="008F0A0B"/>
    <w:rsid w:val="008F0D88"/>
    <w:rsid w:val="008F1949"/>
    <w:rsid w:val="008F19B5"/>
    <w:rsid w:val="008F1ED6"/>
    <w:rsid w:val="008F325C"/>
    <w:rsid w:val="008F3B3F"/>
    <w:rsid w:val="008F4A9E"/>
    <w:rsid w:val="008F5409"/>
    <w:rsid w:val="008F5B88"/>
    <w:rsid w:val="008F5C5F"/>
    <w:rsid w:val="008F7649"/>
    <w:rsid w:val="009000C6"/>
    <w:rsid w:val="009001E6"/>
    <w:rsid w:val="00900E68"/>
    <w:rsid w:val="009010D8"/>
    <w:rsid w:val="00901E73"/>
    <w:rsid w:val="00901EC1"/>
    <w:rsid w:val="009048B1"/>
    <w:rsid w:val="00904AD4"/>
    <w:rsid w:val="00904B0F"/>
    <w:rsid w:val="009054A4"/>
    <w:rsid w:val="009062E0"/>
    <w:rsid w:val="00906865"/>
    <w:rsid w:val="00906BCF"/>
    <w:rsid w:val="00907889"/>
    <w:rsid w:val="00907D5C"/>
    <w:rsid w:val="00907FC6"/>
    <w:rsid w:val="00911446"/>
    <w:rsid w:val="009128A1"/>
    <w:rsid w:val="00912F5B"/>
    <w:rsid w:val="009141CD"/>
    <w:rsid w:val="00914589"/>
    <w:rsid w:val="00914933"/>
    <w:rsid w:val="00914B25"/>
    <w:rsid w:val="00914BF5"/>
    <w:rsid w:val="00916D7C"/>
    <w:rsid w:val="009171EC"/>
    <w:rsid w:val="00917AEA"/>
    <w:rsid w:val="00920A80"/>
    <w:rsid w:val="00920A8D"/>
    <w:rsid w:val="00921147"/>
    <w:rsid w:val="009217A0"/>
    <w:rsid w:val="00921B67"/>
    <w:rsid w:val="00921E54"/>
    <w:rsid w:val="00921FBA"/>
    <w:rsid w:val="00922095"/>
    <w:rsid w:val="00922711"/>
    <w:rsid w:val="00922A35"/>
    <w:rsid w:val="00922E5D"/>
    <w:rsid w:val="00923E28"/>
    <w:rsid w:val="009245F2"/>
    <w:rsid w:val="0092478B"/>
    <w:rsid w:val="00924ABD"/>
    <w:rsid w:val="00926063"/>
    <w:rsid w:val="00930344"/>
    <w:rsid w:val="009304FF"/>
    <w:rsid w:val="00930A19"/>
    <w:rsid w:val="009325F6"/>
    <w:rsid w:val="00933B84"/>
    <w:rsid w:val="00933E27"/>
    <w:rsid w:val="009346C4"/>
    <w:rsid w:val="0093581E"/>
    <w:rsid w:val="009359F0"/>
    <w:rsid w:val="009363C3"/>
    <w:rsid w:val="0093656E"/>
    <w:rsid w:val="00936AB5"/>
    <w:rsid w:val="00937683"/>
    <w:rsid w:val="009376E0"/>
    <w:rsid w:val="00937F6A"/>
    <w:rsid w:val="00937F74"/>
    <w:rsid w:val="00940E7B"/>
    <w:rsid w:val="0094163A"/>
    <w:rsid w:val="009416F6"/>
    <w:rsid w:val="0094181F"/>
    <w:rsid w:val="00941AA6"/>
    <w:rsid w:val="00941C0F"/>
    <w:rsid w:val="00941F4E"/>
    <w:rsid w:val="009425A8"/>
    <w:rsid w:val="0094274A"/>
    <w:rsid w:val="00942998"/>
    <w:rsid w:val="00942F25"/>
    <w:rsid w:val="0094310B"/>
    <w:rsid w:val="009436DC"/>
    <w:rsid w:val="00944068"/>
    <w:rsid w:val="009446B5"/>
    <w:rsid w:val="00944F61"/>
    <w:rsid w:val="0094608A"/>
    <w:rsid w:val="0094618B"/>
    <w:rsid w:val="00946203"/>
    <w:rsid w:val="009462E8"/>
    <w:rsid w:val="009465E7"/>
    <w:rsid w:val="00950082"/>
    <w:rsid w:val="00950475"/>
    <w:rsid w:val="00951265"/>
    <w:rsid w:val="00951D67"/>
    <w:rsid w:val="00952397"/>
    <w:rsid w:val="009524C5"/>
    <w:rsid w:val="00953E23"/>
    <w:rsid w:val="00954210"/>
    <w:rsid w:val="009543B3"/>
    <w:rsid w:val="009558E4"/>
    <w:rsid w:val="009562FA"/>
    <w:rsid w:val="009564AD"/>
    <w:rsid w:val="00956E47"/>
    <w:rsid w:val="00957517"/>
    <w:rsid w:val="009578E7"/>
    <w:rsid w:val="0096015E"/>
    <w:rsid w:val="00960162"/>
    <w:rsid w:val="0096138C"/>
    <w:rsid w:val="0096158F"/>
    <w:rsid w:val="00961682"/>
    <w:rsid w:val="009630FD"/>
    <w:rsid w:val="00963496"/>
    <w:rsid w:val="00963C76"/>
    <w:rsid w:val="0096406D"/>
    <w:rsid w:val="009644E4"/>
    <w:rsid w:val="009647CA"/>
    <w:rsid w:val="0096487A"/>
    <w:rsid w:val="00964D13"/>
    <w:rsid w:val="00967739"/>
    <w:rsid w:val="00967AF2"/>
    <w:rsid w:val="00967E4F"/>
    <w:rsid w:val="00967E7C"/>
    <w:rsid w:val="00970C95"/>
    <w:rsid w:val="00971C8A"/>
    <w:rsid w:val="00971E44"/>
    <w:rsid w:val="0097291D"/>
    <w:rsid w:val="00973D66"/>
    <w:rsid w:val="009749A8"/>
    <w:rsid w:val="0097538B"/>
    <w:rsid w:val="009769C5"/>
    <w:rsid w:val="00977401"/>
    <w:rsid w:val="00977775"/>
    <w:rsid w:val="00980B7E"/>
    <w:rsid w:val="00980BA5"/>
    <w:rsid w:val="00981281"/>
    <w:rsid w:val="00981E85"/>
    <w:rsid w:val="00982563"/>
    <w:rsid w:val="009834D8"/>
    <w:rsid w:val="00983CEE"/>
    <w:rsid w:val="00983FC6"/>
    <w:rsid w:val="009848BC"/>
    <w:rsid w:val="00985103"/>
    <w:rsid w:val="0098543A"/>
    <w:rsid w:val="009861DE"/>
    <w:rsid w:val="009861F6"/>
    <w:rsid w:val="00986687"/>
    <w:rsid w:val="00986AA1"/>
    <w:rsid w:val="00986F6A"/>
    <w:rsid w:val="009870D7"/>
    <w:rsid w:val="00987318"/>
    <w:rsid w:val="00987D6F"/>
    <w:rsid w:val="00990432"/>
    <w:rsid w:val="009904DB"/>
    <w:rsid w:val="0099108D"/>
    <w:rsid w:val="009910D0"/>
    <w:rsid w:val="0099196B"/>
    <w:rsid w:val="00992738"/>
    <w:rsid w:val="009934F9"/>
    <w:rsid w:val="00994E57"/>
    <w:rsid w:val="00995001"/>
    <w:rsid w:val="00995128"/>
    <w:rsid w:val="009957B8"/>
    <w:rsid w:val="009959EF"/>
    <w:rsid w:val="00995C72"/>
    <w:rsid w:val="00996B4A"/>
    <w:rsid w:val="0099721F"/>
    <w:rsid w:val="009A0E26"/>
    <w:rsid w:val="009A16F1"/>
    <w:rsid w:val="009A1B9E"/>
    <w:rsid w:val="009A3E5C"/>
    <w:rsid w:val="009A4961"/>
    <w:rsid w:val="009A4BAF"/>
    <w:rsid w:val="009A4ED9"/>
    <w:rsid w:val="009A55A2"/>
    <w:rsid w:val="009A65CE"/>
    <w:rsid w:val="009A6AA9"/>
    <w:rsid w:val="009A6EB7"/>
    <w:rsid w:val="009A700D"/>
    <w:rsid w:val="009A75FA"/>
    <w:rsid w:val="009A7C22"/>
    <w:rsid w:val="009A7F47"/>
    <w:rsid w:val="009B0E68"/>
    <w:rsid w:val="009B239B"/>
    <w:rsid w:val="009B26A5"/>
    <w:rsid w:val="009B2D05"/>
    <w:rsid w:val="009B4393"/>
    <w:rsid w:val="009B4546"/>
    <w:rsid w:val="009B53EC"/>
    <w:rsid w:val="009B5FB6"/>
    <w:rsid w:val="009B6CC5"/>
    <w:rsid w:val="009B786D"/>
    <w:rsid w:val="009B7B3C"/>
    <w:rsid w:val="009B7C1B"/>
    <w:rsid w:val="009C0048"/>
    <w:rsid w:val="009C130E"/>
    <w:rsid w:val="009C20D8"/>
    <w:rsid w:val="009C216B"/>
    <w:rsid w:val="009C2DAA"/>
    <w:rsid w:val="009C35C1"/>
    <w:rsid w:val="009C3714"/>
    <w:rsid w:val="009C3983"/>
    <w:rsid w:val="009C39DE"/>
    <w:rsid w:val="009C562E"/>
    <w:rsid w:val="009C6449"/>
    <w:rsid w:val="009C655C"/>
    <w:rsid w:val="009C6A31"/>
    <w:rsid w:val="009C7F8B"/>
    <w:rsid w:val="009D08B9"/>
    <w:rsid w:val="009D0A2F"/>
    <w:rsid w:val="009D0AB2"/>
    <w:rsid w:val="009D0EE2"/>
    <w:rsid w:val="009D2CC3"/>
    <w:rsid w:val="009D2E64"/>
    <w:rsid w:val="009D37A0"/>
    <w:rsid w:val="009D3A04"/>
    <w:rsid w:val="009D3DF9"/>
    <w:rsid w:val="009D47F6"/>
    <w:rsid w:val="009D4E41"/>
    <w:rsid w:val="009D4FA9"/>
    <w:rsid w:val="009D4FF4"/>
    <w:rsid w:val="009D58B2"/>
    <w:rsid w:val="009D58B6"/>
    <w:rsid w:val="009D5F7A"/>
    <w:rsid w:val="009D60E8"/>
    <w:rsid w:val="009D79F8"/>
    <w:rsid w:val="009E0041"/>
    <w:rsid w:val="009E27D7"/>
    <w:rsid w:val="009E2C86"/>
    <w:rsid w:val="009E3FCA"/>
    <w:rsid w:val="009E463F"/>
    <w:rsid w:val="009E64E1"/>
    <w:rsid w:val="009E6C83"/>
    <w:rsid w:val="009E6D75"/>
    <w:rsid w:val="009E72A5"/>
    <w:rsid w:val="009E7B9E"/>
    <w:rsid w:val="009F048E"/>
    <w:rsid w:val="009F0CCB"/>
    <w:rsid w:val="009F245C"/>
    <w:rsid w:val="009F28BA"/>
    <w:rsid w:val="009F2ED0"/>
    <w:rsid w:val="009F3D54"/>
    <w:rsid w:val="009F4852"/>
    <w:rsid w:val="009F4AEB"/>
    <w:rsid w:val="009F4C76"/>
    <w:rsid w:val="009F4F40"/>
    <w:rsid w:val="009F5C3A"/>
    <w:rsid w:val="009F6AFE"/>
    <w:rsid w:val="009F7077"/>
    <w:rsid w:val="00A00159"/>
    <w:rsid w:val="00A01216"/>
    <w:rsid w:val="00A01DFE"/>
    <w:rsid w:val="00A029EF"/>
    <w:rsid w:val="00A02A0F"/>
    <w:rsid w:val="00A03611"/>
    <w:rsid w:val="00A039D3"/>
    <w:rsid w:val="00A042FE"/>
    <w:rsid w:val="00A04B5B"/>
    <w:rsid w:val="00A04E59"/>
    <w:rsid w:val="00A05C81"/>
    <w:rsid w:val="00A05CEA"/>
    <w:rsid w:val="00A07D6D"/>
    <w:rsid w:val="00A11A9D"/>
    <w:rsid w:val="00A12659"/>
    <w:rsid w:val="00A12C1C"/>
    <w:rsid w:val="00A13075"/>
    <w:rsid w:val="00A13782"/>
    <w:rsid w:val="00A13C02"/>
    <w:rsid w:val="00A13E75"/>
    <w:rsid w:val="00A13F64"/>
    <w:rsid w:val="00A14390"/>
    <w:rsid w:val="00A1453A"/>
    <w:rsid w:val="00A148B1"/>
    <w:rsid w:val="00A15D9B"/>
    <w:rsid w:val="00A15DA8"/>
    <w:rsid w:val="00A179E4"/>
    <w:rsid w:val="00A20C44"/>
    <w:rsid w:val="00A22469"/>
    <w:rsid w:val="00A251E6"/>
    <w:rsid w:val="00A25ACE"/>
    <w:rsid w:val="00A272C4"/>
    <w:rsid w:val="00A27DA0"/>
    <w:rsid w:val="00A30119"/>
    <w:rsid w:val="00A30161"/>
    <w:rsid w:val="00A3100A"/>
    <w:rsid w:val="00A31728"/>
    <w:rsid w:val="00A31C7D"/>
    <w:rsid w:val="00A32E13"/>
    <w:rsid w:val="00A32E63"/>
    <w:rsid w:val="00A330DA"/>
    <w:rsid w:val="00A339A6"/>
    <w:rsid w:val="00A33A3B"/>
    <w:rsid w:val="00A34CEC"/>
    <w:rsid w:val="00A35B9B"/>
    <w:rsid w:val="00A3712B"/>
    <w:rsid w:val="00A3791B"/>
    <w:rsid w:val="00A37C5F"/>
    <w:rsid w:val="00A40547"/>
    <w:rsid w:val="00A40683"/>
    <w:rsid w:val="00A408F8"/>
    <w:rsid w:val="00A41E42"/>
    <w:rsid w:val="00A41E87"/>
    <w:rsid w:val="00A427CE"/>
    <w:rsid w:val="00A43974"/>
    <w:rsid w:val="00A44089"/>
    <w:rsid w:val="00A44185"/>
    <w:rsid w:val="00A4448C"/>
    <w:rsid w:val="00A44BF9"/>
    <w:rsid w:val="00A45484"/>
    <w:rsid w:val="00A475BD"/>
    <w:rsid w:val="00A4792E"/>
    <w:rsid w:val="00A5064A"/>
    <w:rsid w:val="00A517EE"/>
    <w:rsid w:val="00A519A0"/>
    <w:rsid w:val="00A52214"/>
    <w:rsid w:val="00A53315"/>
    <w:rsid w:val="00A53772"/>
    <w:rsid w:val="00A541B6"/>
    <w:rsid w:val="00A552AC"/>
    <w:rsid w:val="00A55810"/>
    <w:rsid w:val="00A56AD0"/>
    <w:rsid w:val="00A5763B"/>
    <w:rsid w:val="00A57874"/>
    <w:rsid w:val="00A57C8F"/>
    <w:rsid w:val="00A606D2"/>
    <w:rsid w:val="00A60768"/>
    <w:rsid w:val="00A618A6"/>
    <w:rsid w:val="00A62566"/>
    <w:rsid w:val="00A62737"/>
    <w:rsid w:val="00A62C70"/>
    <w:rsid w:val="00A630BC"/>
    <w:rsid w:val="00A63A00"/>
    <w:rsid w:val="00A63D5D"/>
    <w:rsid w:val="00A64301"/>
    <w:rsid w:val="00A658C7"/>
    <w:rsid w:val="00A6612C"/>
    <w:rsid w:val="00A66610"/>
    <w:rsid w:val="00A66699"/>
    <w:rsid w:val="00A66BA1"/>
    <w:rsid w:val="00A66F79"/>
    <w:rsid w:val="00A6715A"/>
    <w:rsid w:val="00A70A00"/>
    <w:rsid w:val="00A72124"/>
    <w:rsid w:val="00A72C6D"/>
    <w:rsid w:val="00A73517"/>
    <w:rsid w:val="00A767EB"/>
    <w:rsid w:val="00A77552"/>
    <w:rsid w:val="00A778AC"/>
    <w:rsid w:val="00A77B58"/>
    <w:rsid w:val="00A8088B"/>
    <w:rsid w:val="00A81054"/>
    <w:rsid w:val="00A83B9B"/>
    <w:rsid w:val="00A84005"/>
    <w:rsid w:val="00A8433A"/>
    <w:rsid w:val="00A8459A"/>
    <w:rsid w:val="00A850C6"/>
    <w:rsid w:val="00A8516A"/>
    <w:rsid w:val="00A860CD"/>
    <w:rsid w:val="00A865F2"/>
    <w:rsid w:val="00A87166"/>
    <w:rsid w:val="00A90548"/>
    <w:rsid w:val="00A915AF"/>
    <w:rsid w:val="00A919DB"/>
    <w:rsid w:val="00A92BDF"/>
    <w:rsid w:val="00A92DCA"/>
    <w:rsid w:val="00A933B8"/>
    <w:rsid w:val="00A945AE"/>
    <w:rsid w:val="00A94B30"/>
    <w:rsid w:val="00A94EE9"/>
    <w:rsid w:val="00A94F9D"/>
    <w:rsid w:val="00A95B97"/>
    <w:rsid w:val="00A95E26"/>
    <w:rsid w:val="00A96893"/>
    <w:rsid w:val="00A96B0D"/>
    <w:rsid w:val="00AA0119"/>
    <w:rsid w:val="00AA1B29"/>
    <w:rsid w:val="00AA2479"/>
    <w:rsid w:val="00AA265E"/>
    <w:rsid w:val="00AA2DDB"/>
    <w:rsid w:val="00AA3393"/>
    <w:rsid w:val="00AA39F4"/>
    <w:rsid w:val="00AA3A0D"/>
    <w:rsid w:val="00AA3B97"/>
    <w:rsid w:val="00AA456E"/>
    <w:rsid w:val="00AA4B27"/>
    <w:rsid w:val="00AA5795"/>
    <w:rsid w:val="00AA5889"/>
    <w:rsid w:val="00AA5C1B"/>
    <w:rsid w:val="00AA5F0A"/>
    <w:rsid w:val="00AA7013"/>
    <w:rsid w:val="00AA7216"/>
    <w:rsid w:val="00AA72E5"/>
    <w:rsid w:val="00AB1D7E"/>
    <w:rsid w:val="00AB2490"/>
    <w:rsid w:val="00AB2763"/>
    <w:rsid w:val="00AB2BBB"/>
    <w:rsid w:val="00AB3215"/>
    <w:rsid w:val="00AB38A9"/>
    <w:rsid w:val="00AB3937"/>
    <w:rsid w:val="00AB4482"/>
    <w:rsid w:val="00AB57E4"/>
    <w:rsid w:val="00AB60F1"/>
    <w:rsid w:val="00AB63D2"/>
    <w:rsid w:val="00AB69BB"/>
    <w:rsid w:val="00AB7DC6"/>
    <w:rsid w:val="00AB7F9D"/>
    <w:rsid w:val="00AC00E3"/>
    <w:rsid w:val="00AC044D"/>
    <w:rsid w:val="00AC0AA1"/>
    <w:rsid w:val="00AC0B35"/>
    <w:rsid w:val="00AC0F70"/>
    <w:rsid w:val="00AC132D"/>
    <w:rsid w:val="00AC1A25"/>
    <w:rsid w:val="00AC2B5E"/>
    <w:rsid w:val="00AC2D6C"/>
    <w:rsid w:val="00AC4115"/>
    <w:rsid w:val="00AC4C22"/>
    <w:rsid w:val="00AC5BF3"/>
    <w:rsid w:val="00AC6530"/>
    <w:rsid w:val="00AC7C33"/>
    <w:rsid w:val="00AD0167"/>
    <w:rsid w:val="00AD0D5B"/>
    <w:rsid w:val="00AD1B84"/>
    <w:rsid w:val="00AD1BB5"/>
    <w:rsid w:val="00AD2095"/>
    <w:rsid w:val="00AD297F"/>
    <w:rsid w:val="00AD2A79"/>
    <w:rsid w:val="00AD2CA2"/>
    <w:rsid w:val="00AD3419"/>
    <w:rsid w:val="00AD34D7"/>
    <w:rsid w:val="00AD3542"/>
    <w:rsid w:val="00AD408D"/>
    <w:rsid w:val="00AD417F"/>
    <w:rsid w:val="00AD42FF"/>
    <w:rsid w:val="00AD49A8"/>
    <w:rsid w:val="00AD5523"/>
    <w:rsid w:val="00AD5DB3"/>
    <w:rsid w:val="00AD5ECC"/>
    <w:rsid w:val="00AD6032"/>
    <w:rsid w:val="00AD6BFB"/>
    <w:rsid w:val="00AD7087"/>
    <w:rsid w:val="00AD70C3"/>
    <w:rsid w:val="00AD7959"/>
    <w:rsid w:val="00AD7B41"/>
    <w:rsid w:val="00AD7CB3"/>
    <w:rsid w:val="00AD7E1D"/>
    <w:rsid w:val="00AD7ED9"/>
    <w:rsid w:val="00AE113D"/>
    <w:rsid w:val="00AE11F1"/>
    <w:rsid w:val="00AE1FDF"/>
    <w:rsid w:val="00AE2947"/>
    <w:rsid w:val="00AE2F5D"/>
    <w:rsid w:val="00AE324C"/>
    <w:rsid w:val="00AE3BDF"/>
    <w:rsid w:val="00AE3EE6"/>
    <w:rsid w:val="00AE48B0"/>
    <w:rsid w:val="00AE4BAA"/>
    <w:rsid w:val="00AE4D72"/>
    <w:rsid w:val="00AE54CD"/>
    <w:rsid w:val="00AE63C3"/>
    <w:rsid w:val="00AE68A8"/>
    <w:rsid w:val="00AE79A9"/>
    <w:rsid w:val="00AE7F20"/>
    <w:rsid w:val="00AF0BD6"/>
    <w:rsid w:val="00AF1258"/>
    <w:rsid w:val="00AF2237"/>
    <w:rsid w:val="00AF2B97"/>
    <w:rsid w:val="00AF2C23"/>
    <w:rsid w:val="00AF3042"/>
    <w:rsid w:val="00AF3048"/>
    <w:rsid w:val="00AF329E"/>
    <w:rsid w:val="00AF36A3"/>
    <w:rsid w:val="00AF3899"/>
    <w:rsid w:val="00AF3BA1"/>
    <w:rsid w:val="00AF40A7"/>
    <w:rsid w:val="00AF4ED4"/>
    <w:rsid w:val="00AF512F"/>
    <w:rsid w:val="00AF55FB"/>
    <w:rsid w:val="00AF5CCB"/>
    <w:rsid w:val="00AF5EA9"/>
    <w:rsid w:val="00AF60D9"/>
    <w:rsid w:val="00AF69CD"/>
    <w:rsid w:val="00B0032B"/>
    <w:rsid w:val="00B00751"/>
    <w:rsid w:val="00B00E23"/>
    <w:rsid w:val="00B013DF"/>
    <w:rsid w:val="00B01415"/>
    <w:rsid w:val="00B0186F"/>
    <w:rsid w:val="00B03532"/>
    <w:rsid w:val="00B036A1"/>
    <w:rsid w:val="00B03E17"/>
    <w:rsid w:val="00B06ED2"/>
    <w:rsid w:val="00B0756D"/>
    <w:rsid w:val="00B07FB1"/>
    <w:rsid w:val="00B102AD"/>
    <w:rsid w:val="00B10875"/>
    <w:rsid w:val="00B10BD8"/>
    <w:rsid w:val="00B11239"/>
    <w:rsid w:val="00B11307"/>
    <w:rsid w:val="00B1135C"/>
    <w:rsid w:val="00B11EE9"/>
    <w:rsid w:val="00B122F4"/>
    <w:rsid w:val="00B12C5D"/>
    <w:rsid w:val="00B1321B"/>
    <w:rsid w:val="00B136BF"/>
    <w:rsid w:val="00B14501"/>
    <w:rsid w:val="00B1494C"/>
    <w:rsid w:val="00B14AC9"/>
    <w:rsid w:val="00B14BA4"/>
    <w:rsid w:val="00B14DA8"/>
    <w:rsid w:val="00B161F7"/>
    <w:rsid w:val="00B162F6"/>
    <w:rsid w:val="00B16990"/>
    <w:rsid w:val="00B16EF5"/>
    <w:rsid w:val="00B16FFB"/>
    <w:rsid w:val="00B1721E"/>
    <w:rsid w:val="00B172EF"/>
    <w:rsid w:val="00B17502"/>
    <w:rsid w:val="00B17ACE"/>
    <w:rsid w:val="00B208E4"/>
    <w:rsid w:val="00B20FFC"/>
    <w:rsid w:val="00B210A3"/>
    <w:rsid w:val="00B21954"/>
    <w:rsid w:val="00B221FC"/>
    <w:rsid w:val="00B2273A"/>
    <w:rsid w:val="00B22BA7"/>
    <w:rsid w:val="00B22E42"/>
    <w:rsid w:val="00B22F06"/>
    <w:rsid w:val="00B239CE"/>
    <w:rsid w:val="00B245B1"/>
    <w:rsid w:val="00B268A2"/>
    <w:rsid w:val="00B26ADE"/>
    <w:rsid w:val="00B2712C"/>
    <w:rsid w:val="00B30195"/>
    <w:rsid w:val="00B30432"/>
    <w:rsid w:val="00B308DA"/>
    <w:rsid w:val="00B3111A"/>
    <w:rsid w:val="00B321C8"/>
    <w:rsid w:val="00B3421D"/>
    <w:rsid w:val="00B35873"/>
    <w:rsid w:val="00B36127"/>
    <w:rsid w:val="00B36306"/>
    <w:rsid w:val="00B36ECD"/>
    <w:rsid w:val="00B371FD"/>
    <w:rsid w:val="00B37843"/>
    <w:rsid w:val="00B37A3B"/>
    <w:rsid w:val="00B4005A"/>
    <w:rsid w:val="00B4037E"/>
    <w:rsid w:val="00B40C21"/>
    <w:rsid w:val="00B410AD"/>
    <w:rsid w:val="00B430EC"/>
    <w:rsid w:val="00B447F1"/>
    <w:rsid w:val="00B45B38"/>
    <w:rsid w:val="00B46411"/>
    <w:rsid w:val="00B4713E"/>
    <w:rsid w:val="00B47D0F"/>
    <w:rsid w:val="00B51187"/>
    <w:rsid w:val="00B52E38"/>
    <w:rsid w:val="00B545D0"/>
    <w:rsid w:val="00B54624"/>
    <w:rsid w:val="00B54BCA"/>
    <w:rsid w:val="00B55591"/>
    <w:rsid w:val="00B556E0"/>
    <w:rsid w:val="00B55BFA"/>
    <w:rsid w:val="00B563E0"/>
    <w:rsid w:val="00B56CA4"/>
    <w:rsid w:val="00B57070"/>
    <w:rsid w:val="00B60DF2"/>
    <w:rsid w:val="00B615AF"/>
    <w:rsid w:val="00B61980"/>
    <w:rsid w:val="00B61CF3"/>
    <w:rsid w:val="00B620D4"/>
    <w:rsid w:val="00B621F4"/>
    <w:rsid w:val="00B622A5"/>
    <w:rsid w:val="00B62691"/>
    <w:rsid w:val="00B62BB8"/>
    <w:rsid w:val="00B6334B"/>
    <w:rsid w:val="00B6439B"/>
    <w:rsid w:val="00B6444D"/>
    <w:rsid w:val="00B645F7"/>
    <w:rsid w:val="00B64B4E"/>
    <w:rsid w:val="00B64E22"/>
    <w:rsid w:val="00B66354"/>
    <w:rsid w:val="00B663F2"/>
    <w:rsid w:val="00B6642C"/>
    <w:rsid w:val="00B7013A"/>
    <w:rsid w:val="00B72733"/>
    <w:rsid w:val="00B72D77"/>
    <w:rsid w:val="00B73323"/>
    <w:rsid w:val="00B73B58"/>
    <w:rsid w:val="00B73FF7"/>
    <w:rsid w:val="00B743A0"/>
    <w:rsid w:val="00B74589"/>
    <w:rsid w:val="00B74A03"/>
    <w:rsid w:val="00B74BC1"/>
    <w:rsid w:val="00B75624"/>
    <w:rsid w:val="00B760F0"/>
    <w:rsid w:val="00B76B50"/>
    <w:rsid w:val="00B77948"/>
    <w:rsid w:val="00B77BCF"/>
    <w:rsid w:val="00B8001E"/>
    <w:rsid w:val="00B813BF"/>
    <w:rsid w:val="00B82594"/>
    <w:rsid w:val="00B82781"/>
    <w:rsid w:val="00B83941"/>
    <w:rsid w:val="00B83C60"/>
    <w:rsid w:val="00B83C63"/>
    <w:rsid w:val="00B83CD6"/>
    <w:rsid w:val="00B85B1D"/>
    <w:rsid w:val="00B85CD2"/>
    <w:rsid w:val="00B85F7F"/>
    <w:rsid w:val="00B867C4"/>
    <w:rsid w:val="00B87554"/>
    <w:rsid w:val="00B875A3"/>
    <w:rsid w:val="00B902A1"/>
    <w:rsid w:val="00B902F9"/>
    <w:rsid w:val="00B9048E"/>
    <w:rsid w:val="00B91E24"/>
    <w:rsid w:val="00B92542"/>
    <w:rsid w:val="00B92932"/>
    <w:rsid w:val="00B94B58"/>
    <w:rsid w:val="00B94EE7"/>
    <w:rsid w:val="00B95828"/>
    <w:rsid w:val="00B95A99"/>
    <w:rsid w:val="00B97EC9"/>
    <w:rsid w:val="00BA059D"/>
    <w:rsid w:val="00BA0979"/>
    <w:rsid w:val="00BA0DA8"/>
    <w:rsid w:val="00BA203E"/>
    <w:rsid w:val="00BA2058"/>
    <w:rsid w:val="00BA2132"/>
    <w:rsid w:val="00BA2267"/>
    <w:rsid w:val="00BA244C"/>
    <w:rsid w:val="00BA2646"/>
    <w:rsid w:val="00BA29F6"/>
    <w:rsid w:val="00BA2FBF"/>
    <w:rsid w:val="00BA3AE9"/>
    <w:rsid w:val="00BA3C79"/>
    <w:rsid w:val="00BA4417"/>
    <w:rsid w:val="00BA4C26"/>
    <w:rsid w:val="00BA56DF"/>
    <w:rsid w:val="00BA5CBB"/>
    <w:rsid w:val="00BA662A"/>
    <w:rsid w:val="00BA6811"/>
    <w:rsid w:val="00BA69ED"/>
    <w:rsid w:val="00BA6F4A"/>
    <w:rsid w:val="00BA71A9"/>
    <w:rsid w:val="00BA7830"/>
    <w:rsid w:val="00BB0A77"/>
    <w:rsid w:val="00BB19B1"/>
    <w:rsid w:val="00BB2034"/>
    <w:rsid w:val="00BB2D41"/>
    <w:rsid w:val="00BB3648"/>
    <w:rsid w:val="00BB3789"/>
    <w:rsid w:val="00BB3B1A"/>
    <w:rsid w:val="00BB443A"/>
    <w:rsid w:val="00BB52B0"/>
    <w:rsid w:val="00BB5454"/>
    <w:rsid w:val="00BB5B46"/>
    <w:rsid w:val="00BB6026"/>
    <w:rsid w:val="00BB60A0"/>
    <w:rsid w:val="00BB6896"/>
    <w:rsid w:val="00BB6C09"/>
    <w:rsid w:val="00BB7579"/>
    <w:rsid w:val="00BB7662"/>
    <w:rsid w:val="00BB7B6C"/>
    <w:rsid w:val="00BB7C04"/>
    <w:rsid w:val="00BC01C5"/>
    <w:rsid w:val="00BC0757"/>
    <w:rsid w:val="00BC0F66"/>
    <w:rsid w:val="00BC1266"/>
    <w:rsid w:val="00BC13D8"/>
    <w:rsid w:val="00BC17DF"/>
    <w:rsid w:val="00BC1B13"/>
    <w:rsid w:val="00BC2FFB"/>
    <w:rsid w:val="00BC324F"/>
    <w:rsid w:val="00BC35E0"/>
    <w:rsid w:val="00BC3903"/>
    <w:rsid w:val="00BC4DB9"/>
    <w:rsid w:val="00BC52C3"/>
    <w:rsid w:val="00BC54DC"/>
    <w:rsid w:val="00BC686D"/>
    <w:rsid w:val="00BC71C6"/>
    <w:rsid w:val="00BC7371"/>
    <w:rsid w:val="00BC798B"/>
    <w:rsid w:val="00BD0904"/>
    <w:rsid w:val="00BD0DC6"/>
    <w:rsid w:val="00BD103E"/>
    <w:rsid w:val="00BD124E"/>
    <w:rsid w:val="00BD13EE"/>
    <w:rsid w:val="00BD1FE1"/>
    <w:rsid w:val="00BD2D06"/>
    <w:rsid w:val="00BD2E6A"/>
    <w:rsid w:val="00BD391D"/>
    <w:rsid w:val="00BD3D9A"/>
    <w:rsid w:val="00BD3E0B"/>
    <w:rsid w:val="00BD4CF5"/>
    <w:rsid w:val="00BD5241"/>
    <w:rsid w:val="00BD635F"/>
    <w:rsid w:val="00BD6577"/>
    <w:rsid w:val="00BD6E34"/>
    <w:rsid w:val="00BD70E0"/>
    <w:rsid w:val="00BD7437"/>
    <w:rsid w:val="00BD751E"/>
    <w:rsid w:val="00BD77DC"/>
    <w:rsid w:val="00BE0AFF"/>
    <w:rsid w:val="00BE14A5"/>
    <w:rsid w:val="00BE1A25"/>
    <w:rsid w:val="00BE23F9"/>
    <w:rsid w:val="00BE2AB6"/>
    <w:rsid w:val="00BE32FB"/>
    <w:rsid w:val="00BE3649"/>
    <w:rsid w:val="00BE3668"/>
    <w:rsid w:val="00BE48D4"/>
    <w:rsid w:val="00BE4C2E"/>
    <w:rsid w:val="00BE51CE"/>
    <w:rsid w:val="00BE5DA6"/>
    <w:rsid w:val="00BE62C6"/>
    <w:rsid w:val="00BE67FF"/>
    <w:rsid w:val="00BF140E"/>
    <w:rsid w:val="00BF1CD2"/>
    <w:rsid w:val="00BF2CB5"/>
    <w:rsid w:val="00BF30B2"/>
    <w:rsid w:val="00BF31E1"/>
    <w:rsid w:val="00BF3D9D"/>
    <w:rsid w:val="00BF407E"/>
    <w:rsid w:val="00BF410D"/>
    <w:rsid w:val="00BF4124"/>
    <w:rsid w:val="00BF4852"/>
    <w:rsid w:val="00BF5485"/>
    <w:rsid w:val="00BF5805"/>
    <w:rsid w:val="00BF5B65"/>
    <w:rsid w:val="00BF6F30"/>
    <w:rsid w:val="00BF7691"/>
    <w:rsid w:val="00C0035D"/>
    <w:rsid w:val="00C01477"/>
    <w:rsid w:val="00C01E12"/>
    <w:rsid w:val="00C02322"/>
    <w:rsid w:val="00C02949"/>
    <w:rsid w:val="00C02E28"/>
    <w:rsid w:val="00C032B3"/>
    <w:rsid w:val="00C0352F"/>
    <w:rsid w:val="00C03A86"/>
    <w:rsid w:val="00C03C5A"/>
    <w:rsid w:val="00C0406E"/>
    <w:rsid w:val="00C04737"/>
    <w:rsid w:val="00C05816"/>
    <w:rsid w:val="00C058F5"/>
    <w:rsid w:val="00C05908"/>
    <w:rsid w:val="00C05A72"/>
    <w:rsid w:val="00C060E8"/>
    <w:rsid w:val="00C06B3B"/>
    <w:rsid w:val="00C0773C"/>
    <w:rsid w:val="00C0783B"/>
    <w:rsid w:val="00C07FB8"/>
    <w:rsid w:val="00C10543"/>
    <w:rsid w:val="00C10946"/>
    <w:rsid w:val="00C10E74"/>
    <w:rsid w:val="00C13289"/>
    <w:rsid w:val="00C148E6"/>
    <w:rsid w:val="00C14C4E"/>
    <w:rsid w:val="00C14C73"/>
    <w:rsid w:val="00C14D1E"/>
    <w:rsid w:val="00C1500A"/>
    <w:rsid w:val="00C1527E"/>
    <w:rsid w:val="00C1584D"/>
    <w:rsid w:val="00C164A7"/>
    <w:rsid w:val="00C1797D"/>
    <w:rsid w:val="00C208B9"/>
    <w:rsid w:val="00C21B88"/>
    <w:rsid w:val="00C2201A"/>
    <w:rsid w:val="00C220F1"/>
    <w:rsid w:val="00C2248A"/>
    <w:rsid w:val="00C224AC"/>
    <w:rsid w:val="00C2252C"/>
    <w:rsid w:val="00C2430E"/>
    <w:rsid w:val="00C247AA"/>
    <w:rsid w:val="00C2485A"/>
    <w:rsid w:val="00C2485B"/>
    <w:rsid w:val="00C24CF2"/>
    <w:rsid w:val="00C2513F"/>
    <w:rsid w:val="00C26265"/>
    <w:rsid w:val="00C26C93"/>
    <w:rsid w:val="00C26F46"/>
    <w:rsid w:val="00C2787E"/>
    <w:rsid w:val="00C27F6D"/>
    <w:rsid w:val="00C309E0"/>
    <w:rsid w:val="00C30BF7"/>
    <w:rsid w:val="00C30FB5"/>
    <w:rsid w:val="00C31121"/>
    <w:rsid w:val="00C330E5"/>
    <w:rsid w:val="00C3394B"/>
    <w:rsid w:val="00C34B50"/>
    <w:rsid w:val="00C3529C"/>
    <w:rsid w:val="00C35656"/>
    <w:rsid w:val="00C36B90"/>
    <w:rsid w:val="00C37700"/>
    <w:rsid w:val="00C404CF"/>
    <w:rsid w:val="00C414C4"/>
    <w:rsid w:val="00C41AEC"/>
    <w:rsid w:val="00C42A89"/>
    <w:rsid w:val="00C439DF"/>
    <w:rsid w:val="00C43FB1"/>
    <w:rsid w:val="00C440D0"/>
    <w:rsid w:val="00C444EE"/>
    <w:rsid w:val="00C44CAD"/>
    <w:rsid w:val="00C44FEA"/>
    <w:rsid w:val="00C475C1"/>
    <w:rsid w:val="00C5000A"/>
    <w:rsid w:val="00C50816"/>
    <w:rsid w:val="00C50C65"/>
    <w:rsid w:val="00C50E29"/>
    <w:rsid w:val="00C50EDB"/>
    <w:rsid w:val="00C5137E"/>
    <w:rsid w:val="00C515B2"/>
    <w:rsid w:val="00C52265"/>
    <w:rsid w:val="00C531FB"/>
    <w:rsid w:val="00C53781"/>
    <w:rsid w:val="00C539DA"/>
    <w:rsid w:val="00C54F38"/>
    <w:rsid w:val="00C559C7"/>
    <w:rsid w:val="00C559FC"/>
    <w:rsid w:val="00C568B5"/>
    <w:rsid w:val="00C56F5F"/>
    <w:rsid w:val="00C57066"/>
    <w:rsid w:val="00C572AB"/>
    <w:rsid w:val="00C5765C"/>
    <w:rsid w:val="00C57802"/>
    <w:rsid w:val="00C60160"/>
    <w:rsid w:val="00C606CF"/>
    <w:rsid w:val="00C60DC1"/>
    <w:rsid w:val="00C61504"/>
    <w:rsid w:val="00C61FAE"/>
    <w:rsid w:val="00C61FAF"/>
    <w:rsid w:val="00C62B6F"/>
    <w:rsid w:val="00C6301A"/>
    <w:rsid w:val="00C637F3"/>
    <w:rsid w:val="00C6399C"/>
    <w:rsid w:val="00C63E59"/>
    <w:rsid w:val="00C64326"/>
    <w:rsid w:val="00C64984"/>
    <w:rsid w:val="00C64CEF"/>
    <w:rsid w:val="00C65443"/>
    <w:rsid w:val="00C65FEE"/>
    <w:rsid w:val="00C66719"/>
    <w:rsid w:val="00C66C2C"/>
    <w:rsid w:val="00C66C74"/>
    <w:rsid w:val="00C67010"/>
    <w:rsid w:val="00C672D3"/>
    <w:rsid w:val="00C67655"/>
    <w:rsid w:val="00C67C0F"/>
    <w:rsid w:val="00C67C59"/>
    <w:rsid w:val="00C704F6"/>
    <w:rsid w:val="00C705B1"/>
    <w:rsid w:val="00C70A2E"/>
    <w:rsid w:val="00C711DA"/>
    <w:rsid w:val="00C71392"/>
    <w:rsid w:val="00C71A15"/>
    <w:rsid w:val="00C71B1D"/>
    <w:rsid w:val="00C72291"/>
    <w:rsid w:val="00C72346"/>
    <w:rsid w:val="00C728E6"/>
    <w:rsid w:val="00C72AEA"/>
    <w:rsid w:val="00C72E37"/>
    <w:rsid w:val="00C7723C"/>
    <w:rsid w:val="00C772E3"/>
    <w:rsid w:val="00C808E5"/>
    <w:rsid w:val="00C814E1"/>
    <w:rsid w:val="00C81A71"/>
    <w:rsid w:val="00C81C18"/>
    <w:rsid w:val="00C82316"/>
    <w:rsid w:val="00C83067"/>
    <w:rsid w:val="00C83128"/>
    <w:rsid w:val="00C84AE5"/>
    <w:rsid w:val="00C865B6"/>
    <w:rsid w:val="00C868F6"/>
    <w:rsid w:val="00C86E26"/>
    <w:rsid w:val="00C92CDA"/>
    <w:rsid w:val="00C92F83"/>
    <w:rsid w:val="00C93AD5"/>
    <w:rsid w:val="00C94596"/>
    <w:rsid w:val="00C94DAB"/>
    <w:rsid w:val="00C95165"/>
    <w:rsid w:val="00C955D5"/>
    <w:rsid w:val="00C968C3"/>
    <w:rsid w:val="00C96F20"/>
    <w:rsid w:val="00C97B9B"/>
    <w:rsid w:val="00CA0565"/>
    <w:rsid w:val="00CA0C26"/>
    <w:rsid w:val="00CA0DF5"/>
    <w:rsid w:val="00CA0F66"/>
    <w:rsid w:val="00CA2A6E"/>
    <w:rsid w:val="00CA2A85"/>
    <w:rsid w:val="00CA4100"/>
    <w:rsid w:val="00CA473C"/>
    <w:rsid w:val="00CA49C9"/>
    <w:rsid w:val="00CA5E9E"/>
    <w:rsid w:val="00CA6555"/>
    <w:rsid w:val="00CA6B90"/>
    <w:rsid w:val="00CA6CB0"/>
    <w:rsid w:val="00CA707A"/>
    <w:rsid w:val="00CA753F"/>
    <w:rsid w:val="00CA7BDA"/>
    <w:rsid w:val="00CA7C30"/>
    <w:rsid w:val="00CB058A"/>
    <w:rsid w:val="00CB128D"/>
    <w:rsid w:val="00CB1562"/>
    <w:rsid w:val="00CB196C"/>
    <w:rsid w:val="00CB1ECC"/>
    <w:rsid w:val="00CB1F0F"/>
    <w:rsid w:val="00CB2F8B"/>
    <w:rsid w:val="00CB3009"/>
    <w:rsid w:val="00CB3020"/>
    <w:rsid w:val="00CB38BC"/>
    <w:rsid w:val="00CB3BDC"/>
    <w:rsid w:val="00CB48E5"/>
    <w:rsid w:val="00CB4994"/>
    <w:rsid w:val="00CB5301"/>
    <w:rsid w:val="00CB65C9"/>
    <w:rsid w:val="00CB6911"/>
    <w:rsid w:val="00CB699B"/>
    <w:rsid w:val="00CB6D7C"/>
    <w:rsid w:val="00CB7390"/>
    <w:rsid w:val="00CC0A5E"/>
    <w:rsid w:val="00CC1337"/>
    <w:rsid w:val="00CC1884"/>
    <w:rsid w:val="00CC1DB3"/>
    <w:rsid w:val="00CC25BB"/>
    <w:rsid w:val="00CC3439"/>
    <w:rsid w:val="00CC403E"/>
    <w:rsid w:val="00CC406D"/>
    <w:rsid w:val="00CC41C9"/>
    <w:rsid w:val="00CC4916"/>
    <w:rsid w:val="00CC4A92"/>
    <w:rsid w:val="00CC4E90"/>
    <w:rsid w:val="00CC519E"/>
    <w:rsid w:val="00CC5A27"/>
    <w:rsid w:val="00CC5B47"/>
    <w:rsid w:val="00CC609D"/>
    <w:rsid w:val="00CC6A9B"/>
    <w:rsid w:val="00CC7D13"/>
    <w:rsid w:val="00CD0228"/>
    <w:rsid w:val="00CD0F92"/>
    <w:rsid w:val="00CD106F"/>
    <w:rsid w:val="00CD130E"/>
    <w:rsid w:val="00CD20A1"/>
    <w:rsid w:val="00CD2D99"/>
    <w:rsid w:val="00CD3193"/>
    <w:rsid w:val="00CD34B7"/>
    <w:rsid w:val="00CD3C0C"/>
    <w:rsid w:val="00CD3EDA"/>
    <w:rsid w:val="00CD3F63"/>
    <w:rsid w:val="00CD40EB"/>
    <w:rsid w:val="00CD4422"/>
    <w:rsid w:val="00CD533A"/>
    <w:rsid w:val="00CD588F"/>
    <w:rsid w:val="00CD58E2"/>
    <w:rsid w:val="00CD616E"/>
    <w:rsid w:val="00CD6FDF"/>
    <w:rsid w:val="00CD7212"/>
    <w:rsid w:val="00CD73A3"/>
    <w:rsid w:val="00CD7B42"/>
    <w:rsid w:val="00CD7B60"/>
    <w:rsid w:val="00CE1385"/>
    <w:rsid w:val="00CE145B"/>
    <w:rsid w:val="00CE2506"/>
    <w:rsid w:val="00CE5932"/>
    <w:rsid w:val="00CE608E"/>
    <w:rsid w:val="00CE6944"/>
    <w:rsid w:val="00CE7187"/>
    <w:rsid w:val="00CE7495"/>
    <w:rsid w:val="00CE7705"/>
    <w:rsid w:val="00CF0627"/>
    <w:rsid w:val="00CF07F4"/>
    <w:rsid w:val="00CF13E4"/>
    <w:rsid w:val="00CF2484"/>
    <w:rsid w:val="00CF25D2"/>
    <w:rsid w:val="00CF34C3"/>
    <w:rsid w:val="00CF3C1F"/>
    <w:rsid w:val="00CF3DE5"/>
    <w:rsid w:val="00CF49F6"/>
    <w:rsid w:val="00CF4A03"/>
    <w:rsid w:val="00CF646E"/>
    <w:rsid w:val="00CF6520"/>
    <w:rsid w:val="00CF750D"/>
    <w:rsid w:val="00D00D25"/>
    <w:rsid w:val="00D00E05"/>
    <w:rsid w:val="00D01334"/>
    <w:rsid w:val="00D02774"/>
    <w:rsid w:val="00D02CD1"/>
    <w:rsid w:val="00D02F48"/>
    <w:rsid w:val="00D035D3"/>
    <w:rsid w:val="00D036C0"/>
    <w:rsid w:val="00D03995"/>
    <w:rsid w:val="00D03DEB"/>
    <w:rsid w:val="00D051EA"/>
    <w:rsid w:val="00D05C64"/>
    <w:rsid w:val="00D06041"/>
    <w:rsid w:val="00D068A9"/>
    <w:rsid w:val="00D06C68"/>
    <w:rsid w:val="00D077AF"/>
    <w:rsid w:val="00D078BB"/>
    <w:rsid w:val="00D07C0A"/>
    <w:rsid w:val="00D11C11"/>
    <w:rsid w:val="00D11ED8"/>
    <w:rsid w:val="00D13B4F"/>
    <w:rsid w:val="00D13CD3"/>
    <w:rsid w:val="00D15281"/>
    <w:rsid w:val="00D1551B"/>
    <w:rsid w:val="00D15685"/>
    <w:rsid w:val="00D15859"/>
    <w:rsid w:val="00D15942"/>
    <w:rsid w:val="00D167F7"/>
    <w:rsid w:val="00D16997"/>
    <w:rsid w:val="00D16F90"/>
    <w:rsid w:val="00D176AC"/>
    <w:rsid w:val="00D17D99"/>
    <w:rsid w:val="00D2018B"/>
    <w:rsid w:val="00D20448"/>
    <w:rsid w:val="00D216FA"/>
    <w:rsid w:val="00D21EB3"/>
    <w:rsid w:val="00D223FD"/>
    <w:rsid w:val="00D22567"/>
    <w:rsid w:val="00D22715"/>
    <w:rsid w:val="00D23481"/>
    <w:rsid w:val="00D236EC"/>
    <w:rsid w:val="00D24820"/>
    <w:rsid w:val="00D24DE1"/>
    <w:rsid w:val="00D25425"/>
    <w:rsid w:val="00D26A02"/>
    <w:rsid w:val="00D26B15"/>
    <w:rsid w:val="00D2772F"/>
    <w:rsid w:val="00D3092E"/>
    <w:rsid w:val="00D31827"/>
    <w:rsid w:val="00D3252A"/>
    <w:rsid w:val="00D3458A"/>
    <w:rsid w:val="00D34B51"/>
    <w:rsid w:val="00D34D7D"/>
    <w:rsid w:val="00D36157"/>
    <w:rsid w:val="00D36232"/>
    <w:rsid w:val="00D364E9"/>
    <w:rsid w:val="00D36BFE"/>
    <w:rsid w:val="00D401C7"/>
    <w:rsid w:val="00D407F8"/>
    <w:rsid w:val="00D4092E"/>
    <w:rsid w:val="00D4095F"/>
    <w:rsid w:val="00D410FD"/>
    <w:rsid w:val="00D41D71"/>
    <w:rsid w:val="00D4273D"/>
    <w:rsid w:val="00D4321A"/>
    <w:rsid w:val="00D43454"/>
    <w:rsid w:val="00D44440"/>
    <w:rsid w:val="00D446A5"/>
    <w:rsid w:val="00D44F11"/>
    <w:rsid w:val="00D45E18"/>
    <w:rsid w:val="00D463F2"/>
    <w:rsid w:val="00D50087"/>
    <w:rsid w:val="00D50A87"/>
    <w:rsid w:val="00D5262D"/>
    <w:rsid w:val="00D52BC9"/>
    <w:rsid w:val="00D53A62"/>
    <w:rsid w:val="00D548EE"/>
    <w:rsid w:val="00D55D3B"/>
    <w:rsid w:val="00D562C5"/>
    <w:rsid w:val="00D56316"/>
    <w:rsid w:val="00D568BB"/>
    <w:rsid w:val="00D57466"/>
    <w:rsid w:val="00D57AB6"/>
    <w:rsid w:val="00D57AD0"/>
    <w:rsid w:val="00D57CD5"/>
    <w:rsid w:val="00D60A35"/>
    <w:rsid w:val="00D624AD"/>
    <w:rsid w:val="00D64988"/>
    <w:rsid w:val="00D64C76"/>
    <w:rsid w:val="00D65EA8"/>
    <w:rsid w:val="00D66504"/>
    <w:rsid w:val="00D66778"/>
    <w:rsid w:val="00D670AB"/>
    <w:rsid w:val="00D678A0"/>
    <w:rsid w:val="00D67EF0"/>
    <w:rsid w:val="00D7058E"/>
    <w:rsid w:val="00D70A33"/>
    <w:rsid w:val="00D70BEE"/>
    <w:rsid w:val="00D7130E"/>
    <w:rsid w:val="00D71398"/>
    <w:rsid w:val="00D72092"/>
    <w:rsid w:val="00D72826"/>
    <w:rsid w:val="00D73C1F"/>
    <w:rsid w:val="00D73CAD"/>
    <w:rsid w:val="00D73FF7"/>
    <w:rsid w:val="00D749BE"/>
    <w:rsid w:val="00D74D10"/>
    <w:rsid w:val="00D74E3E"/>
    <w:rsid w:val="00D74F69"/>
    <w:rsid w:val="00D7503C"/>
    <w:rsid w:val="00D75115"/>
    <w:rsid w:val="00D754F3"/>
    <w:rsid w:val="00D76399"/>
    <w:rsid w:val="00D76AB9"/>
    <w:rsid w:val="00D76AE4"/>
    <w:rsid w:val="00D76D77"/>
    <w:rsid w:val="00D774D5"/>
    <w:rsid w:val="00D77746"/>
    <w:rsid w:val="00D77A00"/>
    <w:rsid w:val="00D77A54"/>
    <w:rsid w:val="00D77AC6"/>
    <w:rsid w:val="00D77F00"/>
    <w:rsid w:val="00D80A3E"/>
    <w:rsid w:val="00D80D0E"/>
    <w:rsid w:val="00D8125A"/>
    <w:rsid w:val="00D81706"/>
    <w:rsid w:val="00D81B36"/>
    <w:rsid w:val="00D821D4"/>
    <w:rsid w:val="00D824D2"/>
    <w:rsid w:val="00D82FE9"/>
    <w:rsid w:val="00D8386C"/>
    <w:rsid w:val="00D84806"/>
    <w:rsid w:val="00D85155"/>
    <w:rsid w:val="00D86536"/>
    <w:rsid w:val="00D8680B"/>
    <w:rsid w:val="00D903F6"/>
    <w:rsid w:val="00D91270"/>
    <w:rsid w:val="00D91616"/>
    <w:rsid w:val="00D92A21"/>
    <w:rsid w:val="00D9310A"/>
    <w:rsid w:val="00D93BE1"/>
    <w:rsid w:val="00D9471B"/>
    <w:rsid w:val="00D94B01"/>
    <w:rsid w:val="00D94FD6"/>
    <w:rsid w:val="00DA0796"/>
    <w:rsid w:val="00DA0BD4"/>
    <w:rsid w:val="00DA0D03"/>
    <w:rsid w:val="00DA16B9"/>
    <w:rsid w:val="00DA1802"/>
    <w:rsid w:val="00DA1DD3"/>
    <w:rsid w:val="00DA2A2E"/>
    <w:rsid w:val="00DA32AA"/>
    <w:rsid w:val="00DA33BA"/>
    <w:rsid w:val="00DA3488"/>
    <w:rsid w:val="00DA4B5C"/>
    <w:rsid w:val="00DA536C"/>
    <w:rsid w:val="00DA5B1F"/>
    <w:rsid w:val="00DA5BA9"/>
    <w:rsid w:val="00DA6723"/>
    <w:rsid w:val="00DA6C19"/>
    <w:rsid w:val="00DA6C2F"/>
    <w:rsid w:val="00DA6DCD"/>
    <w:rsid w:val="00DA6F64"/>
    <w:rsid w:val="00DA73BE"/>
    <w:rsid w:val="00DB036E"/>
    <w:rsid w:val="00DB0684"/>
    <w:rsid w:val="00DB12AA"/>
    <w:rsid w:val="00DB12B5"/>
    <w:rsid w:val="00DB148C"/>
    <w:rsid w:val="00DB2DDD"/>
    <w:rsid w:val="00DB34CC"/>
    <w:rsid w:val="00DB3661"/>
    <w:rsid w:val="00DB38B0"/>
    <w:rsid w:val="00DB3E59"/>
    <w:rsid w:val="00DB3FBB"/>
    <w:rsid w:val="00DB466B"/>
    <w:rsid w:val="00DB51C8"/>
    <w:rsid w:val="00DB5A1E"/>
    <w:rsid w:val="00DB5C34"/>
    <w:rsid w:val="00DB6854"/>
    <w:rsid w:val="00DB696E"/>
    <w:rsid w:val="00DB6D7B"/>
    <w:rsid w:val="00DB6F07"/>
    <w:rsid w:val="00DC09C3"/>
    <w:rsid w:val="00DC0AA7"/>
    <w:rsid w:val="00DC0D7D"/>
    <w:rsid w:val="00DC1660"/>
    <w:rsid w:val="00DC28C5"/>
    <w:rsid w:val="00DC3392"/>
    <w:rsid w:val="00DC36C1"/>
    <w:rsid w:val="00DC37D4"/>
    <w:rsid w:val="00DC3F5E"/>
    <w:rsid w:val="00DC44B1"/>
    <w:rsid w:val="00DC4D8D"/>
    <w:rsid w:val="00DC551D"/>
    <w:rsid w:val="00DC5A48"/>
    <w:rsid w:val="00DC66FD"/>
    <w:rsid w:val="00DC714B"/>
    <w:rsid w:val="00DC77D3"/>
    <w:rsid w:val="00DC7A73"/>
    <w:rsid w:val="00DC7E2E"/>
    <w:rsid w:val="00DD01BA"/>
    <w:rsid w:val="00DD11DB"/>
    <w:rsid w:val="00DD2193"/>
    <w:rsid w:val="00DD2F8A"/>
    <w:rsid w:val="00DD3AF8"/>
    <w:rsid w:val="00DD3B78"/>
    <w:rsid w:val="00DD3BD0"/>
    <w:rsid w:val="00DD4417"/>
    <w:rsid w:val="00DD473A"/>
    <w:rsid w:val="00DD63B7"/>
    <w:rsid w:val="00DD6A98"/>
    <w:rsid w:val="00DD6F2D"/>
    <w:rsid w:val="00DD797A"/>
    <w:rsid w:val="00DE00E6"/>
    <w:rsid w:val="00DE0DA4"/>
    <w:rsid w:val="00DE29FA"/>
    <w:rsid w:val="00DE34EE"/>
    <w:rsid w:val="00DE3642"/>
    <w:rsid w:val="00DE3B78"/>
    <w:rsid w:val="00DE40F4"/>
    <w:rsid w:val="00DE434D"/>
    <w:rsid w:val="00DE49D0"/>
    <w:rsid w:val="00DE53C9"/>
    <w:rsid w:val="00DE5841"/>
    <w:rsid w:val="00DE597A"/>
    <w:rsid w:val="00DE59D7"/>
    <w:rsid w:val="00DE5A08"/>
    <w:rsid w:val="00DE6F8B"/>
    <w:rsid w:val="00DE73FE"/>
    <w:rsid w:val="00DF0245"/>
    <w:rsid w:val="00DF0A72"/>
    <w:rsid w:val="00DF0B54"/>
    <w:rsid w:val="00DF185B"/>
    <w:rsid w:val="00DF18B3"/>
    <w:rsid w:val="00DF2B45"/>
    <w:rsid w:val="00DF2DA9"/>
    <w:rsid w:val="00DF30F5"/>
    <w:rsid w:val="00DF3E92"/>
    <w:rsid w:val="00DF43FD"/>
    <w:rsid w:val="00DF4574"/>
    <w:rsid w:val="00DF45E8"/>
    <w:rsid w:val="00DF4839"/>
    <w:rsid w:val="00DF4E66"/>
    <w:rsid w:val="00DF4FBA"/>
    <w:rsid w:val="00DF5952"/>
    <w:rsid w:val="00DF5EF3"/>
    <w:rsid w:val="00DF6E0B"/>
    <w:rsid w:val="00E0065D"/>
    <w:rsid w:val="00E00802"/>
    <w:rsid w:val="00E01357"/>
    <w:rsid w:val="00E02597"/>
    <w:rsid w:val="00E02AA4"/>
    <w:rsid w:val="00E02C75"/>
    <w:rsid w:val="00E03288"/>
    <w:rsid w:val="00E035EE"/>
    <w:rsid w:val="00E04702"/>
    <w:rsid w:val="00E04D39"/>
    <w:rsid w:val="00E04E06"/>
    <w:rsid w:val="00E0532B"/>
    <w:rsid w:val="00E0624D"/>
    <w:rsid w:val="00E06912"/>
    <w:rsid w:val="00E06BED"/>
    <w:rsid w:val="00E06C27"/>
    <w:rsid w:val="00E07166"/>
    <w:rsid w:val="00E0771E"/>
    <w:rsid w:val="00E077A4"/>
    <w:rsid w:val="00E100D8"/>
    <w:rsid w:val="00E10D4A"/>
    <w:rsid w:val="00E1221D"/>
    <w:rsid w:val="00E12650"/>
    <w:rsid w:val="00E12B0A"/>
    <w:rsid w:val="00E12DDE"/>
    <w:rsid w:val="00E12FC1"/>
    <w:rsid w:val="00E13561"/>
    <w:rsid w:val="00E1365D"/>
    <w:rsid w:val="00E138C2"/>
    <w:rsid w:val="00E13CAC"/>
    <w:rsid w:val="00E140A3"/>
    <w:rsid w:val="00E14734"/>
    <w:rsid w:val="00E1560A"/>
    <w:rsid w:val="00E15D7B"/>
    <w:rsid w:val="00E15DD9"/>
    <w:rsid w:val="00E162C8"/>
    <w:rsid w:val="00E16C2B"/>
    <w:rsid w:val="00E1701C"/>
    <w:rsid w:val="00E176B7"/>
    <w:rsid w:val="00E179DB"/>
    <w:rsid w:val="00E214B6"/>
    <w:rsid w:val="00E21A05"/>
    <w:rsid w:val="00E21AD3"/>
    <w:rsid w:val="00E21C5C"/>
    <w:rsid w:val="00E22089"/>
    <w:rsid w:val="00E2289B"/>
    <w:rsid w:val="00E24407"/>
    <w:rsid w:val="00E24667"/>
    <w:rsid w:val="00E24DAB"/>
    <w:rsid w:val="00E24E42"/>
    <w:rsid w:val="00E26358"/>
    <w:rsid w:val="00E26490"/>
    <w:rsid w:val="00E264FF"/>
    <w:rsid w:val="00E26B1C"/>
    <w:rsid w:val="00E275F2"/>
    <w:rsid w:val="00E3032D"/>
    <w:rsid w:val="00E3135F"/>
    <w:rsid w:val="00E3137C"/>
    <w:rsid w:val="00E31432"/>
    <w:rsid w:val="00E32749"/>
    <w:rsid w:val="00E327A1"/>
    <w:rsid w:val="00E343FF"/>
    <w:rsid w:val="00E35616"/>
    <w:rsid w:val="00E36CC6"/>
    <w:rsid w:val="00E37B7B"/>
    <w:rsid w:val="00E40B7D"/>
    <w:rsid w:val="00E41852"/>
    <w:rsid w:val="00E422F5"/>
    <w:rsid w:val="00E427F7"/>
    <w:rsid w:val="00E42C8A"/>
    <w:rsid w:val="00E42CF0"/>
    <w:rsid w:val="00E43C9D"/>
    <w:rsid w:val="00E440A9"/>
    <w:rsid w:val="00E447E7"/>
    <w:rsid w:val="00E44E76"/>
    <w:rsid w:val="00E44F19"/>
    <w:rsid w:val="00E4560F"/>
    <w:rsid w:val="00E458BA"/>
    <w:rsid w:val="00E4741A"/>
    <w:rsid w:val="00E50540"/>
    <w:rsid w:val="00E50F7C"/>
    <w:rsid w:val="00E52265"/>
    <w:rsid w:val="00E52536"/>
    <w:rsid w:val="00E527B9"/>
    <w:rsid w:val="00E52ED4"/>
    <w:rsid w:val="00E53004"/>
    <w:rsid w:val="00E531C5"/>
    <w:rsid w:val="00E539FC"/>
    <w:rsid w:val="00E54859"/>
    <w:rsid w:val="00E54D2B"/>
    <w:rsid w:val="00E55248"/>
    <w:rsid w:val="00E55345"/>
    <w:rsid w:val="00E55462"/>
    <w:rsid w:val="00E561AB"/>
    <w:rsid w:val="00E5656E"/>
    <w:rsid w:val="00E56FFF"/>
    <w:rsid w:val="00E57DD1"/>
    <w:rsid w:val="00E60B65"/>
    <w:rsid w:val="00E60FC5"/>
    <w:rsid w:val="00E61400"/>
    <w:rsid w:val="00E61E0D"/>
    <w:rsid w:val="00E6249B"/>
    <w:rsid w:val="00E624F8"/>
    <w:rsid w:val="00E62C9D"/>
    <w:rsid w:val="00E634E7"/>
    <w:rsid w:val="00E63583"/>
    <w:rsid w:val="00E63717"/>
    <w:rsid w:val="00E639BC"/>
    <w:rsid w:val="00E64291"/>
    <w:rsid w:val="00E6620B"/>
    <w:rsid w:val="00E7088E"/>
    <w:rsid w:val="00E70988"/>
    <w:rsid w:val="00E70A27"/>
    <w:rsid w:val="00E70CE3"/>
    <w:rsid w:val="00E71CA6"/>
    <w:rsid w:val="00E71FB1"/>
    <w:rsid w:val="00E72B9B"/>
    <w:rsid w:val="00E73098"/>
    <w:rsid w:val="00E739F8"/>
    <w:rsid w:val="00E73E44"/>
    <w:rsid w:val="00E74803"/>
    <w:rsid w:val="00E74C8A"/>
    <w:rsid w:val="00E74DA5"/>
    <w:rsid w:val="00E75814"/>
    <w:rsid w:val="00E75C4D"/>
    <w:rsid w:val="00E769FF"/>
    <w:rsid w:val="00E76AB3"/>
    <w:rsid w:val="00E76B12"/>
    <w:rsid w:val="00E76B43"/>
    <w:rsid w:val="00E80BF2"/>
    <w:rsid w:val="00E80F7E"/>
    <w:rsid w:val="00E8125D"/>
    <w:rsid w:val="00E812E9"/>
    <w:rsid w:val="00E8130F"/>
    <w:rsid w:val="00E81385"/>
    <w:rsid w:val="00E816C6"/>
    <w:rsid w:val="00E81D84"/>
    <w:rsid w:val="00E81EB4"/>
    <w:rsid w:val="00E81EFE"/>
    <w:rsid w:val="00E8235E"/>
    <w:rsid w:val="00E824D4"/>
    <w:rsid w:val="00E825CA"/>
    <w:rsid w:val="00E832EC"/>
    <w:rsid w:val="00E8367A"/>
    <w:rsid w:val="00E84651"/>
    <w:rsid w:val="00E84962"/>
    <w:rsid w:val="00E8542C"/>
    <w:rsid w:val="00E85938"/>
    <w:rsid w:val="00E87BDF"/>
    <w:rsid w:val="00E87E5B"/>
    <w:rsid w:val="00E90EB4"/>
    <w:rsid w:val="00E90FF0"/>
    <w:rsid w:val="00E9203D"/>
    <w:rsid w:val="00E9294C"/>
    <w:rsid w:val="00E92A40"/>
    <w:rsid w:val="00E92C67"/>
    <w:rsid w:val="00E94370"/>
    <w:rsid w:val="00E95775"/>
    <w:rsid w:val="00E95BAF"/>
    <w:rsid w:val="00E9619D"/>
    <w:rsid w:val="00E97A9C"/>
    <w:rsid w:val="00EA0056"/>
    <w:rsid w:val="00EA0F57"/>
    <w:rsid w:val="00EA1CBE"/>
    <w:rsid w:val="00EA2E21"/>
    <w:rsid w:val="00EA30BD"/>
    <w:rsid w:val="00EA3132"/>
    <w:rsid w:val="00EA3C81"/>
    <w:rsid w:val="00EA44E9"/>
    <w:rsid w:val="00EA485F"/>
    <w:rsid w:val="00EA4BD7"/>
    <w:rsid w:val="00EA68A4"/>
    <w:rsid w:val="00EA6A8E"/>
    <w:rsid w:val="00EB0232"/>
    <w:rsid w:val="00EB0CDA"/>
    <w:rsid w:val="00EB11B2"/>
    <w:rsid w:val="00EB158D"/>
    <w:rsid w:val="00EB1D75"/>
    <w:rsid w:val="00EB2CCE"/>
    <w:rsid w:val="00EB32EB"/>
    <w:rsid w:val="00EB40A6"/>
    <w:rsid w:val="00EB4CAC"/>
    <w:rsid w:val="00EB5DB6"/>
    <w:rsid w:val="00EB64E0"/>
    <w:rsid w:val="00EB66CD"/>
    <w:rsid w:val="00EB672B"/>
    <w:rsid w:val="00EB711C"/>
    <w:rsid w:val="00EC0951"/>
    <w:rsid w:val="00EC2621"/>
    <w:rsid w:val="00EC2E62"/>
    <w:rsid w:val="00EC31E1"/>
    <w:rsid w:val="00EC38B6"/>
    <w:rsid w:val="00EC39C2"/>
    <w:rsid w:val="00EC3A5F"/>
    <w:rsid w:val="00EC4B2A"/>
    <w:rsid w:val="00EC4D16"/>
    <w:rsid w:val="00EC5096"/>
    <w:rsid w:val="00EC5333"/>
    <w:rsid w:val="00EC5DA6"/>
    <w:rsid w:val="00EC626E"/>
    <w:rsid w:val="00EC6CAD"/>
    <w:rsid w:val="00EC759B"/>
    <w:rsid w:val="00EC7906"/>
    <w:rsid w:val="00EC7BBB"/>
    <w:rsid w:val="00EC7C55"/>
    <w:rsid w:val="00ED04A7"/>
    <w:rsid w:val="00ED0765"/>
    <w:rsid w:val="00ED1A3F"/>
    <w:rsid w:val="00ED1DDC"/>
    <w:rsid w:val="00ED220D"/>
    <w:rsid w:val="00ED2A42"/>
    <w:rsid w:val="00ED2C9E"/>
    <w:rsid w:val="00ED310C"/>
    <w:rsid w:val="00ED364A"/>
    <w:rsid w:val="00ED3C04"/>
    <w:rsid w:val="00ED4896"/>
    <w:rsid w:val="00ED5341"/>
    <w:rsid w:val="00EE086A"/>
    <w:rsid w:val="00EE198F"/>
    <w:rsid w:val="00EE19E3"/>
    <w:rsid w:val="00EE1F1A"/>
    <w:rsid w:val="00EE3065"/>
    <w:rsid w:val="00EE30A9"/>
    <w:rsid w:val="00EE3478"/>
    <w:rsid w:val="00EE41E2"/>
    <w:rsid w:val="00EE4458"/>
    <w:rsid w:val="00EE44D3"/>
    <w:rsid w:val="00EE53A2"/>
    <w:rsid w:val="00EE541A"/>
    <w:rsid w:val="00EE5501"/>
    <w:rsid w:val="00EE5CAB"/>
    <w:rsid w:val="00EE64AE"/>
    <w:rsid w:val="00EE7EC4"/>
    <w:rsid w:val="00EF06F7"/>
    <w:rsid w:val="00EF22D7"/>
    <w:rsid w:val="00EF50EA"/>
    <w:rsid w:val="00EF55B5"/>
    <w:rsid w:val="00EF6673"/>
    <w:rsid w:val="00EF67E7"/>
    <w:rsid w:val="00EF6D94"/>
    <w:rsid w:val="00F0000D"/>
    <w:rsid w:val="00F0183F"/>
    <w:rsid w:val="00F0231D"/>
    <w:rsid w:val="00F0251F"/>
    <w:rsid w:val="00F02620"/>
    <w:rsid w:val="00F03B5B"/>
    <w:rsid w:val="00F04579"/>
    <w:rsid w:val="00F0485E"/>
    <w:rsid w:val="00F0486E"/>
    <w:rsid w:val="00F04B30"/>
    <w:rsid w:val="00F05A29"/>
    <w:rsid w:val="00F05EE2"/>
    <w:rsid w:val="00F06A77"/>
    <w:rsid w:val="00F1076B"/>
    <w:rsid w:val="00F10834"/>
    <w:rsid w:val="00F10DC2"/>
    <w:rsid w:val="00F12126"/>
    <w:rsid w:val="00F122F7"/>
    <w:rsid w:val="00F1273D"/>
    <w:rsid w:val="00F13001"/>
    <w:rsid w:val="00F13347"/>
    <w:rsid w:val="00F136DE"/>
    <w:rsid w:val="00F13987"/>
    <w:rsid w:val="00F1468B"/>
    <w:rsid w:val="00F148EC"/>
    <w:rsid w:val="00F14B11"/>
    <w:rsid w:val="00F14F6A"/>
    <w:rsid w:val="00F15706"/>
    <w:rsid w:val="00F15B96"/>
    <w:rsid w:val="00F15CAB"/>
    <w:rsid w:val="00F1653D"/>
    <w:rsid w:val="00F1767C"/>
    <w:rsid w:val="00F177DE"/>
    <w:rsid w:val="00F201CC"/>
    <w:rsid w:val="00F20683"/>
    <w:rsid w:val="00F20A01"/>
    <w:rsid w:val="00F21DBA"/>
    <w:rsid w:val="00F227F1"/>
    <w:rsid w:val="00F22DCF"/>
    <w:rsid w:val="00F2303D"/>
    <w:rsid w:val="00F23C36"/>
    <w:rsid w:val="00F23DCD"/>
    <w:rsid w:val="00F23F59"/>
    <w:rsid w:val="00F2558D"/>
    <w:rsid w:val="00F25AC5"/>
    <w:rsid w:val="00F30BC6"/>
    <w:rsid w:val="00F314FD"/>
    <w:rsid w:val="00F316AE"/>
    <w:rsid w:val="00F319FA"/>
    <w:rsid w:val="00F31F86"/>
    <w:rsid w:val="00F327E7"/>
    <w:rsid w:val="00F33433"/>
    <w:rsid w:val="00F34108"/>
    <w:rsid w:val="00F3423C"/>
    <w:rsid w:val="00F3583D"/>
    <w:rsid w:val="00F35DE4"/>
    <w:rsid w:val="00F36012"/>
    <w:rsid w:val="00F36690"/>
    <w:rsid w:val="00F36C81"/>
    <w:rsid w:val="00F377D9"/>
    <w:rsid w:val="00F37889"/>
    <w:rsid w:val="00F40493"/>
    <w:rsid w:val="00F4084D"/>
    <w:rsid w:val="00F40EE8"/>
    <w:rsid w:val="00F423BF"/>
    <w:rsid w:val="00F42E78"/>
    <w:rsid w:val="00F43A3F"/>
    <w:rsid w:val="00F440A1"/>
    <w:rsid w:val="00F444C5"/>
    <w:rsid w:val="00F44CF3"/>
    <w:rsid w:val="00F46034"/>
    <w:rsid w:val="00F478EE"/>
    <w:rsid w:val="00F47C7C"/>
    <w:rsid w:val="00F5067A"/>
    <w:rsid w:val="00F50713"/>
    <w:rsid w:val="00F50A00"/>
    <w:rsid w:val="00F50FAA"/>
    <w:rsid w:val="00F52D92"/>
    <w:rsid w:val="00F53C74"/>
    <w:rsid w:val="00F53F3A"/>
    <w:rsid w:val="00F54065"/>
    <w:rsid w:val="00F54C4A"/>
    <w:rsid w:val="00F550FA"/>
    <w:rsid w:val="00F55333"/>
    <w:rsid w:val="00F56299"/>
    <w:rsid w:val="00F57371"/>
    <w:rsid w:val="00F576DB"/>
    <w:rsid w:val="00F6078D"/>
    <w:rsid w:val="00F608D8"/>
    <w:rsid w:val="00F60A02"/>
    <w:rsid w:val="00F61122"/>
    <w:rsid w:val="00F61CEE"/>
    <w:rsid w:val="00F627B2"/>
    <w:rsid w:val="00F62D48"/>
    <w:rsid w:val="00F635E8"/>
    <w:rsid w:val="00F63875"/>
    <w:rsid w:val="00F64212"/>
    <w:rsid w:val="00F6512A"/>
    <w:rsid w:val="00F65257"/>
    <w:rsid w:val="00F655D1"/>
    <w:rsid w:val="00F6586B"/>
    <w:rsid w:val="00F66AED"/>
    <w:rsid w:val="00F66C92"/>
    <w:rsid w:val="00F678C0"/>
    <w:rsid w:val="00F70048"/>
    <w:rsid w:val="00F70F43"/>
    <w:rsid w:val="00F7121E"/>
    <w:rsid w:val="00F71EFE"/>
    <w:rsid w:val="00F72ACF"/>
    <w:rsid w:val="00F73BDA"/>
    <w:rsid w:val="00F74112"/>
    <w:rsid w:val="00F74D4D"/>
    <w:rsid w:val="00F754D8"/>
    <w:rsid w:val="00F75562"/>
    <w:rsid w:val="00F75D11"/>
    <w:rsid w:val="00F7679F"/>
    <w:rsid w:val="00F76B7C"/>
    <w:rsid w:val="00F80909"/>
    <w:rsid w:val="00F80D6F"/>
    <w:rsid w:val="00F81CAE"/>
    <w:rsid w:val="00F82C1B"/>
    <w:rsid w:val="00F8311E"/>
    <w:rsid w:val="00F83217"/>
    <w:rsid w:val="00F8390F"/>
    <w:rsid w:val="00F83F4B"/>
    <w:rsid w:val="00F84283"/>
    <w:rsid w:val="00F84C39"/>
    <w:rsid w:val="00F84F3C"/>
    <w:rsid w:val="00F851B0"/>
    <w:rsid w:val="00F85411"/>
    <w:rsid w:val="00F8575B"/>
    <w:rsid w:val="00F860C1"/>
    <w:rsid w:val="00F8634C"/>
    <w:rsid w:val="00F86480"/>
    <w:rsid w:val="00F8677E"/>
    <w:rsid w:val="00F86C22"/>
    <w:rsid w:val="00F86FC9"/>
    <w:rsid w:val="00F87EA0"/>
    <w:rsid w:val="00F9076E"/>
    <w:rsid w:val="00F92A58"/>
    <w:rsid w:val="00F932A3"/>
    <w:rsid w:val="00F942AD"/>
    <w:rsid w:val="00F94808"/>
    <w:rsid w:val="00F949C7"/>
    <w:rsid w:val="00F94EA0"/>
    <w:rsid w:val="00F95E29"/>
    <w:rsid w:val="00F96662"/>
    <w:rsid w:val="00F96909"/>
    <w:rsid w:val="00F97CDB"/>
    <w:rsid w:val="00FA1076"/>
    <w:rsid w:val="00FA2E80"/>
    <w:rsid w:val="00FA3833"/>
    <w:rsid w:val="00FA4F55"/>
    <w:rsid w:val="00FA516F"/>
    <w:rsid w:val="00FA51A5"/>
    <w:rsid w:val="00FA5345"/>
    <w:rsid w:val="00FA5938"/>
    <w:rsid w:val="00FA73AB"/>
    <w:rsid w:val="00FA751F"/>
    <w:rsid w:val="00FA7D94"/>
    <w:rsid w:val="00FB0CF8"/>
    <w:rsid w:val="00FB0FA9"/>
    <w:rsid w:val="00FB2051"/>
    <w:rsid w:val="00FB229E"/>
    <w:rsid w:val="00FB2BA4"/>
    <w:rsid w:val="00FB3717"/>
    <w:rsid w:val="00FB37A0"/>
    <w:rsid w:val="00FB3B25"/>
    <w:rsid w:val="00FB42AA"/>
    <w:rsid w:val="00FB42B0"/>
    <w:rsid w:val="00FB486E"/>
    <w:rsid w:val="00FB4FA0"/>
    <w:rsid w:val="00FB6582"/>
    <w:rsid w:val="00FB728A"/>
    <w:rsid w:val="00FB72D2"/>
    <w:rsid w:val="00FB736F"/>
    <w:rsid w:val="00FB74A7"/>
    <w:rsid w:val="00FB7EE3"/>
    <w:rsid w:val="00FC05F4"/>
    <w:rsid w:val="00FC0EE5"/>
    <w:rsid w:val="00FC1166"/>
    <w:rsid w:val="00FC1C5E"/>
    <w:rsid w:val="00FC1D51"/>
    <w:rsid w:val="00FC22AE"/>
    <w:rsid w:val="00FC2F3F"/>
    <w:rsid w:val="00FC324B"/>
    <w:rsid w:val="00FC3923"/>
    <w:rsid w:val="00FC3943"/>
    <w:rsid w:val="00FC458B"/>
    <w:rsid w:val="00FC5C0C"/>
    <w:rsid w:val="00FC630C"/>
    <w:rsid w:val="00FC6B28"/>
    <w:rsid w:val="00FD081E"/>
    <w:rsid w:val="00FD0D11"/>
    <w:rsid w:val="00FD138D"/>
    <w:rsid w:val="00FD189D"/>
    <w:rsid w:val="00FD19AD"/>
    <w:rsid w:val="00FD22A7"/>
    <w:rsid w:val="00FD2376"/>
    <w:rsid w:val="00FD2D87"/>
    <w:rsid w:val="00FD2E16"/>
    <w:rsid w:val="00FD3358"/>
    <w:rsid w:val="00FD3F40"/>
    <w:rsid w:val="00FD3F45"/>
    <w:rsid w:val="00FD4207"/>
    <w:rsid w:val="00FD4388"/>
    <w:rsid w:val="00FD532B"/>
    <w:rsid w:val="00FD5365"/>
    <w:rsid w:val="00FD6AB2"/>
    <w:rsid w:val="00FD70BD"/>
    <w:rsid w:val="00FE0037"/>
    <w:rsid w:val="00FE14DE"/>
    <w:rsid w:val="00FE246C"/>
    <w:rsid w:val="00FE267B"/>
    <w:rsid w:val="00FE2B15"/>
    <w:rsid w:val="00FE2C9D"/>
    <w:rsid w:val="00FE2E04"/>
    <w:rsid w:val="00FE2F9F"/>
    <w:rsid w:val="00FE41E2"/>
    <w:rsid w:val="00FE4E41"/>
    <w:rsid w:val="00FE503E"/>
    <w:rsid w:val="00FE50CE"/>
    <w:rsid w:val="00FE5618"/>
    <w:rsid w:val="00FE57FE"/>
    <w:rsid w:val="00FE7443"/>
    <w:rsid w:val="00FE7BC5"/>
    <w:rsid w:val="00FF008E"/>
    <w:rsid w:val="00FF0691"/>
    <w:rsid w:val="00FF2196"/>
    <w:rsid w:val="00FF3659"/>
    <w:rsid w:val="00FF4408"/>
    <w:rsid w:val="00FF472F"/>
    <w:rsid w:val="00FF4C6D"/>
    <w:rsid w:val="00FF4E93"/>
    <w:rsid w:val="00FF50E5"/>
    <w:rsid w:val="00FF5212"/>
    <w:rsid w:val="00FF55B6"/>
    <w:rsid w:val="00FF5866"/>
    <w:rsid w:val="00FF5A94"/>
    <w:rsid w:val="00FF5C55"/>
    <w:rsid w:val="00FF6442"/>
    <w:rsid w:val="00FF64E2"/>
    <w:rsid w:val="00FF6AAE"/>
    <w:rsid w:val="00FF72EE"/>
    <w:rsid w:val="00FF7E54"/>
    <w:rsid w:val="149C1325"/>
    <w:rsid w:val="1B4BFF46"/>
    <w:rsid w:val="1D78D840"/>
    <w:rsid w:val="1F64E7AE"/>
    <w:rsid w:val="20CF6B5D"/>
    <w:rsid w:val="26FBA3EF"/>
    <w:rsid w:val="28FC3361"/>
    <w:rsid w:val="2914A78E"/>
    <w:rsid w:val="2D2C03BC"/>
    <w:rsid w:val="2FD54490"/>
    <w:rsid w:val="36023058"/>
    <w:rsid w:val="38ED470D"/>
    <w:rsid w:val="3D7FDBFD"/>
    <w:rsid w:val="3E5AF5FF"/>
    <w:rsid w:val="4027D880"/>
    <w:rsid w:val="405F9980"/>
    <w:rsid w:val="458FEF9C"/>
    <w:rsid w:val="515485A5"/>
    <w:rsid w:val="571228B5"/>
    <w:rsid w:val="58780AF0"/>
    <w:rsid w:val="58A0DBF6"/>
    <w:rsid w:val="5C3036AD"/>
    <w:rsid w:val="5D57C3E4"/>
    <w:rsid w:val="629FD116"/>
    <w:rsid w:val="64E4CDC1"/>
    <w:rsid w:val="699CC701"/>
    <w:rsid w:val="6AF82B86"/>
    <w:rsid w:val="7001FD72"/>
    <w:rsid w:val="7648B021"/>
    <w:rsid w:val="7F757E9A"/>
  </w:rsids>
  <m:mathPr>
    <m:mathFont m:val="Cambria Math"/>
    <m:brkBin m:val="before"/>
    <m:brkBinSub m:val="--"/>
    <m:smallFrac m:val="0"/>
    <m:dispDef/>
    <m:lMargin m:val="0"/>
    <m:rMargin m:val="0"/>
    <m:defJc m:val="centerGroup"/>
    <m:wrapIndent m:val="1440"/>
    <m:intLim m:val="subSup"/>
    <m:naryLim m:val="undOvr"/>
  </m:mathPr>
  <w:themeFontLang w:val="en-US" w:eastAsia="zh-TW"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D2ED340"/>
  <w15:chartTrackingRefBased/>
  <w15:docId w15:val="{9844DE84-462D-4DDA-87B8-233B8F79D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HAnsi" w:hAnsi="Times New Roman" w:cs="Times New Roman"/>
        <w:color w:val="767171"/>
        <w:spacing w:val="20"/>
        <w:sz w:val="24"/>
        <w:szCs w:val="24"/>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8D7F4E"/>
  </w:style>
  <w:style w:type="paragraph" w:styleId="Ttulo1">
    <w:name w:val="heading 1"/>
    <w:basedOn w:val="Normal"/>
    <w:next w:val="Normal"/>
    <w:link w:val="Ttulo1Car"/>
    <w:uiPriority w:val="9"/>
    <w:qFormat/>
    <w:rsid w:val="00654164"/>
    <w:pPr>
      <w:keepNext/>
      <w:keepLines/>
      <w:spacing w:before="240" w:after="0" w:line="360" w:lineRule="auto"/>
      <w:jc w:val="center"/>
      <w:outlineLvl w:val="0"/>
    </w:pPr>
    <w:rPr>
      <w:rFonts w:eastAsiaTheme="majorEastAsia" w:cstheme="majorBidi"/>
      <w:b/>
      <w:color w:val="767171" w:themeColor="background2" w:themeShade="80"/>
      <w:sz w:val="28"/>
      <w:szCs w:val="32"/>
    </w:rPr>
  </w:style>
  <w:style w:type="paragraph" w:styleId="Ttulo2">
    <w:name w:val="heading 2"/>
    <w:basedOn w:val="Normal"/>
    <w:next w:val="Normal"/>
    <w:link w:val="Ttulo2Car"/>
    <w:uiPriority w:val="9"/>
    <w:semiHidden/>
    <w:unhideWhenUsed/>
    <w:qFormat/>
    <w:rsid w:val="00A630BC"/>
    <w:pPr>
      <w:keepNext/>
      <w:keepLines/>
      <w:spacing w:before="40" w:after="0"/>
      <w:outlineLvl w:val="1"/>
    </w:pPr>
    <w:rPr>
      <w:rFonts w:eastAsiaTheme="majorEastAsia" w:cstheme="majorBidi"/>
      <w:color w:val="595959" w:themeColor="text1" w:themeTint="A6"/>
      <w:szCs w:val="26"/>
    </w:rPr>
  </w:style>
  <w:style w:type="paragraph" w:styleId="Ttulo3">
    <w:name w:val="heading 3"/>
    <w:basedOn w:val="Normal"/>
    <w:next w:val="Normal"/>
    <w:link w:val="Ttulo3Car"/>
    <w:uiPriority w:val="9"/>
    <w:unhideWhenUsed/>
    <w:qFormat/>
    <w:rsid w:val="00E52ED4"/>
    <w:pPr>
      <w:keepNext/>
      <w:spacing w:before="240" w:after="60"/>
      <w:jc w:val="both"/>
      <w:outlineLvl w:val="2"/>
    </w:pPr>
    <w:rPr>
      <w:rFonts w:ascii="Calibri Light" w:eastAsia="Times New Roman" w:hAnsi="Calibri Light"/>
      <w:b/>
      <w:bCs/>
      <w:color w:val="auto"/>
      <w:spacing w:val="0"/>
      <w:sz w:val="26"/>
      <w:szCs w:val="26"/>
      <w:lang w:val="es-ES"/>
    </w:rPr>
  </w:style>
  <w:style w:type="paragraph" w:styleId="Ttulo4">
    <w:name w:val="heading 4"/>
    <w:basedOn w:val="Normal"/>
    <w:next w:val="Normal"/>
    <w:link w:val="Ttulo4Car"/>
    <w:uiPriority w:val="9"/>
    <w:semiHidden/>
    <w:unhideWhenUsed/>
    <w:qFormat/>
    <w:rsid w:val="00E52ED4"/>
    <w:pPr>
      <w:keepNext/>
      <w:spacing w:before="240" w:after="60"/>
      <w:jc w:val="both"/>
      <w:outlineLvl w:val="3"/>
    </w:pPr>
    <w:rPr>
      <w:rFonts w:ascii="Calibri" w:eastAsia="Times New Roman" w:hAnsi="Calibri"/>
      <w:b/>
      <w:bCs/>
      <w:color w:val="auto"/>
      <w:spacing w:val="0"/>
      <w:sz w:val="28"/>
      <w:szCs w:val="28"/>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E84651"/>
    <w:pPr>
      <w:tabs>
        <w:tab w:val="center" w:pos="4680"/>
        <w:tab w:val="right" w:pos="9360"/>
      </w:tabs>
      <w:spacing w:after="0" w:line="240" w:lineRule="auto"/>
    </w:pPr>
  </w:style>
  <w:style w:type="character" w:customStyle="1" w:styleId="EncabezadoCar">
    <w:name w:val="Encabezado Car"/>
    <w:basedOn w:val="Fuentedeprrafopredeter"/>
    <w:link w:val="Encabezado"/>
    <w:uiPriority w:val="99"/>
    <w:rsid w:val="00E84651"/>
  </w:style>
  <w:style w:type="paragraph" w:styleId="Piedepgina">
    <w:name w:val="footer"/>
    <w:basedOn w:val="Normal"/>
    <w:link w:val="PiedepginaCar"/>
    <w:uiPriority w:val="99"/>
    <w:unhideWhenUsed/>
    <w:rsid w:val="00E84651"/>
    <w:pPr>
      <w:tabs>
        <w:tab w:val="center" w:pos="4680"/>
        <w:tab w:val="right" w:pos="9360"/>
      </w:tabs>
      <w:spacing w:after="0" w:line="240" w:lineRule="auto"/>
    </w:pPr>
  </w:style>
  <w:style w:type="character" w:customStyle="1" w:styleId="PiedepginaCar">
    <w:name w:val="Pie de página Car"/>
    <w:basedOn w:val="Fuentedeprrafopredeter"/>
    <w:link w:val="Piedepgina"/>
    <w:uiPriority w:val="99"/>
    <w:rsid w:val="00E84651"/>
  </w:style>
  <w:style w:type="paragraph" w:styleId="Sinespaciado">
    <w:name w:val="No Spacing"/>
    <w:uiPriority w:val="1"/>
    <w:qFormat/>
    <w:rsid w:val="005273D1"/>
    <w:pPr>
      <w:spacing w:after="0" w:line="240" w:lineRule="auto"/>
    </w:pPr>
    <w:rPr>
      <w:rFonts w:eastAsia="Calibri"/>
      <w:color w:val="595959" w:themeColor="text1" w:themeTint="A6"/>
    </w:rPr>
  </w:style>
  <w:style w:type="character" w:customStyle="1" w:styleId="Ttulo1Car">
    <w:name w:val="Título 1 Car"/>
    <w:basedOn w:val="Fuentedeprrafopredeter"/>
    <w:link w:val="Ttulo1"/>
    <w:uiPriority w:val="9"/>
    <w:rsid w:val="00654164"/>
    <w:rPr>
      <w:rFonts w:ascii="Times New Roman" w:eastAsiaTheme="majorEastAsia" w:hAnsi="Times New Roman" w:cstheme="majorBidi"/>
      <w:b/>
      <w:color w:val="767171" w:themeColor="background2" w:themeShade="80"/>
      <w:sz w:val="28"/>
      <w:szCs w:val="32"/>
    </w:rPr>
  </w:style>
  <w:style w:type="paragraph" w:styleId="TtuloTDC">
    <w:name w:val="TOC Heading"/>
    <w:basedOn w:val="Ttulo1"/>
    <w:next w:val="Normal"/>
    <w:uiPriority w:val="39"/>
    <w:unhideWhenUsed/>
    <w:qFormat/>
    <w:rsid w:val="00BA2267"/>
    <w:pPr>
      <w:spacing w:line="259" w:lineRule="auto"/>
      <w:jc w:val="left"/>
      <w:outlineLvl w:val="9"/>
    </w:pPr>
    <w:rPr>
      <w:rFonts w:asciiTheme="majorHAnsi" w:hAnsiTheme="majorHAnsi"/>
      <w:b w:val="0"/>
      <w:color w:val="2F5496" w:themeColor="accent1" w:themeShade="BF"/>
      <w:sz w:val="32"/>
    </w:rPr>
  </w:style>
  <w:style w:type="paragraph" w:styleId="TDC1">
    <w:name w:val="toc 1"/>
    <w:basedOn w:val="Normal"/>
    <w:next w:val="Normal"/>
    <w:autoRedefine/>
    <w:uiPriority w:val="39"/>
    <w:unhideWhenUsed/>
    <w:rsid w:val="00BA2267"/>
    <w:pPr>
      <w:spacing w:after="100"/>
    </w:pPr>
  </w:style>
  <w:style w:type="character" w:styleId="Hipervnculo">
    <w:name w:val="Hyperlink"/>
    <w:basedOn w:val="Fuentedeprrafopredeter"/>
    <w:uiPriority w:val="99"/>
    <w:unhideWhenUsed/>
    <w:rsid w:val="00BA2267"/>
    <w:rPr>
      <w:color w:val="0563C1" w:themeColor="hyperlink"/>
      <w:u w:val="single"/>
    </w:rPr>
  </w:style>
  <w:style w:type="character" w:customStyle="1" w:styleId="Ttulo2Car">
    <w:name w:val="Título 2 Car"/>
    <w:basedOn w:val="Fuentedeprrafopredeter"/>
    <w:link w:val="Ttulo2"/>
    <w:uiPriority w:val="9"/>
    <w:semiHidden/>
    <w:rsid w:val="00A630BC"/>
    <w:rPr>
      <w:rFonts w:eastAsiaTheme="majorEastAsia" w:cstheme="majorBidi"/>
      <w:color w:val="595959" w:themeColor="text1" w:themeTint="A6"/>
      <w:szCs w:val="26"/>
    </w:rPr>
  </w:style>
  <w:style w:type="character" w:customStyle="1" w:styleId="Ttulo3Car">
    <w:name w:val="Título 3 Car"/>
    <w:basedOn w:val="Fuentedeprrafopredeter"/>
    <w:link w:val="Ttulo3"/>
    <w:uiPriority w:val="9"/>
    <w:rsid w:val="00E52ED4"/>
    <w:rPr>
      <w:rFonts w:ascii="Calibri Light" w:eastAsia="Times New Roman" w:hAnsi="Calibri Light"/>
      <w:b/>
      <w:bCs/>
      <w:color w:val="auto"/>
      <w:spacing w:val="0"/>
      <w:sz w:val="26"/>
      <w:szCs w:val="26"/>
      <w:lang w:val="es-ES"/>
    </w:rPr>
  </w:style>
  <w:style w:type="character" w:customStyle="1" w:styleId="Ttulo4Car">
    <w:name w:val="Título 4 Car"/>
    <w:basedOn w:val="Fuentedeprrafopredeter"/>
    <w:link w:val="Ttulo4"/>
    <w:uiPriority w:val="9"/>
    <w:semiHidden/>
    <w:rsid w:val="00E52ED4"/>
    <w:rPr>
      <w:rFonts w:ascii="Calibri" w:eastAsia="Times New Roman" w:hAnsi="Calibri"/>
      <w:b/>
      <w:bCs/>
      <w:color w:val="auto"/>
      <w:spacing w:val="0"/>
      <w:sz w:val="28"/>
      <w:szCs w:val="28"/>
      <w:lang w:val="es-ES"/>
    </w:rPr>
  </w:style>
  <w:style w:type="character" w:styleId="nfasisintenso">
    <w:name w:val="Intense Emphasis"/>
    <w:uiPriority w:val="21"/>
    <w:rsid w:val="00E52ED4"/>
    <w:rPr>
      <w:i/>
      <w:iCs/>
      <w:color w:val="5B9BD5"/>
    </w:rPr>
  </w:style>
  <w:style w:type="paragraph" w:styleId="Subttulo">
    <w:name w:val="Subtitle"/>
    <w:basedOn w:val="Normal"/>
    <w:next w:val="Normal"/>
    <w:link w:val="SubttuloCar"/>
    <w:uiPriority w:val="11"/>
    <w:qFormat/>
    <w:rsid w:val="00E52ED4"/>
    <w:pPr>
      <w:numPr>
        <w:ilvl w:val="1"/>
      </w:numPr>
      <w:jc w:val="center"/>
    </w:pPr>
    <w:rPr>
      <w:rFonts w:ascii="Gotham" w:eastAsia="Times New Roman" w:hAnsi="Gotham"/>
      <w:color w:val="2F5496"/>
      <w:spacing w:val="15"/>
      <w:sz w:val="16"/>
      <w:szCs w:val="22"/>
      <w:lang w:val="es-ES"/>
    </w:rPr>
  </w:style>
  <w:style w:type="character" w:customStyle="1" w:styleId="SubttuloCar">
    <w:name w:val="Subtítulo Car"/>
    <w:basedOn w:val="Fuentedeprrafopredeter"/>
    <w:link w:val="Subttulo"/>
    <w:uiPriority w:val="11"/>
    <w:rsid w:val="00E52ED4"/>
    <w:rPr>
      <w:rFonts w:ascii="Gotham" w:eastAsia="Times New Roman" w:hAnsi="Gotham"/>
      <w:color w:val="2F5496"/>
      <w:spacing w:val="15"/>
      <w:sz w:val="16"/>
      <w:szCs w:val="22"/>
      <w:lang w:val="es-ES"/>
    </w:rPr>
  </w:style>
  <w:style w:type="paragraph" w:customStyle="1" w:styleId="Textonotasalpie">
    <w:name w:val="Texto notas al pie"/>
    <w:basedOn w:val="Normal"/>
    <w:link w:val="TextonotasalpieCar"/>
    <w:qFormat/>
    <w:rsid w:val="00E52ED4"/>
    <w:pPr>
      <w:jc w:val="both"/>
    </w:pPr>
    <w:rPr>
      <w:rFonts w:ascii="Gotham Thin" w:eastAsia="Calibri" w:hAnsi="Gotham Thin"/>
      <w:color w:val="auto"/>
      <w:spacing w:val="0"/>
      <w:sz w:val="15"/>
      <w:szCs w:val="22"/>
      <w:lang w:val="es-ES"/>
    </w:rPr>
  </w:style>
  <w:style w:type="paragraph" w:styleId="Prrafodelista">
    <w:name w:val="List Paragraph"/>
    <w:aliases w:val="Lista sin Numerar"/>
    <w:basedOn w:val="Normal"/>
    <w:link w:val="PrrafodelistaCar"/>
    <w:uiPriority w:val="34"/>
    <w:qFormat/>
    <w:rsid w:val="00E52ED4"/>
    <w:pPr>
      <w:spacing w:after="200" w:line="276" w:lineRule="auto"/>
      <w:ind w:left="720"/>
      <w:contextualSpacing/>
    </w:pPr>
    <w:rPr>
      <w:rFonts w:ascii="Calibri" w:eastAsia="Calibri" w:hAnsi="Calibri"/>
      <w:color w:val="auto"/>
      <w:spacing w:val="0"/>
      <w:sz w:val="22"/>
      <w:szCs w:val="22"/>
      <w:lang w:val="es-DO"/>
    </w:rPr>
  </w:style>
  <w:style w:type="character" w:customStyle="1" w:styleId="TextonotasalpieCar">
    <w:name w:val="Texto notas al pie Car"/>
    <w:link w:val="Textonotasalpie"/>
    <w:rsid w:val="00E52ED4"/>
    <w:rPr>
      <w:rFonts w:ascii="Gotham Thin" w:eastAsia="Calibri" w:hAnsi="Gotham Thin"/>
      <w:color w:val="auto"/>
      <w:spacing w:val="0"/>
      <w:sz w:val="15"/>
      <w:szCs w:val="22"/>
      <w:lang w:val="es-ES"/>
    </w:rPr>
  </w:style>
  <w:style w:type="character" w:customStyle="1" w:styleId="PrrafodelistaCar">
    <w:name w:val="Párrafo de lista Car"/>
    <w:aliases w:val="Lista sin Numerar Car"/>
    <w:link w:val="Prrafodelista"/>
    <w:uiPriority w:val="34"/>
    <w:rsid w:val="00E52ED4"/>
    <w:rPr>
      <w:rFonts w:ascii="Calibri" w:eastAsia="Calibri" w:hAnsi="Calibri"/>
      <w:color w:val="auto"/>
      <w:spacing w:val="0"/>
      <w:sz w:val="22"/>
      <w:szCs w:val="22"/>
      <w:lang w:val="es-DO"/>
    </w:rPr>
  </w:style>
  <w:style w:type="table" w:styleId="Tablaconcuadrcula">
    <w:name w:val="Table Grid"/>
    <w:basedOn w:val="Tablanormal"/>
    <w:uiPriority w:val="39"/>
    <w:rsid w:val="00E52ED4"/>
    <w:pPr>
      <w:spacing w:after="0" w:line="240" w:lineRule="auto"/>
    </w:pPr>
    <w:rPr>
      <w:rFonts w:ascii="Calibri" w:eastAsia="Calibri" w:hAnsi="Calibri"/>
      <w:color w:val="auto"/>
      <w:spacing w:val="0"/>
      <w:sz w:val="22"/>
      <w:szCs w:val="22"/>
      <w:lang w:val="es-D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adelista4-nfasis5">
    <w:name w:val="List Table 4 Accent 5"/>
    <w:basedOn w:val="Tablanormal"/>
    <w:uiPriority w:val="49"/>
    <w:rsid w:val="00E52ED4"/>
    <w:pPr>
      <w:spacing w:after="0" w:line="240" w:lineRule="auto"/>
    </w:pPr>
    <w:rPr>
      <w:rFonts w:eastAsia="MS Mincho"/>
      <w:color w:val="auto"/>
      <w:spacing w:val="0"/>
      <w:sz w:val="20"/>
      <w:szCs w:val="20"/>
      <w:lang w:val="es-ES" w:eastAsia="es-ES"/>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tcBorders>
        <w:shd w:val="clear" w:color="auto" w:fill="5B9BD5"/>
      </w:tcPr>
    </w:tblStylePr>
    <w:tblStylePr w:type="lastRow">
      <w:rPr>
        <w:b/>
        <w:bCs/>
      </w:rPr>
      <w:tblPr/>
      <w:tcPr>
        <w:tcBorders>
          <w:top w:val="double" w:sz="4" w:space="0" w:color="9CC2E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paragraph" w:styleId="NormalWeb">
    <w:name w:val="Normal (Web)"/>
    <w:basedOn w:val="Normal"/>
    <w:uiPriority w:val="99"/>
    <w:unhideWhenUsed/>
    <w:rsid w:val="00E52ED4"/>
    <w:pPr>
      <w:spacing w:before="100" w:beforeAutospacing="1" w:after="100" w:afterAutospacing="1" w:line="240" w:lineRule="auto"/>
    </w:pPr>
    <w:rPr>
      <w:rFonts w:eastAsia="Times New Roman"/>
      <w:color w:val="auto"/>
      <w:spacing w:val="0"/>
      <w:lang w:val="es-DO" w:eastAsia="es-DO"/>
    </w:rPr>
  </w:style>
  <w:style w:type="paragraph" w:customStyle="1" w:styleId="CuerpoSB">
    <w:name w:val="Cuerpo SB"/>
    <w:basedOn w:val="Normal"/>
    <w:link w:val="CuerpoSBCar"/>
    <w:qFormat/>
    <w:rsid w:val="00E52ED4"/>
    <w:pPr>
      <w:pBdr>
        <w:top w:val="nil"/>
        <w:left w:val="nil"/>
        <w:bottom w:val="nil"/>
        <w:right w:val="nil"/>
        <w:between w:val="nil"/>
        <w:bar w:val="nil"/>
      </w:pBdr>
      <w:suppressAutoHyphens/>
      <w:spacing w:line="456" w:lineRule="auto"/>
      <w:ind w:left="284"/>
      <w:contextualSpacing/>
      <w:jc w:val="both"/>
    </w:pPr>
    <w:rPr>
      <w:rFonts w:ascii="Artifex CF Light" w:eastAsia="Arial Unicode MS" w:hAnsi="Artifex CF Light" w:cs="Arial Unicode MS"/>
      <w:color w:val="1F4E79"/>
      <w:spacing w:val="0"/>
      <w:sz w:val="18"/>
      <w:szCs w:val="18"/>
      <w:u w:color="000000"/>
      <w:bdr w:val="nil"/>
      <w:lang w:val="es-DO" w:eastAsia="es-DO"/>
    </w:rPr>
  </w:style>
  <w:style w:type="character" w:customStyle="1" w:styleId="CuerpoSBCar">
    <w:name w:val="Cuerpo SB Car"/>
    <w:link w:val="CuerpoSB"/>
    <w:rsid w:val="00E52ED4"/>
    <w:rPr>
      <w:rFonts w:ascii="Artifex CF Light" w:eastAsia="Arial Unicode MS" w:hAnsi="Artifex CF Light" w:cs="Arial Unicode MS"/>
      <w:color w:val="1F4E79"/>
      <w:spacing w:val="0"/>
      <w:sz w:val="18"/>
      <w:szCs w:val="18"/>
      <w:u w:color="000000"/>
      <w:bdr w:val="nil"/>
      <w:lang w:val="es-DO" w:eastAsia="es-DO"/>
    </w:rPr>
  </w:style>
  <w:style w:type="paragraph" w:customStyle="1" w:styleId="Body">
    <w:name w:val="Body"/>
    <w:link w:val="BodyCar"/>
    <w:rsid w:val="00E52ED4"/>
    <w:pPr>
      <w:pBdr>
        <w:top w:val="nil"/>
        <w:left w:val="nil"/>
        <w:bottom w:val="nil"/>
        <w:right w:val="nil"/>
        <w:between w:val="nil"/>
        <w:bar w:val="nil"/>
      </w:pBdr>
      <w:suppressAutoHyphens/>
      <w:spacing w:after="220" w:line="380" w:lineRule="exact"/>
      <w:ind w:right="284"/>
      <w:jc w:val="both"/>
    </w:pPr>
    <w:rPr>
      <w:rFonts w:ascii="Artifex CF Extra Light" w:eastAsia="Arial Unicode MS" w:hAnsi="Artifex CF Extra Light" w:cs="Arial Unicode MS"/>
      <w:color w:val="000000"/>
      <w:spacing w:val="0"/>
      <w:sz w:val="18"/>
      <w:szCs w:val="18"/>
      <w:u w:color="000000"/>
      <w:bdr w:val="nil"/>
      <w:lang w:val="es-DO" w:eastAsia="es-DO"/>
    </w:rPr>
  </w:style>
  <w:style w:type="table" w:customStyle="1" w:styleId="TableNormal1">
    <w:name w:val="Table Normal1"/>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character" w:customStyle="1" w:styleId="BodyCar">
    <w:name w:val="Body Car"/>
    <w:link w:val="Body"/>
    <w:rsid w:val="00E52ED4"/>
    <w:rPr>
      <w:rFonts w:ascii="Artifex CF Extra Light" w:eastAsia="Arial Unicode MS" w:hAnsi="Artifex CF Extra Light" w:cs="Arial Unicode MS"/>
      <w:color w:val="000000"/>
      <w:spacing w:val="0"/>
      <w:sz w:val="18"/>
      <w:szCs w:val="18"/>
      <w:u w:color="000000"/>
      <w:bdr w:val="nil"/>
      <w:lang w:val="es-DO" w:eastAsia="es-DO"/>
    </w:rPr>
  </w:style>
  <w:style w:type="paragraph" w:styleId="Descripcin">
    <w:name w:val="caption"/>
    <w:basedOn w:val="Normal"/>
    <w:next w:val="Normal"/>
    <w:uiPriority w:val="35"/>
    <w:unhideWhenUsed/>
    <w:qFormat/>
    <w:rsid w:val="00E52ED4"/>
    <w:pPr>
      <w:jc w:val="both"/>
    </w:pPr>
    <w:rPr>
      <w:rFonts w:ascii="Artifex CF Extra Light" w:eastAsia="Calibri" w:hAnsi="Artifex CF Extra Light"/>
      <w:b/>
      <w:bCs/>
      <w:color w:val="auto"/>
      <w:spacing w:val="0"/>
      <w:sz w:val="20"/>
      <w:szCs w:val="20"/>
      <w:lang w:val="es-ES"/>
    </w:rPr>
  </w:style>
  <w:style w:type="paragraph" w:customStyle="1" w:styleId="Estilo1">
    <w:name w:val="Estilo1"/>
    <w:basedOn w:val="Ttulo2"/>
    <w:link w:val="Estilo1Car"/>
    <w:qFormat/>
    <w:rsid w:val="00E52ED4"/>
    <w:pPr>
      <w:keepLines w:val="0"/>
      <w:spacing w:before="240" w:after="60"/>
      <w:jc w:val="center"/>
    </w:pPr>
    <w:rPr>
      <w:rFonts w:eastAsia="Times New Roman" w:cs="Times New Roman"/>
      <w:b/>
      <w:bCs/>
      <w:i/>
      <w:iCs/>
      <w:color w:val="767171"/>
      <w:sz w:val="28"/>
      <w:szCs w:val="28"/>
      <w:lang w:val="es-DO"/>
    </w:rPr>
  </w:style>
  <w:style w:type="paragraph" w:customStyle="1" w:styleId="Estilo2">
    <w:name w:val="Estilo2"/>
    <w:basedOn w:val="Estilo1"/>
    <w:link w:val="Estilo2Car"/>
    <w:rsid w:val="00E52ED4"/>
  </w:style>
  <w:style w:type="character" w:customStyle="1" w:styleId="Estilo1Car">
    <w:name w:val="Estilo1 Car"/>
    <w:link w:val="Estilo1"/>
    <w:rsid w:val="00E52ED4"/>
    <w:rPr>
      <w:rFonts w:eastAsia="Times New Roman"/>
      <w:b/>
      <w:bCs/>
      <w:i/>
      <w:iCs/>
      <w:sz w:val="28"/>
      <w:szCs w:val="28"/>
      <w:lang w:val="es-DO"/>
    </w:rPr>
  </w:style>
  <w:style w:type="paragraph" w:customStyle="1" w:styleId="Estilo3">
    <w:name w:val="Estilo3"/>
    <w:basedOn w:val="Estilo1"/>
    <w:link w:val="Estilo3Car"/>
    <w:qFormat/>
    <w:rsid w:val="00E52ED4"/>
    <w:rPr>
      <w:b w:val="0"/>
      <w:i w:val="0"/>
      <w:sz w:val="24"/>
    </w:rPr>
  </w:style>
  <w:style w:type="character" w:customStyle="1" w:styleId="Estilo2Car">
    <w:name w:val="Estilo2 Car"/>
    <w:basedOn w:val="Estilo1Car"/>
    <w:link w:val="Estilo2"/>
    <w:rsid w:val="00E52ED4"/>
    <w:rPr>
      <w:rFonts w:eastAsia="Times New Roman"/>
      <w:b/>
      <w:bCs/>
      <w:i/>
      <w:iCs/>
      <w:sz w:val="28"/>
      <w:szCs w:val="28"/>
      <w:lang w:val="es-DO"/>
    </w:rPr>
  </w:style>
  <w:style w:type="paragraph" w:styleId="TDC2">
    <w:name w:val="toc 2"/>
    <w:basedOn w:val="Normal"/>
    <w:next w:val="Normal"/>
    <w:autoRedefine/>
    <w:uiPriority w:val="39"/>
    <w:unhideWhenUsed/>
    <w:rsid w:val="00BE1A25"/>
    <w:pPr>
      <w:tabs>
        <w:tab w:val="right" w:leader="dot" w:pos="9350"/>
      </w:tabs>
      <w:spacing w:after="100"/>
      <w:ind w:left="220"/>
    </w:pPr>
    <w:rPr>
      <w:rFonts w:eastAsia="Calibri"/>
      <w:noProof/>
      <w:spacing w:val="0"/>
      <w:lang w:val="es-DO" w:eastAsia="es-DO"/>
    </w:rPr>
  </w:style>
  <w:style w:type="character" w:customStyle="1" w:styleId="Estilo3Car">
    <w:name w:val="Estilo3 Car"/>
    <w:link w:val="Estilo3"/>
    <w:rsid w:val="00E52ED4"/>
    <w:rPr>
      <w:rFonts w:eastAsia="Times New Roman"/>
      <w:bCs/>
      <w:iCs/>
      <w:szCs w:val="28"/>
      <w:lang w:val="es-DO"/>
    </w:rPr>
  </w:style>
  <w:style w:type="paragraph" w:styleId="TDC3">
    <w:name w:val="toc 3"/>
    <w:basedOn w:val="Normal"/>
    <w:next w:val="Normal"/>
    <w:autoRedefine/>
    <w:uiPriority w:val="39"/>
    <w:unhideWhenUsed/>
    <w:rsid w:val="00E52ED4"/>
    <w:pPr>
      <w:spacing w:after="100"/>
      <w:ind w:left="440"/>
    </w:pPr>
    <w:rPr>
      <w:rFonts w:ascii="Calibri" w:eastAsia="Times New Roman" w:hAnsi="Calibri"/>
      <w:color w:val="auto"/>
      <w:spacing w:val="0"/>
      <w:sz w:val="22"/>
      <w:szCs w:val="22"/>
      <w:lang w:val="es-DO" w:eastAsia="es-DO"/>
    </w:rPr>
  </w:style>
  <w:style w:type="character" w:styleId="Refdecomentario">
    <w:name w:val="annotation reference"/>
    <w:uiPriority w:val="99"/>
    <w:unhideWhenUsed/>
    <w:rsid w:val="00E52ED4"/>
    <w:rPr>
      <w:sz w:val="16"/>
      <w:szCs w:val="16"/>
    </w:rPr>
  </w:style>
  <w:style w:type="paragraph" w:styleId="Textocomentario">
    <w:name w:val="annotation text"/>
    <w:basedOn w:val="Normal"/>
    <w:link w:val="TextocomentarioCar"/>
    <w:uiPriority w:val="99"/>
    <w:unhideWhenUsed/>
    <w:rsid w:val="00E52ED4"/>
    <w:pPr>
      <w:jc w:val="both"/>
    </w:pPr>
    <w:rPr>
      <w:rFonts w:ascii="Artifex CF Extra Light" w:eastAsia="Calibri" w:hAnsi="Artifex CF Extra Light"/>
      <w:color w:val="auto"/>
      <w:spacing w:val="0"/>
      <w:sz w:val="20"/>
      <w:szCs w:val="20"/>
      <w:lang w:val="es-ES"/>
    </w:rPr>
  </w:style>
  <w:style w:type="character" w:customStyle="1" w:styleId="TextocomentarioCar">
    <w:name w:val="Texto comentario Car"/>
    <w:basedOn w:val="Fuentedeprrafopredeter"/>
    <w:link w:val="Textocomentario"/>
    <w:uiPriority w:val="99"/>
    <w:rsid w:val="00E52ED4"/>
    <w:rPr>
      <w:rFonts w:ascii="Artifex CF Extra Light" w:eastAsia="Calibri" w:hAnsi="Artifex CF Extra Light"/>
      <w:color w:val="auto"/>
      <w:spacing w:val="0"/>
      <w:sz w:val="20"/>
      <w:szCs w:val="20"/>
      <w:lang w:val="es-ES"/>
    </w:rPr>
  </w:style>
  <w:style w:type="paragraph" w:styleId="Textodeglobo">
    <w:name w:val="Balloon Text"/>
    <w:basedOn w:val="Normal"/>
    <w:link w:val="TextodegloboCar"/>
    <w:uiPriority w:val="99"/>
    <w:semiHidden/>
    <w:unhideWhenUsed/>
    <w:rsid w:val="00E52ED4"/>
    <w:pPr>
      <w:spacing w:after="0" w:line="240" w:lineRule="auto"/>
      <w:jc w:val="both"/>
    </w:pPr>
    <w:rPr>
      <w:rFonts w:ascii="Segoe UI" w:eastAsia="Calibri" w:hAnsi="Segoe UI" w:cs="Segoe UI"/>
      <w:color w:val="auto"/>
      <w:spacing w:val="0"/>
      <w:sz w:val="18"/>
      <w:szCs w:val="18"/>
      <w:lang w:val="es-ES"/>
    </w:rPr>
  </w:style>
  <w:style w:type="character" w:customStyle="1" w:styleId="TextodegloboCar">
    <w:name w:val="Texto de globo Car"/>
    <w:basedOn w:val="Fuentedeprrafopredeter"/>
    <w:link w:val="Textodeglobo"/>
    <w:uiPriority w:val="99"/>
    <w:semiHidden/>
    <w:rsid w:val="00E52ED4"/>
    <w:rPr>
      <w:rFonts w:ascii="Segoe UI" w:eastAsia="Calibri" w:hAnsi="Segoe UI" w:cs="Segoe UI"/>
      <w:color w:val="auto"/>
      <w:spacing w:val="0"/>
      <w:sz w:val="18"/>
      <w:szCs w:val="18"/>
      <w:lang w:val="es-ES"/>
    </w:rPr>
  </w:style>
  <w:style w:type="character" w:styleId="Refdenotaalpie">
    <w:name w:val="footnote reference"/>
    <w:uiPriority w:val="99"/>
    <w:unhideWhenUsed/>
    <w:rsid w:val="00E52ED4"/>
    <w:rPr>
      <w:vertAlign w:val="superscript"/>
    </w:rPr>
  </w:style>
  <w:style w:type="paragraph" w:styleId="Textonotapie">
    <w:name w:val="footnote text"/>
    <w:basedOn w:val="Normal"/>
    <w:link w:val="TextonotapieCar"/>
    <w:uiPriority w:val="99"/>
    <w:semiHidden/>
    <w:unhideWhenUsed/>
    <w:rsid w:val="00E52ED4"/>
    <w:pPr>
      <w:spacing w:after="0" w:line="240" w:lineRule="auto"/>
    </w:pPr>
    <w:rPr>
      <w:rFonts w:ascii="Calibri" w:eastAsia="Calibri" w:hAnsi="Calibri"/>
      <w:color w:val="auto"/>
      <w:spacing w:val="0"/>
      <w:sz w:val="20"/>
      <w:szCs w:val="20"/>
      <w:lang w:val="es-DO"/>
    </w:rPr>
  </w:style>
  <w:style w:type="character" w:customStyle="1" w:styleId="TextonotapieCar">
    <w:name w:val="Texto nota pie Car"/>
    <w:basedOn w:val="Fuentedeprrafopredeter"/>
    <w:link w:val="Textonotapie"/>
    <w:uiPriority w:val="99"/>
    <w:semiHidden/>
    <w:rsid w:val="00E52ED4"/>
    <w:rPr>
      <w:rFonts w:ascii="Calibri" w:eastAsia="Calibri" w:hAnsi="Calibri"/>
      <w:color w:val="auto"/>
      <w:spacing w:val="0"/>
      <w:sz w:val="20"/>
      <w:szCs w:val="20"/>
      <w:lang w:val="es-DO"/>
    </w:rPr>
  </w:style>
  <w:style w:type="paragraph" w:styleId="Asuntodelcomentario">
    <w:name w:val="annotation subject"/>
    <w:basedOn w:val="Textocomentario"/>
    <w:next w:val="Textocomentario"/>
    <w:link w:val="AsuntodelcomentarioCar"/>
    <w:uiPriority w:val="99"/>
    <w:semiHidden/>
    <w:unhideWhenUsed/>
    <w:rsid w:val="00E52ED4"/>
    <w:rPr>
      <w:b/>
      <w:bCs/>
    </w:rPr>
  </w:style>
  <w:style w:type="character" w:customStyle="1" w:styleId="AsuntodelcomentarioCar">
    <w:name w:val="Asunto del comentario Car"/>
    <w:basedOn w:val="TextocomentarioCar"/>
    <w:link w:val="Asuntodelcomentario"/>
    <w:uiPriority w:val="99"/>
    <w:semiHidden/>
    <w:rsid w:val="00E52ED4"/>
    <w:rPr>
      <w:rFonts w:ascii="Artifex CF Extra Light" w:eastAsia="Calibri" w:hAnsi="Artifex CF Extra Light"/>
      <w:b/>
      <w:bCs/>
      <w:color w:val="auto"/>
      <w:spacing w:val="0"/>
      <w:sz w:val="20"/>
      <w:szCs w:val="20"/>
      <w:lang w:val="es-ES"/>
    </w:rPr>
  </w:style>
  <w:style w:type="table" w:styleId="Tablaconcuadrcula5oscura-nfasis1">
    <w:name w:val="Grid Table 5 Dark Accent 1"/>
    <w:basedOn w:val="Tablanormal"/>
    <w:uiPriority w:val="50"/>
    <w:rsid w:val="00E52ED4"/>
    <w:pPr>
      <w:spacing w:after="0" w:line="240" w:lineRule="auto"/>
    </w:pPr>
    <w:rPr>
      <w:rFonts w:ascii="Calibri" w:eastAsia="Calibri" w:hAnsi="Calibri"/>
      <w:color w:val="auto"/>
      <w:spacing w:val="0"/>
      <w:sz w:val="22"/>
      <w:szCs w:val="22"/>
      <w:lang w:val="es-DO"/>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9E2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472C4"/>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472C4"/>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472C4"/>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472C4"/>
      </w:tcPr>
    </w:tblStylePr>
    <w:tblStylePr w:type="band1Vert">
      <w:tblPr/>
      <w:tcPr>
        <w:shd w:val="clear" w:color="auto" w:fill="B4C6E7"/>
      </w:tcPr>
    </w:tblStylePr>
    <w:tblStylePr w:type="band1Horz">
      <w:tblPr/>
      <w:tcPr>
        <w:shd w:val="clear" w:color="auto" w:fill="B4C6E7"/>
      </w:tcPr>
    </w:tblStylePr>
  </w:style>
  <w:style w:type="paragraph" w:customStyle="1" w:styleId="rtejustify">
    <w:name w:val="rtejustify"/>
    <w:basedOn w:val="Normal"/>
    <w:rsid w:val="00E52ED4"/>
    <w:pPr>
      <w:spacing w:before="100" w:beforeAutospacing="1" w:after="100" w:afterAutospacing="1" w:line="240" w:lineRule="auto"/>
    </w:pPr>
    <w:rPr>
      <w:rFonts w:eastAsia="Times New Roman"/>
      <w:color w:val="auto"/>
      <w:spacing w:val="0"/>
      <w:lang w:val="es-DO" w:eastAsia="es-DO"/>
    </w:rPr>
  </w:style>
  <w:style w:type="paragraph" w:styleId="Textoindependiente">
    <w:name w:val="Body Text"/>
    <w:basedOn w:val="Normal"/>
    <w:link w:val="TextoindependienteCar"/>
    <w:uiPriority w:val="1"/>
    <w:unhideWhenUsed/>
    <w:qFormat/>
    <w:rsid w:val="00E52ED4"/>
    <w:pPr>
      <w:widowControl w:val="0"/>
      <w:autoSpaceDE w:val="0"/>
      <w:autoSpaceDN w:val="0"/>
      <w:spacing w:after="0" w:line="240" w:lineRule="auto"/>
    </w:pPr>
    <w:rPr>
      <w:rFonts w:eastAsia="Times New Roman"/>
      <w:color w:val="auto"/>
      <w:spacing w:val="0"/>
      <w:lang w:val="es-ES"/>
    </w:rPr>
  </w:style>
  <w:style w:type="character" w:customStyle="1" w:styleId="TextoindependienteCar">
    <w:name w:val="Texto independiente Car"/>
    <w:basedOn w:val="Fuentedeprrafopredeter"/>
    <w:link w:val="Textoindependiente"/>
    <w:uiPriority w:val="1"/>
    <w:rsid w:val="00E52ED4"/>
    <w:rPr>
      <w:rFonts w:eastAsia="Times New Roman"/>
      <w:color w:val="auto"/>
      <w:spacing w:val="0"/>
      <w:lang w:val="es-ES"/>
    </w:rPr>
  </w:style>
  <w:style w:type="character" w:styleId="Mencinsinresolver">
    <w:name w:val="Unresolved Mention"/>
    <w:uiPriority w:val="99"/>
    <w:semiHidden/>
    <w:unhideWhenUsed/>
    <w:rsid w:val="00E52ED4"/>
    <w:rPr>
      <w:color w:val="605E5C"/>
      <w:shd w:val="clear" w:color="auto" w:fill="E1DFDD"/>
    </w:rPr>
  </w:style>
  <w:style w:type="table" w:styleId="Tablanormal5">
    <w:name w:val="Plain Table 5"/>
    <w:basedOn w:val="Tablanormal"/>
    <w:uiPriority w:val="45"/>
    <w:rsid w:val="00E52ED4"/>
    <w:pPr>
      <w:spacing w:after="0" w:line="240" w:lineRule="auto"/>
    </w:pPr>
    <w:rPr>
      <w:rFonts w:ascii="Calibri" w:eastAsia="Calibri" w:hAnsi="Calibri"/>
      <w:color w:val="auto"/>
      <w:spacing w:val="0"/>
      <w:sz w:val="20"/>
      <w:szCs w:val="20"/>
      <w:lang w:val="es-DO" w:eastAsia="es-DO"/>
    </w:rPr>
    <w:tblPr>
      <w:tblStyleRowBandSize w:val="1"/>
      <w:tblStyleColBandSize w:val="1"/>
    </w:tblPr>
    <w:tblStylePr w:type="firstRow">
      <w:rPr>
        <w:rFonts w:ascii="Calibri Light" w:eastAsia="Times New Roman" w:hAnsi="Calibri Light" w:cs="Times New Roman"/>
        <w:i/>
        <w:iCs/>
        <w:sz w:val="26"/>
      </w:rPr>
      <w:tblPr/>
      <w:tcPr>
        <w:tcBorders>
          <w:bottom w:val="single" w:sz="4" w:space="0" w:color="7F7F7F"/>
        </w:tcBorders>
        <w:shd w:val="clear" w:color="auto" w:fill="FFFFFF"/>
      </w:tcPr>
    </w:tblStylePr>
    <w:tblStylePr w:type="lastRow">
      <w:rPr>
        <w:rFonts w:ascii="Calibri Light" w:eastAsia="Times New Roman" w:hAnsi="Calibri Light" w:cs="Times New Roman"/>
        <w:i/>
        <w:iCs/>
        <w:sz w:val="26"/>
      </w:rPr>
      <w:tblPr/>
      <w:tcPr>
        <w:tcBorders>
          <w:top w:val="single" w:sz="4" w:space="0" w:color="7F7F7F"/>
        </w:tcBorders>
        <w:shd w:val="clear" w:color="auto" w:fill="FFFFFF"/>
      </w:tcPr>
    </w:tblStylePr>
    <w:tblStylePr w:type="firstCol">
      <w:pPr>
        <w:jc w:val="right"/>
      </w:pPr>
      <w:rPr>
        <w:rFonts w:ascii="Calibri Light" w:eastAsia="Times New Roman" w:hAnsi="Calibri Light" w:cs="Times New Roman"/>
        <w:i/>
        <w:iCs/>
        <w:sz w:val="26"/>
      </w:rPr>
      <w:tblPr/>
      <w:tcPr>
        <w:tcBorders>
          <w:right w:val="single" w:sz="4" w:space="0" w:color="7F7F7F"/>
        </w:tcBorders>
        <w:shd w:val="clear" w:color="auto" w:fill="FFFFFF"/>
      </w:tcPr>
    </w:tblStylePr>
    <w:tblStylePr w:type="lastCol">
      <w:rPr>
        <w:rFonts w:ascii="Calibri Light" w:eastAsia="Times New Roman" w:hAnsi="Calibri Light" w:cs="Times New Roman"/>
        <w:i/>
        <w:iCs/>
        <w:sz w:val="26"/>
      </w:rPr>
      <w:tblPr/>
      <w:tcPr>
        <w:tcBorders>
          <w:left w:val="single" w:sz="4" w:space="0" w:color="7F7F7F"/>
        </w:tcBorders>
        <w:shd w:val="clear" w:color="auto" w:fill="FFFFFF"/>
      </w:tcPr>
    </w:tblStylePr>
    <w:tblStylePr w:type="band1Vert">
      <w:tblPr/>
      <w:tcPr>
        <w:shd w:val="clear" w:color="auto" w:fill="F2F2F2"/>
      </w:tcPr>
    </w:tblStylePr>
    <w:tblStylePr w:type="band1Horz">
      <w:tblPr/>
      <w:tcPr>
        <w:shd w:val="clear" w:color="auto" w:fill="F2F2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n">
    <w:name w:val="Revision"/>
    <w:hidden/>
    <w:uiPriority w:val="99"/>
    <w:semiHidden/>
    <w:rsid w:val="00E52ED4"/>
    <w:pPr>
      <w:spacing w:after="0" w:line="240" w:lineRule="auto"/>
    </w:pPr>
    <w:rPr>
      <w:rFonts w:ascii="Artifex CF Extra Light" w:eastAsia="Calibri" w:hAnsi="Artifex CF Extra Light"/>
      <w:color w:val="003876"/>
      <w:spacing w:val="0"/>
      <w:sz w:val="18"/>
      <w:szCs w:val="22"/>
      <w:lang w:val="es-ES"/>
    </w:rPr>
  </w:style>
  <w:style w:type="character" w:styleId="Hipervnculovisitado">
    <w:name w:val="FollowedHyperlink"/>
    <w:basedOn w:val="Fuentedeprrafopredeter"/>
    <w:uiPriority w:val="99"/>
    <w:semiHidden/>
    <w:unhideWhenUsed/>
    <w:rsid w:val="00E52ED4"/>
    <w:rPr>
      <w:color w:val="954F72" w:themeColor="followedHyperlink"/>
      <w:u w:val="single"/>
    </w:rPr>
  </w:style>
  <w:style w:type="paragraph" w:customStyle="1" w:styleId="EstiloTItulosMemorias">
    <w:name w:val="Estilo TItulos Memorias"/>
    <w:basedOn w:val="Ttulo1"/>
    <w:link w:val="EstiloTItulosMemoriasCar"/>
    <w:qFormat/>
    <w:rsid w:val="00E52ED4"/>
    <w:pPr>
      <w:spacing w:line="259" w:lineRule="auto"/>
    </w:pPr>
    <w:rPr>
      <w:rFonts w:eastAsia="Times New Roman"/>
      <w:b w:val="0"/>
      <w:szCs w:val="22"/>
      <w:lang w:val="es-DO"/>
    </w:rPr>
  </w:style>
  <w:style w:type="paragraph" w:customStyle="1" w:styleId="Cuerpomemorias">
    <w:name w:val="Cuerpo memorias"/>
    <w:basedOn w:val="CuerpoSB"/>
    <w:link w:val="CuerpomemoriasCar"/>
    <w:qFormat/>
    <w:rsid w:val="00E52ED4"/>
    <w:pPr>
      <w:spacing w:before="120" w:after="280" w:line="360" w:lineRule="auto"/>
    </w:pPr>
    <w:rPr>
      <w:bCs/>
      <w:iCs/>
    </w:rPr>
  </w:style>
  <w:style w:type="character" w:customStyle="1" w:styleId="EstiloTItulosMemoriasCar">
    <w:name w:val="Estilo TItulos Memorias Car"/>
    <w:basedOn w:val="Ttulo1Car"/>
    <w:link w:val="EstiloTItulosMemorias"/>
    <w:rsid w:val="00E52ED4"/>
    <w:rPr>
      <w:rFonts w:ascii="Times New Roman" w:eastAsia="Times New Roman" w:hAnsi="Times New Roman" w:cstheme="majorBidi"/>
      <w:b w:val="0"/>
      <w:color w:val="767171" w:themeColor="background2" w:themeShade="80"/>
      <w:sz w:val="28"/>
      <w:szCs w:val="22"/>
      <w:lang w:val="es-DO"/>
    </w:rPr>
  </w:style>
  <w:style w:type="character" w:customStyle="1" w:styleId="CuerpomemoriasCar">
    <w:name w:val="Cuerpo memorias Car"/>
    <w:basedOn w:val="CuerpoSBCar"/>
    <w:link w:val="Cuerpomemorias"/>
    <w:rsid w:val="00E52ED4"/>
    <w:rPr>
      <w:rFonts w:ascii="Artifex CF Light" w:eastAsia="Arial Unicode MS" w:hAnsi="Artifex CF Light" w:cs="Arial Unicode MS"/>
      <w:bCs/>
      <w:iCs/>
      <w:color w:val="1F4E79"/>
      <w:spacing w:val="0"/>
      <w:sz w:val="18"/>
      <w:szCs w:val="18"/>
      <w:u w:color="000000"/>
      <w:bdr w:val="nil"/>
      <w:lang w:val="es-DO" w:eastAsia="es-DO"/>
    </w:rPr>
  </w:style>
  <w:style w:type="paragraph" w:customStyle="1" w:styleId="Estilo4">
    <w:name w:val="Estilo4"/>
    <w:basedOn w:val="Ttulo3"/>
    <w:link w:val="Estilo4Car"/>
    <w:qFormat/>
    <w:rsid w:val="00E52ED4"/>
    <w:pPr>
      <w:keepLines/>
      <w:spacing w:before="80" w:after="0" w:line="360" w:lineRule="auto"/>
      <w:ind w:left="708" w:hanging="708"/>
      <w:jc w:val="center"/>
    </w:pPr>
    <w:rPr>
      <w:rFonts w:ascii="Times New Roman" w:eastAsia="SimSun" w:hAnsi="Times New Roman"/>
      <w:bCs w:val="0"/>
      <w:color w:val="767171"/>
      <w:sz w:val="24"/>
      <w:szCs w:val="24"/>
      <w:lang w:val="es-DO" w:eastAsia="es-DO"/>
    </w:rPr>
  </w:style>
  <w:style w:type="character" w:customStyle="1" w:styleId="Estilo4Car">
    <w:name w:val="Estilo4 Car"/>
    <w:link w:val="Estilo4"/>
    <w:rsid w:val="00E52ED4"/>
    <w:rPr>
      <w:rFonts w:eastAsia="SimSun"/>
      <w:b/>
      <w:spacing w:val="0"/>
      <w:lang w:val="es-DO" w:eastAsia="es-DO"/>
    </w:rPr>
  </w:style>
  <w:style w:type="paragraph" w:customStyle="1" w:styleId="paragraph">
    <w:name w:val="paragraph"/>
    <w:basedOn w:val="Normal"/>
    <w:rsid w:val="00E52ED4"/>
    <w:pPr>
      <w:spacing w:before="100" w:beforeAutospacing="1" w:after="100" w:afterAutospacing="1" w:line="240" w:lineRule="auto"/>
    </w:pPr>
    <w:rPr>
      <w:rFonts w:eastAsia="Times New Roman"/>
      <w:color w:val="auto"/>
      <w:spacing w:val="0"/>
      <w:lang w:val="es-DO" w:eastAsia="es-DO"/>
    </w:rPr>
  </w:style>
  <w:style w:type="character" w:customStyle="1" w:styleId="normaltextrun">
    <w:name w:val="normaltextrun"/>
    <w:basedOn w:val="Fuentedeprrafopredeter"/>
    <w:rsid w:val="00E52ED4"/>
  </w:style>
  <w:style w:type="character" w:customStyle="1" w:styleId="eop">
    <w:name w:val="eop"/>
    <w:basedOn w:val="Fuentedeprrafopredeter"/>
    <w:rsid w:val="00E52ED4"/>
  </w:style>
  <w:style w:type="paragraph" w:customStyle="1" w:styleId="msonormal0">
    <w:name w:val="msonormal"/>
    <w:basedOn w:val="Normal"/>
    <w:rsid w:val="00E52ED4"/>
    <w:pPr>
      <w:spacing w:before="100" w:beforeAutospacing="1" w:after="100" w:afterAutospacing="1" w:line="240" w:lineRule="auto"/>
    </w:pPr>
    <w:rPr>
      <w:rFonts w:eastAsia="Times New Roman"/>
      <w:color w:val="auto"/>
      <w:spacing w:val="0"/>
      <w:lang w:val="es-DO" w:eastAsia="es-DO"/>
    </w:rPr>
  </w:style>
  <w:style w:type="paragraph" w:customStyle="1" w:styleId="xl49">
    <w:name w:val="xl49"/>
    <w:basedOn w:val="Normal"/>
    <w:rsid w:val="00E52ED4"/>
    <w:pPr>
      <w:pBdr>
        <w:top w:val="single" w:sz="4" w:space="0" w:color="auto"/>
        <w:left w:val="single" w:sz="4" w:space="0" w:color="auto"/>
        <w:bottom w:val="single" w:sz="4" w:space="0" w:color="auto"/>
        <w:right w:val="single" w:sz="4" w:space="0" w:color="auto"/>
      </w:pBdr>
      <w:shd w:val="clear" w:color="000000" w:fill="2F75B5"/>
      <w:spacing w:before="100" w:beforeAutospacing="1" w:after="100" w:afterAutospacing="1" w:line="240" w:lineRule="auto"/>
      <w:jc w:val="center"/>
      <w:textAlignment w:val="center"/>
    </w:pPr>
    <w:rPr>
      <w:rFonts w:eastAsia="Times New Roman"/>
      <w:b/>
      <w:bCs/>
      <w:color w:val="FFFFFF"/>
      <w:spacing w:val="0"/>
      <w:lang w:val="es-DO" w:eastAsia="es-DO"/>
    </w:rPr>
  </w:style>
  <w:style w:type="paragraph" w:customStyle="1" w:styleId="xl53">
    <w:name w:val="xl53"/>
    <w:basedOn w:val="Normal"/>
    <w:rsid w:val="00E52E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olor w:val="auto"/>
      <w:spacing w:val="0"/>
      <w:sz w:val="18"/>
      <w:szCs w:val="18"/>
      <w:lang w:val="es-DO" w:eastAsia="es-DO"/>
    </w:rPr>
  </w:style>
  <w:style w:type="paragraph" w:customStyle="1" w:styleId="xl54">
    <w:name w:val="xl54"/>
    <w:basedOn w:val="Normal"/>
    <w:rsid w:val="00E52E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eastAsia="Times New Roman"/>
      <w:color w:val="auto"/>
      <w:spacing w:val="0"/>
      <w:sz w:val="18"/>
      <w:szCs w:val="18"/>
      <w:lang w:val="es-DO" w:eastAsia="es-DO"/>
    </w:rPr>
  </w:style>
  <w:style w:type="paragraph" w:customStyle="1" w:styleId="xl55">
    <w:name w:val="xl55"/>
    <w:basedOn w:val="Normal"/>
    <w:rsid w:val="00E52ED4"/>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Calibri Light" w:eastAsia="Times New Roman" w:hAnsi="Calibri Light" w:cs="Calibri Light"/>
      <w:color w:val="auto"/>
      <w:spacing w:val="0"/>
      <w:sz w:val="18"/>
      <w:szCs w:val="18"/>
      <w:lang w:val="es-DO" w:eastAsia="es-DO"/>
    </w:rPr>
  </w:style>
  <w:style w:type="paragraph" w:customStyle="1" w:styleId="xl56">
    <w:name w:val="xl56"/>
    <w:basedOn w:val="Normal"/>
    <w:rsid w:val="00E52E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textAlignment w:val="center"/>
    </w:pPr>
    <w:rPr>
      <w:rFonts w:eastAsia="Times New Roman"/>
      <w:color w:val="auto"/>
      <w:spacing w:val="0"/>
      <w:sz w:val="18"/>
      <w:szCs w:val="18"/>
      <w:lang w:val="es-DO" w:eastAsia="es-DO"/>
    </w:rPr>
  </w:style>
  <w:style w:type="paragraph" w:customStyle="1" w:styleId="xl57">
    <w:name w:val="xl57"/>
    <w:basedOn w:val="Normal"/>
    <w:rsid w:val="00E52ED4"/>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Light" w:eastAsia="Times New Roman" w:hAnsi="Calibri Light" w:cs="Calibri Light"/>
      <w:color w:val="auto"/>
      <w:spacing w:val="0"/>
      <w:sz w:val="18"/>
      <w:szCs w:val="18"/>
      <w:lang w:val="es-DO" w:eastAsia="es-DO"/>
    </w:rPr>
  </w:style>
  <w:style w:type="table" w:customStyle="1" w:styleId="TableNormal10">
    <w:name w:val="Table Normal1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
    <w:name w:val="Table Normal1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character" w:styleId="Textoennegrita">
    <w:name w:val="Strong"/>
    <w:basedOn w:val="Fuentedeprrafopredeter"/>
    <w:uiPriority w:val="22"/>
    <w:qFormat/>
    <w:rsid w:val="00E52ED4"/>
    <w:rPr>
      <w:b/>
      <w:bCs/>
    </w:rPr>
  </w:style>
  <w:style w:type="table" w:customStyle="1" w:styleId="TableNormal1000">
    <w:name w:val="Table Normal1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
    <w:name w:val="Table Normal1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
    <w:name w:val="Table Normal1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0">
    <w:name w:val="Table Normal10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00">
    <w:name w:val="Table Normal100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000">
    <w:name w:val="Table Normal1000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0000">
    <w:name w:val="Table Normal10000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00000">
    <w:name w:val="Table Normal100000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000000">
    <w:name w:val="Table Normal1000000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table" w:customStyle="1" w:styleId="TableNormal1000000000000">
    <w:name w:val="Table Normal1000000000000"/>
    <w:rsid w:val="00E52ED4"/>
    <w:pPr>
      <w:pBdr>
        <w:top w:val="nil"/>
        <w:left w:val="nil"/>
        <w:bottom w:val="nil"/>
        <w:right w:val="nil"/>
        <w:between w:val="nil"/>
        <w:bar w:val="nil"/>
      </w:pBdr>
      <w:spacing w:after="0" w:line="240" w:lineRule="auto"/>
    </w:pPr>
    <w:rPr>
      <w:rFonts w:eastAsia="Arial Unicode MS"/>
      <w:color w:val="auto"/>
      <w:spacing w:val="0"/>
      <w:sz w:val="20"/>
      <w:szCs w:val="20"/>
      <w:bdr w:val="nil"/>
      <w:lang w:val="es-DO" w:eastAsia="es-DO"/>
    </w:rPr>
    <w:tblPr>
      <w:tblInd w:w="0" w:type="dxa"/>
      <w:tblCellMar>
        <w:top w:w="0" w:type="dxa"/>
        <w:left w:w="0" w:type="dxa"/>
        <w:bottom w:w="0" w:type="dxa"/>
        <w:right w:w="0" w:type="dxa"/>
      </w:tblCellMar>
    </w:tblPr>
  </w:style>
  <w:style w:type="character" w:styleId="Nmerodelnea">
    <w:name w:val="line number"/>
    <w:basedOn w:val="Fuentedeprrafopredeter"/>
    <w:uiPriority w:val="99"/>
    <w:semiHidden/>
    <w:unhideWhenUsed/>
    <w:rsid w:val="00E52ED4"/>
  </w:style>
  <w:style w:type="table" w:styleId="Tablaconcuadrcula1clara">
    <w:name w:val="Grid Table 1 Light"/>
    <w:basedOn w:val="Tablanormal"/>
    <w:uiPriority w:val="46"/>
    <w:rsid w:val="00C72346"/>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bchar">
    <w:name w:val="tabchar"/>
    <w:basedOn w:val="Fuentedeprrafopredeter"/>
    <w:rsid w:val="003E38F8"/>
  </w:style>
  <w:style w:type="character" w:customStyle="1" w:styleId="wacimagecontainer">
    <w:name w:val="wacimagecontainer"/>
    <w:basedOn w:val="Fuentedeprrafopredeter"/>
    <w:rsid w:val="00BA69ED"/>
  </w:style>
  <w:style w:type="paragraph" w:styleId="Textonotaalfinal">
    <w:name w:val="endnote text"/>
    <w:basedOn w:val="Normal"/>
    <w:link w:val="TextonotaalfinalCar"/>
    <w:uiPriority w:val="99"/>
    <w:semiHidden/>
    <w:unhideWhenUsed/>
    <w:rsid w:val="00742B84"/>
    <w:pPr>
      <w:spacing w:after="0" w:line="240" w:lineRule="auto"/>
    </w:pPr>
    <w:rPr>
      <w:sz w:val="20"/>
      <w:szCs w:val="20"/>
    </w:rPr>
  </w:style>
  <w:style w:type="character" w:customStyle="1" w:styleId="TextonotaalfinalCar">
    <w:name w:val="Texto nota al final Car"/>
    <w:basedOn w:val="Fuentedeprrafopredeter"/>
    <w:link w:val="Textonotaalfinal"/>
    <w:uiPriority w:val="99"/>
    <w:semiHidden/>
    <w:rsid w:val="00742B84"/>
    <w:rPr>
      <w:sz w:val="20"/>
      <w:szCs w:val="20"/>
    </w:rPr>
  </w:style>
  <w:style w:type="character" w:styleId="Refdenotaalfinal">
    <w:name w:val="endnote reference"/>
    <w:basedOn w:val="Fuentedeprrafopredeter"/>
    <w:uiPriority w:val="99"/>
    <w:semiHidden/>
    <w:unhideWhenUsed/>
    <w:rsid w:val="00742B84"/>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6638686">
      <w:bodyDiv w:val="1"/>
      <w:marLeft w:val="0"/>
      <w:marRight w:val="0"/>
      <w:marTop w:val="0"/>
      <w:marBottom w:val="0"/>
      <w:divBdr>
        <w:top w:val="none" w:sz="0" w:space="0" w:color="auto"/>
        <w:left w:val="none" w:sz="0" w:space="0" w:color="auto"/>
        <w:bottom w:val="none" w:sz="0" w:space="0" w:color="auto"/>
        <w:right w:val="none" w:sz="0" w:space="0" w:color="auto"/>
      </w:divBdr>
      <w:divsChild>
        <w:div w:id="37164904">
          <w:marLeft w:val="0"/>
          <w:marRight w:val="0"/>
          <w:marTop w:val="0"/>
          <w:marBottom w:val="0"/>
          <w:divBdr>
            <w:top w:val="none" w:sz="0" w:space="0" w:color="auto"/>
            <w:left w:val="none" w:sz="0" w:space="0" w:color="auto"/>
            <w:bottom w:val="none" w:sz="0" w:space="0" w:color="auto"/>
            <w:right w:val="none" w:sz="0" w:space="0" w:color="auto"/>
          </w:divBdr>
        </w:div>
        <w:div w:id="254747578">
          <w:marLeft w:val="0"/>
          <w:marRight w:val="0"/>
          <w:marTop w:val="0"/>
          <w:marBottom w:val="0"/>
          <w:divBdr>
            <w:top w:val="none" w:sz="0" w:space="0" w:color="auto"/>
            <w:left w:val="none" w:sz="0" w:space="0" w:color="auto"/>
            <w:bottom w:val="none" w:sz="0" w:space="0" w:color="auto"/>
            <w:right w:val="none" w:sz="0" w:space="0" w:color="auto"/>
          </w:divBdr>
        </w:div>
        <w:div w:id="254824756">
          <w:marLeft w:val="0"/>
          <w:marRight w:val="0"/>
          <w:marTop w:val="0"/>
          <w:marBottom w:val="0"/>
          <w:divBdr>
            <w:top w:val="none" w:sz="0" w:space="0" w:color="auto"/>
            <w:left w:val="none" w:sz="0" w:space="0" w:color="auto"/>
            <w:bottom w:val="none" w:sz="0" w:space="0" w:color="auto"/>
            <w:right w:val="none" w:sz="0" w:space="0" w:color="auto"/>
          </w:divBdr>
        </w:div>
        <w:div w:id="380205189">
          <w:marLeft w:val="0"/>
          <w:marRight w:val="0"/>
          <w:marTop w:val="0"/>
          <w:marBottom w:val="0"/>
          <w:divBdr>
            <w:top w:val="none" w:sz="0" w:space="0" w:color="auto"/>
            <w:left w:val="none" w:sz="0" w:space="0" w:color="auto"/>
            <w:bottom w:val="none" w:sz="0" w:space="0" w:color="auto"/>
            <w:right w:val="none" w:sz="0" w:space="0" w:color="auto"/>
          </w:divBdr>
        </w:div>
        <w:div w:id="438139334">
          <w:marLeft w:val="0"/>
          <w:marRight w:val="0"/>
          <w:marTop w:val="0"/>
          <w:marBottom w:val="0"/>
          <w:divBdr>
            <w:top w:val="none" w:sz="0" w:space="0" w:color="auto"/>
            <w:left w:val="none" w:sz="0" w:space="0" w:color="auto"/>
            <w:bottom w:val="none" w:sz="0" w:space="0" w:color="auto"/>
            <w:right w:val="none" w:sz="0" w:space="0" w:color="auto"/>
          </w:divBdr>
        </w:div>
        <w:div w:id="454713960">
          <w:marLeft w:val="0"/>
          <w:marRight w:val="0"/>
          <w:marTop w:val="0"/>
          <w:marBottom w:val="0"/>
          <w:divBdr>
            <w:top w:val="none" w:sz="0" w:space="0" w:color="auto"/>
            <w:left w:val="none" w:sz="0" w:space="0" w:color="auto"/>
            <w:bottom w:val="none" w:sz="0" w:space="0" w:color="auto"/>
            <w:right w:val="none" w:sz="0" w:space="0" w:color="auto"/>
          </w:divBdr>
        </w:div>
        <w:div w:id="459812164">
          <w:marLeft w:val="0"/>
          <w:marRight w:val="0"/>
          <w:marTop w:val="0"/>
          <w:marBottom w:val="0"/>
          <w:divBdr>
            <w:top w:val="none" w:sz="0" w:space="0" w:color="auto"/>
            <w:left w:val="none" w:sz="0" w:space="0" w:color="auto"/>
            <w:bottom w:val="none" w:sz="0" w:space="0" w:color="auto"/>
            <w:right w:val="none" w:sz="0" w:space="0" w:color="auto"/>
          </w:divBdr>
        </w:div>
        <w:div w:id="477386338">
          <w:marLeft w:val="0"/>
          <w:marRight w:val="0"/>
          <w:marTop w:val="0"/>
          <w:marBottom w:val="0"/>
          <w:divBdr>
            <w:top w:val="none" w:sz="0" w:space="0" w:color="auto"/>
            <w:left w:val="none" w:sz="0" w:space="0" w:color="auto"/>
            <w:bottom w:val="none" w:sz="0" w:space="0" w:color="auto"/>
            <w:right w:val="none" w:sz="0" w:space="0" w:color="auto"/>
          </w:divBdr>
        </w:div>
        <w:div w:id="544104118">
          <w:marLeft w:val="0"/>
          <w:marRight w:val="0"/>
          <w:marTop w:val="0"/>
          <w:marBottom w:val="0"/>
          <w:divBdr>
            <w:top w:val="none" w:sz="0" w:space="0" w:color="auto"/>
            <w:left w:val="none" w:sz="0" w:space="0" w:color="auto"/>
            <w:bottom w:val="none" w:sz="0" w:space="0" w:color="auto"/>
            <w:right w:val="none" w:sz="0" w:space="0" w:color="auto"/>
          </w:divBdr>
        </w:div>
        <w:div w:id="616303276">
          <w:marLeft w:val="0"/>
          <w:marRight w:val="0"/>
          <w:marTop w:val="0"/>
          <w:marBottom w:val="0"/>
          <w:divBdr>
            <w:top w:val="none" w:sz="0" w:space="0" w:color="auto"/>
            <w:left w:val="none" w:sz="0" w:space="0" w:color="auto"/>
            <w:bottom w:val="none" w:sz="0" w:space="0" w:color="auto"/>
            <w:right w:val="none" w:sz="0" w:space="0" w:color="auto"/>
          </w:divBdr>
        </w:div>
        <w:div w:id="769399781">
          <w:marLeft w:val="0"/>
          <w:marRight w:val="0"/>
          <w:marTop w:val="0"/>
          <w:marBottom w:val="0"/>
          <w:divBdr>
            <w:top w:val="none" w:sz="0" w:space="0" w:color="auto"/>
            <w:left w:val="none" w:sz="0" w:space="0" w:color="auto"/>
            <w:bottom w:val="none" w:sz="0" w:space="0" w:color="auto"/>
            <w:right w:val="none" w:sz="0" w:space="0" w:color="auto"/>
          </w:divBdr>
        </w:div>
        <w:div w:id="1225484221">
          <w:marLeft w:val="0"/>
          <w:marRight w:val="0"/>
          <w:marTop w:val="0"/>
          <w:marBottom w:val="0"/>
          <w:divBdr>
            <w:top w:val="none" w:sz="0" w:space="0" w:color="auto"/>
            <w:left w:val="none" w:sz="0" w:space="0" w:color="auto"/>
            <w:bottom w:val="none" w:sz="0" w:space="0" w:color="auto"/>
            <w:right w:val="none" w:sz="0" w:space="0" w:color="auto"/>
          </w:divBdr>
        </w:div>
        <w:div w:id="1249390055">
          <w:marLeft w:val="0"/>
          <w:marRight w:val="0"/>
          <w:marTop w:val="0"/>
          <w:marBottom w:val="0"/>
          <w:divBdr>
            <w:top w:val="none" w:sz="0" w:space="0" w:color="auto"/>
            <w:left w:val="none" w:sz="0" w:space="0" w:color="auto"/>
            <w:bottom w:val="none" w:sz="0" w:space="0" w:color="auto"/>
            <w:right w:val="none" w:sz="0" w:space="0" w:color="auto"/>
          </w:divBdr>
        </w:div>
        <w:div w:id="1569880492">
          <w:marLeft w:val="0"/>
          <w:marRight w:val="0"/>
          <w:marTop w:val="0"/>
          <w:marBottom w:val="0"/>
          <w:divBdr>
            <w:top w:val="none" w:sz="0" w:space="0" w:color="auto"/>
            <w:left w:val="none" w:sz="0" w:space="0" w:color="auto"/>
            <w:bottom w:val="none" w:sz="0" w:space="0" w:color="auto"/>
            <w:right w:val="none" w:sz="0" w:space="0" w:color="auto"/>
          </w:divBdr>
        </w:div>
        <w:div w:id="1659773049">
          <w:marLeft w:val="0"/>
          <w:marRight w:val="0"/>
          <w:marTop w:val="0"/>
          <w:marBottom w:val="0"/>
          <w:divBdr>
            <w:top w:val="none" w:sz="0" w:space="0" w:color="auto"/>
            <w:left w:val="none" w:sz="0" w:space="0" w:color="auto"/>
            <w:bottom w:val="none" w:sz="0" w:space="0" w:color="auto"/>
            <w:right w:val="none" w:sz="0" w:space="0" w:color="auto"/>
          </w:divBdr>
        </w:div>
        <w:div w:id="1814638935">
          <w:marLeft w:val="0"/>
          <w:marRight w:val="0"/>
          <w:marTop w:val="0"/>
          <w:marBottom w:val="0"/>
          <w:divBdr>
            <w:top w:val="none" w:sz="0" w:space="0" w:color="auto"/>
            <w:left w:val="none" w:sz="0" w:space="0" w:color="auto"/>
            <w:bottom w:val="none" w:sz="0" w:space="0" w:color="auto"/>
            <w:right w:val="none" w:sz="0" w:space="0" w:color="auto"/>
          </w:divBdr>
        </w:div>
        <w:div w:id="2036492102">
          <w:marLeft w:val="0"/>
          <w:marRight w:val="0"/>
          <w:marTop w:val="0"/>
          <w:marBottom w:val="0"/>
          <w:divBdr>
            <w:top w:val="none" w:sz="0" w:space="0" w:color="auto"/>
            <w:left w:val="none" w:sz="0" w:space="0" w:color="auto"/>
            <w:bottom w:val="none" w:sz="0" w:space="0" w:color="auto"/>
            <w:right w:val="none" w:sz="0" w:space="0" w:color="auto"/>
          </w:divBdr>
        </w:div>
      </w:divsChild>
    </w:div>
    <w:div w:id="144976416">
      <w:bodyDiv w:val="1"/>
      <w:marLeft w:val="0"/>
      <w:marRight w:val="0"/>
      <w:marTop w:val="0"/>
      <w:marBottom w:val="0"/>
      <w:divBdr>
        <w:top w:val="none" w:sz="0" w:space="0" w:color="auto"/>
        <w:left w:val="none" w:sz="0" w:space="0" w:color="auto"/>
        <w:bottom w:val="none" w:sz="0" w:space="0" w:color="auto"/>
        <w:right w:val="none" w:sz="0" w:space="0" w:color="auto"/>
      </w:divBdr>
      <w:divsChild>
        <w:div w:id="264575779">
          <w:marLeft w:val="0"/>
          <w:marRight w:val="0"/>
          <w:marTop w:val="0"/>
          <w:marBottom w:val="0"/>
          <w:divBdr>
            <w:top w:val="none" w:sz="0" w:space="0" w:color="auto"/>
            <w:left w:val="none" w:sz="0" w:space="0" w:color="auto"/>
            <w:bottom w:val="none" w:sz="0" w:space="0" w:color="auto"/>
            <w:right w:val="none" w:sz="0" w:space="0" w:color="auto"/>
          </w:divBdr>
        </w:div>
        <w:div w:id="460271547">
          <w:marLeft w:val="0"/>
          <w:marRight w:val="0"/>
          <w:marTop w:val="0"/>
          <w:marBottom w:val="0"/>
          <w:divBdr>
            <w:top w:val="none" w:sz="0" w:space="0" w:color="auto"/>
            <w:left w:val="none" w:sz="0" w:space="0" w:color="auto"/>
            <w:bottom w:val="none" w:sz="0" w:space="0" w:color="auto"/>
            <w:right w:val="none" w:sz="0" w:space="0" w:color="auto"/>
          </w:divBdr>
        </w:div>
        <w:div w:id="661855698">
          <w:marLeft w:val="0"/>
          <w:marRight w:val="0"/>
          <w:marTop w:val="0"/>
          <w:marBottom w:val="0"/>
          <w:divBdr>
            <w:top w:val="none" w:sz="0" w:space="0" w:color="auto"/>
            <w:left w:val="none" w:sz="0" w:space="0" w:color="auto"/>
            <w:bottom w:val="none" w:sz="0" w:space="0" w:color="auto"/>
            <w:right w:val="none" w:sz="0" w:space="0" w:color="auto"/>
          </w:divBdr>
        </w:div>
        <w:div w:id="691421798">
          <w:marLeft w:val="0"/>
          <w:marRight w:val="0"/>
          <w:marTop w:val="0"/>
          <w:marBottom w:val="0"/>
          <w:divBdr>
            <w:top w:val="none" w:sz="0" w:space="0" w:color="auto"/>
            <w:left w:val="none" w:sz="0" w:space="0" w:color="auto"/>
            <w:bottom w:val="none" w:sz="0" w:space="0" w:color="auto"/>
            <w:right w:val="none" w:sz="0" w:space="0" w:color="auto"/>
          </w:divBdr>
        </w:div>
        <w:div w:id="1328097175">
          <w:marLeft w:val="0"/>
          <w:marRight w:val="0"/>
          <w:marTop w:val="0"/>
          <w:marBottom w:val="0"/>
          <w:divBdr>
            <w:top w:val="none" w:sz="0" w:space="0" w:color="auto"/>
            <w:left w:val="none" w:sz="0" w:space="0" w:color="auto"/>
            <w:bottom w:val="none" w:sz="0" w:space="0" w:color="auto"/>
            <w:right w:val="none" w:sz="0" w:space="0" w:color="auto"/>
          </w:divBdr>
        </w:div>
        <w:div w:id="1904947731">
          <w:marLeft w:val="0"/>
          <w:marRight w:val="0"/>
          <w:marTop w:val="0"/>
          <w:marBottom w:val="0"/>
          <w:divBdr>
            <w:top w:val="none" w:sz="0" w:space="0" w:color="auto"/>
            <w:left w:val="none" w:sz="0" w:space="0" w:color="auto"/>
            <w:bottom w:val="none" w:sz="0" w:space="0" w:color="auto"/>
            <w:right w:val="none" w:sz="0" w:space="0" w:color="auto"/>
          </w:divBdr>
        </w:div>
      </w:divsChild>
    </w:div>
    <w:div w:id="309331771">
      <w:bodyDiv w:val="1"/>
      <w:marLeft w:val="0"/>
      <w:marRight w:val="0"/>
      <w:marTop w:val="0"/>
      <w:marBottom w:val="0"/>
      <w:divBdr>
        <w:top w:val="none" w:sz="0" w:space="0" w:color="auto"/>
        <w:left w:val="none" w:sz="0" w:space="0" w:color="auto"/>
        <w:bottom w:val="none" w:sz="0" w:space="0" w:color="auto"/>
        <w:right w:val="none" w:sz="0" w:space="0" w:color="auto"/>
      </w:divBdr>
    </w:div>
    <w:div w:id="376665501">
      <w:bodyDiv w:val="1"/>
      <w:marLeft w:val="0"/>
      <w:marRight w:val="0"/>
      <w:marTop w:val="0"/>
      <w:marBottom w:val="0"/>
      <w:divBdr>
        <w:top w:val="none" w:sz="0" w:space="0" w:color="auto"/>
        <w:left w:val="none" w:sz="0" w:space="0" w:color="auto"/>
        <w:bottom w:val="none" w:sz="0" w:space="0" w:color="auto"/>
        <w:right w:val="none" w:sz="0" w:space="0" w:color="auto"/>
      </w:divBdr>
    </w:div>
    <w:div w:id="531922085">
      <w:bodyDiv w:val="1"/>
      <w:marLeft w:val="0"/>
      <w:marRight w:val="0"/>
      <w:marTop w:val="0"/>
      <w:marBottom w:val="0"/>
      <w:divBdr>
        <w:top w:val="none" w:sz="0" w:space="0" w:color="auto"/>
        <w:left w:val="none" w:sz="0" w:space="0" w:color="auto"/>
        <w:bottom w:val="none" w:sz="0" w:space="0" w:color="auto"/>
        <w:right w:val="none" w:sz="0" w:space="0" w:color="auto"/>
      </w:divBdr>
      <w:divsChild>
        <w:div w:id="59406501">
          <w:marLeft w:val="0"/>
          <w:marRight w:val="0"/>
          <w:marTop w:val="0"/>
          <w:marBottom w:val="0"/>
          <w:divBdr>
            <w:top w:val="none" w:sz="0" w:space="0" w:color="auto"/>
            <w:left w:val="none" w:sz="0" w:space="0" w:color="auto"/>
            <w:bottom w:val="none" w:sz="0" w:space="0" w:color="auto"/>
            <w:right w:val="none" w:sz="0" w:space="0" w:color="auto"/>
          </w:divBdr>
        </w:div>
        <w:div w:id="77410854">
          <w:marLeft w:val="0"/>
          <w:marRight w:val="0"/>
          <w:marTop w:val="0"/>
          <w:marBottom w:val="0"/>
          <w:divBdr>
            <w:top w:val="none" w:sz="0" w:space="0" w:color="auto"/>
            <w:left w:val="none" w:sz="0" w:space="0" w:color="auto"/>
            <w:bottom w:val="none" w:sz="0" w:space="0" w:color="auto"/>
            <w:right w:val="none" w:sz="0" w:space="0" w:color="auto"/>
          </w:divBdr>
        </w:div>
        <w:div w:id="298147700">
          <w:marLeft w:val="0"/>
          <w:marRight w:val="0"/>
          <w:marTop w:val="0"/>
          <w:marBottom w:val="0"/>
          <w:divBdr>
            <w:top w:val="none" w:sz="0" w:space="0" w:color="auto"/>
            <w:left w:val="none" w:sz="0" w:space="0" w:color="auto"/>
            <w:bottom w:val="none" w:sz="0" w:space="0" w:color="auto"/>
            <w:right w:val="none" w:sz="0" w:space="0" w:color="auto"/>
          </w:divBdr>
        </w:div>
        <w:div w:id="338779873">
          <w:marLeft w:val="0"/>
          <w:marRight w:val="0"/>
          <w:marTop w:val="0"/>
          <w:marBottom w:val="0"/>
          <w:divBdr>
            <w:top w:val="none" w:sz="0" w:space="0" w:color="auto"/>
            <w:left w:val="none" w:sz="0" w:space="0" w:color="auto"/>
            <w:bottom w:val="none" w:sz="0" w:space="0" w:color="auto"/>
            <w:right w:val="none" w:sz="0" w:space="0" w:color="auto"/>
          </w:divBdr>
        </w:div>
        <w:div w:id="368144224">
          <w:marLeft w:val="0"/>
          <w:marRight w:val="0"/>
          <w:marTop w:val="0"/>
          <w:marBottom w:val="0"/>
          <w:divBdr>
            <w:top w:val="none" w:sz="0" w:space="0" w:color="auto"/>
            <w:left w:val="none" w:sz="0" w:space="0" w:color="auto"/>
            <w:bottom w:val="none" w:sz="0" w:space="0" w:color="auto"/>
            <w:right w:val="none" w:sz="0" w:space="0" w:color="auto"/>
          </w:divBdr>
        </w:div>
        <w:div w:id="407072394">
          <w:marLeft w:val="0"/>
          <w:marRight w:val="0"/>
          <w:marTop w:val="0"/>
          <w:marBottom w:val="0"/>
          <w:divBdr>
            <w:top w:val="none" w:sz="0" w:space="0" w:color="auto"/>
            <w:left w:val="none" w:sz="0" w:space="0" w:color="auto"/>
            <w:bottom w:val="none" w:sz="0" w:space="0" w:color="auto"/>
            <w:right w:val="none" w:sz="0" w:space="0" w:color="auto"/>
          </w:divBdr>
        </w:div>
        <w:div w:id="637032286">
          <w:marLeft w:val="0"/>
          <w:marRight w:val="0"/>
          <w:marTop w:val="0"/>
          <w:marBottom w:val="0"/>
          <w:divBdr>
            <w:top w:val="none" w:sz="0" w:space="0" w:color="auto"/>
            <w:left w:val="none" w:sz="0" w:space="0" w:color="auto"/>
            <w:bottom w:val="none" w:sz="0" w:space="0" w:color="auto"/>
            <w:right w:val="none" w:sz="0" w:space="0" w:color="auto"/>
          </w:divBdr>
        </w:div>
        <w:div w:id="1041789134">
          <w:marLeft w:val="0"/>
          <w:marRight w:val="0"/>
          <w:marTop w:val="0"/>
          <w:marBottom w:val="0"/>
          <w:divBdr>
            <w:top w:val="none" w:sz="0" w:space="0" w:color="auto"/>
            <w:left w:val="none" w:sz="0" w:space="0" w:color="auto"/>
            <w:bottom w:val="none" w:sz="0" w:space="0" w:color="auto"/>
            <w:right w:val="none" w:sz="0" w:space="0" w:color="auto"/>
          </w:divBdr>
        </w:div>
        <w:div w:id="1221554501">
          <w:marLeft w:val="0"/>
          <w:marRight w:val="0"/>
          <w:marTop w:val="0"/>
          <w:marBottom w:val="0"/>
          <w:divBdr>
            <w:top w:val="none" w:sz="0" w:space="0" w:color="auto"/>
            <w:left w:val="none" w:sz="0" w:space="0" w:color="auto"/>
            <w:bottom w:val="none" w:sz="0" w:space="0" w:color="auto"/>
            <w:right w:val="none" w:sz="0" w:space="0" w:color="auto"/>
          </w:divBdr>
        </w:div>
        <w:div w:id="1305236536">
          <w:marLeft w:val="0"/>
          <w:marRight w:val="0"/>
          <w:marTop w:val="0"/>
          <w:marBottom w:val="0"/>
          <w:divBdr>
            <w:top w:val="none" w:sz="0" w:space="0" w:color="auto"/>
            <w:left w:val="none" w:sz="0" w:space="0" w:color="auto"/>
            <w:bottom w:val="none" w:sz="0" w:space="0" w:color="auto"/>
            <w:right w:val="none" w:sz="0" w:space="0" w:color="auto"/>
          </w:divBdr>
        </w:div>
        <w:div w:id="1507285155">
          <w:marLeft w:val="0"/>
          <w:marRight w:val="0"/>
          <w:marTop w:val="0"/>
          <w:marBottom w:val="0"/>
          <w:divBdr>
            <w:top w:val="none" w:sz="0" w:space="0" w:color="auto"/>
            <w:left w:val="none" w:sz="0" w:space="0" w:color="auto"/>
            <w:bottom w:val="none" w:sz="0" w:space="0" w:color="auto"/>
            <w:right w:val="none" w:sz="0" w:space="0" w:color="auto"/>
          </w:divBdr>
        </w:div>
        <w:div w:id="1560551443">
          <w:marLeft w:val="0"/>
          <w:marRight w:val="0"/>
          <w:marTop w:val="0"/>
          <w:marBottom w:val="0"/>
          <w:divBdr>
            <w:top w:val="none" w:sz="0" w:space="0" w:color="auto"/>
            <w:left w:val="none" w:sz="0" w:space="0" w:color="auto"/>
            <w:bottom w:val="none" w:sz="0" w:space="0" w:color="auto"/>
            <w:right w:val="none" w:sz="0" w:space="0" w:color="auto"/>
          </w:divBdr>
        </w:div>
        <w:div w:id="1597976386">
          <w:marLeft w:val="0"/>
          <w:marRight w:val="0"/>
          <w:marTop w:val="0"/>
          <w:marBottom w:val="0"/>
          <w:divBdr>
            <w:top w:val="none" w:sz="0" w:space="0" w:color="auto"/>
            <w:left w:val="none" w:sz="0" w:space="0" w:color="auto"/>
            <w:bottom w:val="none" w:sz="0" w:space="0" w:color="auto"/>
            <w:right w:val="none" w:sz="0" w:space="0" w:color="auto"/>
          </w:divBdr>
        </w:div>
        <w:div w:id="1692760001">
          <w:marLeft w:val="0"/>
          <w:marRight w:val="0"/>
          <w:marTop w:val="0"/>
          <w:marBottom w:val="0"/>
          <w:divBdr>
            <w:top w:val="none" w:sz="0" w:space="0" w:color="auto"/>
            <w:left w:val="none" w:sz="0" w:space="0" w:color="auto"/>
            <w:bottom w:val="none" w:sz="0" w:space="0" w:color="auto"/>
            <w:right w:val="none" w:sz="0" w:space="0" w:color="auto"/>
          </w:divBdr>
        </w:div>
        <w:div w:id="1907521533">
          <w:marLeft w:val="0"/>
          <w:marRight w:val="0"/>
          <w:marTop w:val="0"/>
          <w:marBottom w:val="0"/>
          <w:divBdr>
            <w:top w:val="none" w:sz="0" w:space="0" w:color="auto"/>
            <w:left w:val="none" w:sz="0" w:space="0" w:color="auto"/>
            <w:bottom w:val="none" w:sz="0" w:space="0" w:color="auto"/>
            <w:right w:val="none" w:sz="0" w:space="0" w:color="auto"/>
          </w:divBdr>
        </w:div>
        <w:div w:id="1991516706">
          <w:marLeft w:val="0"/>
          <w:marRight w:val="0"/>
          <w:marTop w:val="0"/>
          <w:marBottom w:val="0"/>
          <w:divBdr>
            <w:top w:val="none" w:sz="0" w:space="0" w:color="auto"/>
            <w:left w:val="none" w:sz="0" w:space="0" w:color="auto"/>
            <w:bottom w:val="none" w:sz="0" w:space="0" w:color="auto"/>
            <w:right w:val="none" w:sz="0" w:space="0" w:color="auto"/>
          </w:divBdr>
        </w:div>
        <w:div w:id="2040426157">
          <w:marLeft w:val="0"/>
          <w:marRight w:val="0"/>
          <w:marTop w:val="0"/>
          <w:marBottom w:val="0"/>
          <w:divBdr>
            <w:top w:val="none" w:sz="0" w:space="0" w:color="auto"/>
            <w:left w:val="none" w:sz="0" w:space="0" w:color="auto"/>
            <w:bottom w:val="none" w:sz="0" w:space="0" w:color="auto"/>
            <w:right w:val="none" w:sz="0" w:space="0" w:color="auto"/>
          </w:divBdr>
        </w:div>
        <w:div w:id="2061979343">
          <w:marLeft w:val="0"/>
          <w:marRight w:val="0"/>
          <w:marTop w:val="0"/>
          <w:marBottom w:val="0"/>
          <w:divBdr>
            <w:top w:val="none" w:sz="0" w:space="0" w:color="auto"/>
            <w:left w:val="none" w:sz="0" w:space="0" w:color="auto"/>
            <w:bottom w:val="none" w:sz="0" w:space="0" w:color="auto"/>
            <w:right w:val="none" w:sz="0" w:space="0" w:color="auto"/>
          </w:divBdr>
        </w:div>
        <w:div w:id="2115442929">
          <w:marLeft w:val="0"/>
          <w:marRight w:val="0"/>
          <w:marTop w:val="0"/>
          <w:marBottom w:val="0"/>
          <w:divBdr>
            <w:top w:val="none" w:sz="0" w:space="0" w:color="auto"/>
            <w:left w:val="none" w:sz="0" w:space="0" w:color="auto"/>
            <w:bottom w:val="none" w:sz="0" w:space="0" w:color="auto"/>
            <w:right w:val="none" w:sz="0" w:space="0" w:color="auto"/>
          </w:divBdr>
        </w:div>
        <w:div w:id="2138910735">
          <w:marLeft w:val="0"/>
          <w:marRight w:val="0"/>
          <w:marTop w:val="0"/>
          <w:marBottom w:val="0"/>
          <w:divBdr>
            <w:top w:val="none" w:sz="0" w:space="0" w:color="auto"/>
            <w:left w:val="none" w:sz="0" w:space="0" w:color="auto"/>
            <w:bottom w:val="none" w:sz="0" w:space="0" w:color="auto"/>
            <w:right w:val="none" w:sz="0" w:space="0" w:color="auto"/>
          </w:divBdr>
        </w:div>
      </w:divsChild>
    </w:div>
    <w:div w:id="594442641">
      <w:bodyDiv w:val="1"/>
      <w:marLeft w:val="0"/>
      <w:marRight w:val="0"/>
      <w:marTop w:val="0"/>
      <w:marBottom w:val="0"/>
      <w:divBdr>
        <w:top w:val="none" w:sz="0" w:space="0" w:color="auto"/>
        <w:left w:val="none" w:sz="0" w:space="0" w:color="auto"/>
        <w:bottom w:val="none" w:sz="0" w:space="0" w:color="auto"/>
        <w:right w:val="none" w:sz="0" w:space="0" w:color="auto"/>
      </w:divBdr>
      <w:divsChild>
        <w:div w:id="797917117">
          <w:marLeft w:val="0"/>
          <w:marRight w:val="0"/>
          <w:marTop w:val="0"/>
          <w:marBottom w:val="0"/>
          <w:divBdr>
            <w:top w:val="none" w:sz="0" w:space="0" w:color="auto"/>
            <w:left w:val="none" w:sz="0" w:space="0" w:color="auto"/>
            <w:bottom w:val="none" w:sz="0" w:space="0" w:color="auto"/>
            <w:right w:val="none" w:sz="0" w:space="0" w:color="auto"/>
          </w:divBdr>
        </w:div>
        <w:div w:id="1080523721">
          <w:marLeft w:val="0"/>
          <w:marRight w:val="0"/>
          <w:marTop w:val="0"/>
          <w:marBottom w:val="0"/>
          <w:divBdr>
            <w:top w:val="none" w:sz="0" w:space="0" w:color="auto"/>
            <w:left w:val="none" w:sz="0" w:space="0" w:color="auto"/>
            <w:bottom w:val="none" w:sz="0" w:space="0" w:color="auto"/>
            <w:right w:val="none" w:sz="0" w:space="0" w:color="auto"/>
          </w:divBdr>
        </w:div>
        <w:div w:id="1794596261">
          <w:marLeft w:val="0"/>
          <w:marRight w:val="0"/>
          <w:marTop w:val="0"/>
          <w:marBottom w:val="0"/>
          <w:divBdr>
            <w:top w:val="none" w:sz="0" w:space="0" w:color="auto"/>
            <w:left w:val="none" w:sz="0" w:space="0" w:color="auto"/>
            <w:bottom w:val="none" w:sz="0" w:space="0" w:color="auto"/>
            <w:right w:val="none" w:sz="0" w:space="0" w:color="auto"/>
          </w:divBdr>
        </w:div>
      </w:divsChild>
    </w:div>
    <w:div w:id="667056878">
      <w:bodyDiv w:val="1"/>
      <w:marLeft w:val="0"/>
      <w:marRight w:val="0"/>
      <w:marTop w:val="0"/>
      <w:marBottom w:val="0"/>
      <w:divBdr>
        <w:top w:val="none" w:sz="0" w:space="0" w:color="auto"/>
        <w:left w:val="none" w:sz="0" w:space="0" w:color="auto"/>
        <w:bottom w:val="none" w:sz="0" w:space="0" w:color="auto"/>
        <w:right w:val="none" w:sz="0" w:space="0" w:color="auto"/>
      </w:divBdr>
      <w:divsChild>
        <w:div w:id="1835871256">
          <w:marLeft w:val="0"/>
          <w:marRight w:val="0"/>
          <w:marTop w:val="0"/>
          <w:marBottom w:val="0"/>
          <w:divBdr>
            <w:top w:val="none" w:sz="0" w:space="0" w:color="auto"/>
            <w:left w:val="none" w:sz="0" w:space="0" w:color="auto"/>
            <w:bottom w:val="none" w:sz="0" w:space="0" w:color="auto"/>
            <w:right w:val="none" w:sz="0" w:space="0" w:color="auto"/>
          </w:divBdr>
          <w:divsChild>
            <w:div w:id="1136214434">
              <w:marLeft w:val="0"/>
              <w:marRight w:val="0"/>
              <w:marTop w:val="30"/>
              <w:marBottom w:val="30"/>
              <w:divBdr>
                <w:top w:val="none" w:sz="0" w:space="0" w:color="auto"/>
                <w:left w:val="none" w:sz="0" w:space="0" w:color="auto"/>
                <w:bottom w:val="none" w:sz="0" w:space="0" w:color="auto"/>
                <w:right w:val="none" w:sz="0" w:space="0" w:color="auto"/>
              </w:divBdr>
              <w:divsChild>
                <w:div w:id="50930293">
                  <w:marLeft w:val="0"/>
                  <w:marRight w:val="0"/>
                  <w:marTop w:val="0"/>
                  <w:marBottom w:val="0"/>
                  <w:divBdr>
                    <w:top w:val="none" w:sz="0" w:space="0" w:color="auto"/>
                    <w:left w:val="none" w:sz="0" w:space="0" w:color="auto"/>
                    <w:bottom w:val="none" w:sz="0" w:space="0" w:color="auto"/>
                    <w:right w:val="none" w:sz="0" w:space="0" w:color="auto"/>
                  </w:divBdr>
                  <w:divsChild>
                    <w:div w:id="258297768">
                      <w:marLeft w:val="0"/>
                      <w:marRight w:val="0"/>
                      <w:marTop w:val="0"/>
                      <w:marBottom w:val="0"/>
                      <w:divBdr>
                        <w:top w:val="none" w:sz="0" w:space="0" w:color="auto"/>
                        <w:left w:val="none" w:sz="0" w:space="0" w:color="auto"/>
                        <w:bottom w:val="none" w:sz="0" w:space="0" w:color="auto"/>
                        <w:right w:val="none" w:sz="0" w:space="0" w:color="auto"/>
                      </w:divBdr>
                    </w:div>
                  </w:divsChild>
                </w:div>
                <w:div w:id="190263951">
                  <w:marLeft w:val="0"/>
                  <w:marRight w:val="0"/>
                  <w:marTop w:val="0"/>
                  <w:marBottom w:val="0"/>
                  <w:divBdr>
                    <w:top w:val="none" w:sz="0" w:space="0" w:color="auto"/>
                    <w:left w:val="none" w:sz="0" w:space="0" w:color="auto"/>
                    <w:bottom w:val="none" w:sz="0" w:space="0" w:color="auto"/>
                    <w:right w:val="none" w:sz="0" w:space="0" w:color="auto"/>
                  </w:divBdr>
                  <w:divsChild>
                    <w:div w:id="3945719">
                      <w:marLeft w:val="0"/>
                      <w:marRight w:val="0"/>
                      <w:marTop w:val="0"/>
                      <w:marBottom w:val="0"/>
                      <w:divBdr>
                        <w:top w:val="none" w:sz="0" w:space="0" w:color="auto"/>
                        <w:left w:val="none" w:sz="0" w:space="0" w:color="auto"/>
                        <w:bottom w:val="none" w:sz="0" w:space="0" w:color="auto"/>
                        <w:right w:val="none" w:sz="0" w:space="0" w:color="auto"/>
                      </w:divBdr>
                    </w:div>
                  </w:divsChild>
                </w:div>
                <w:div w:id="222376510">
                  <w:marLeft w:val="0"/>
                  <w:marRight w:val="0"/>
                  <w:marTop w:val="0"/>
                  <w:marBottom w:val="0"/>
                  <w:divBdr>
                    <w:top w:val="none" w:sz="0" w:space="0" w:color="auto"/>
                    <w:left w:val="none" w:sz="0" w:space="0" w:color="auto"/>
                    <w:bottom w:val="none" w:sz="0" w:space="0" w:color="auto"/>
                    <w:right w:val="none" w:sz="0" w:space="0" w:color="auto"/>
                  </w:divBdr>
                  <w:divsChild>
                    <w:div w:id="2062051399">
                      <w:marLeft w:val="0"/>
                      <w:marRight w:val="0"/>
                      <w:marTop w:val="0"/>
                      <w:marBottom w:val="0"/>
                      <w:divBdr>
                        <w:top w:val="none" w:sz="0" w:space="0" w:color="auto"/>
                        <w:left w:val="none" w:sz="0" w:space="0" w:color="auto"/>
                        <w:bottom w:val="none" w:sz="0" w:space="0" w:color="auto"/>
                        <w:right w:val="none" w:sz="0" w:space="0" w:color="auto"/>
                      </w:divBdr>
                    </w:div>
                  </w:divsChild>
                </w:div>
                <w:div w:id="645545341">
                  <w:marLeft w:val="0"/>
                  <w:marRight w:val="0"/>
                  <w:marTop w:val="0"/>
                  <w:marBottom w:val="0"/>
                  <w:divBdr>
                    <w:top w:val="none" w:sz="0" w:space="0" w:color="auto"/>
                    <w:left w:val="none" w:sz="0" w:space="0" w:color="auto"/>
                    <w:bottom w:val="none" w:sz="0" w:space="0" w:color="auto"/>
                    <w:right w:val="none" w:sz="0" w:space="0" w:color="auto"/>
                  </w:divBdr>
                  <w:divsChild>
                    <w:div w:id="1847093129">
                      <w:marLeft w:val="0"/>
                      <w:marRight w:val="0"/>
                      <w:marTop w:val="0"/>
                      <w:marBottom w:val="0"/>
                      <w:divBdr>
                        <w:top w:val="none" w:sz="0" w:space="0" w:color="auto"/>
                        <w:left w:val="none" w:sz="0" w:space="0" w:color="auto"/>
                        <w:bottom w:val="none" w:sz="0" w:space="0" w:color="auto"/>
                        <w:right w:val="none" w:sz="0" w:space="0" w:color="auto"/>
                      </w:divBdr>
                    </w:div>
                  </w:divsChild>
                </w:div>
                <w:div w:id="1104155499">
                  <w:marLeft w:val="0"/>
                  <w:marRight w:val="0"/>
                  <w:marTop w:val="0"/>
                  <w:marBottom w:val="0"/>
                  <w:divBdr>
                    <w:top w:val="none" w:sz="0" w:space="0" w:color="auto"/>
                    <w:left w:val="none" w:sz="0" w:space="0" w:color="auto"/>
                    <w:bottom w:val="none" w:sz="0" w:space="0" w:color="auto"/>
                    <w:right w:val="none" w:sz="0" w:space="0" w:color="auto"/>
                  </w:divBdr>
                  <w:divsChild>
                    <w:div w:id="1989817176">
                      <w:marLeft w:val="0"/>
                      <w:marRight w:val="0"/>
                      <w:marTop w:val="0"/>
                      <w:marBottom w:val="0"/>
                      <w:divBdr>
                        <w:top w:val="none" w:sz="0" w:space="0" w:color="auto"/>
                        <w:left w:val="none" w:sz="0" w:space="0" w:color="auto"/>
                        <w:bottom w:val="none" w:sz="0" w:space="0" w:color="auto"/>
                        <w:right w:val="none" w:sz="0" w:space="0" w:color="auto"/>
                      </w:divBdr>
                    </w:div>
                  </w:divsChild>
                </w:div>
                <w:div w:id="1209102116">
                  <w:marLeft w:val="0"/>
                  <w:marRight w:val="0"/>
                  <w:marTop w:val="0"/>
                  <w:marBottom w:val="0"/>
                  <w:divBdr>
                    <w:top w:val="none" w:sz="0" w:space="0" w:color="auto"/>
                    <w:left w:val="none" w:sz="0" w:space="0" w:color="auto"/>
                    <w:bottom w:val="none" w:sz="0" w:space="0" w:color="auto"/>
                    <w:right w:val="none" w:sz="0" w:space="0" w:color="auto"/>
                  </w:divBdr>
                  <w:divsChild>
                    <w:div w:id="852764933">
                      <w:marLeft w:val="0"/>
                      <w:marRight w:val="0"/>
                      <w:marTop w:val="0"/>
                      <w:marBottom w:val="0"/>
                      <w:divBdr>
                        <w:top w:val="none" w:sz="0" w:space="0" w:color="auto"/>
                        <w:left w:val="none" w:sz="0" w:space="0" w:color="auto"/>
                        <w:bottom w:val="none" w:sz="0" w:space="0" w:color="auto"/>
                        <w:right w:val="none" w:sz="0" w:space="0" w:color="auto"/>
                      </w:divBdr>
                    </w:div>
                  </w:divsChild>
                </w:div>
                <w:div w:id="1282105913">
                  <w:marLeft w:val="0"/>
                  <w:marRight w:val="0"/>
                  <w:marTop w:val="0"/>
                  <w:marBottom w:val="0"/>
                  <w:divBdr>
                    <w:top w:val="none" w:sz="0" w:space="0" w:color="auto"/>
                    <w:left w:val="none" w:sz="0" w:space="0" w:color="auto"/>
                    <w:bottom w:val="none" w:sz="0" w:space="0" w:color="auto"/>
                    <w:right w:val="none" w:sz="0" w:space="0" w:color="auto"/>
                  </w:divBdr>
                  <w:divsChild>
                    <w:div w:id="528684899">
                      <w:marLeft w:val="0"/>
                      <w:marRight w:val="0"/>
                      <w:marTop w:val="0"/>
                      <w:marBottom w:val="0"/>
                      <w:divBdr>
                        <w:top w:val="none" w:sz="0" w:space="0" w:color="auto"/>
                        <w:left w:val="none" w:sz="0" w:space="0" w:color="auto"/>
                        <w:bottom w:val="none" w:sz="0" w:space="0" w:color="auto"/>
                        <w:right w:val="none" w:sz="0" w:space="0" w:color="auto"/>
                      </w:divBdr>
                    </w:div>
                  </w:divsChild>
                </w:div>
                <w:div w:id="1326129181">
                  <w:marLeft w:val="0"/>
                  <w:marRight w:val="0"/>
                  <w:marTop w:val="0"/>
                  <w:marBottom w:val="0"/>
                  <w:divBdr>
                    <w:top w:val="none" w:sz="0" w:space="0" w:color="auto"/>
                    <w:left w:val="none" w:sz="0" w:space="0" w:color="auto"/>
                    <w:bottom w:val="none" w:sz="0" w:space="0" w:color="auto"/>
                    <w:right w:val="none" w:sz="0" w:space="0" w:color="auto"/>
                  </w:divBdr>
                  <w:divsChild>
                    <w:div w:id="1076245049">
                      <w:marLeft w:val="0"/>
                      <w:marRight w:val="0"/>
                      <w:marTop w:val="0"/>
                      <w:marBottom w:val="0"/>
                      <w:divBdr>
                        <w:top w:val="none" w:sz="0" w:space="0" w:color="auto"/>
                        <w:left w:val="none" w:sz="0" w:space="0" w:color="auto"/>
                        <w:bottom w:val="none" w:sz="0" w:space="0" w:color="auto"/>
                        <w:right w:val="none" w:sz="0" w:space="0" w:color="auto"/>
                      </w:divBdr>
                    </w:div>
                  </w:divsChild>
                </w:div>
                <w:div w:id="1330401216">
                  <w:marLeft w:val="0"/>
                  <w:marRight w:val="0"/>
                  <w:marTop w:val="0"/>
                  <w:marBottom w:val="0"/>
                  <w:divBdr>
                    <w:top w:val="none" w:sz="0" w:space="0" w:color="auto"/>
                    <w:left w:val="none" w:sz="0" w:space="0" w:color="auto"/>
                    <w:bottom w:val="none" w:sz="0" w:space="0" w:color="auto"/>
                    <w:right w:val="none" w:sz="0" w:space="0" w:color="auto"/>
                  </w:divBdr>
                  <w:divsChild>
                    <w:div w:id="1917737462">
                      <w:marLeft w:val="0"/>
                      <w:marRight w:val="0"/>
                      <w:marTop w:val="0"/>
                      <w:marBottom w:val="0"/>
                      <w:divBdr>
                        <w:top w:val="none" w:sz="0" w:space="0" w:color="auto"/>
                        <w:left w:val="none" w:sz="0" w:space="0" w:color="auto"/>
                        <w:bottom w:val="none" w:sz="0" w:space="0" w:color="auto"/>
                        <w:right w:val="none" w:sz="0" w:space="0" w:color="auto"/>
                      </w:divBdr>
                    </w:div>
                  </w:divsChild>
                </w:div>
                <w:div w:id="1408191516">
                  <w:marLeft w:val="0"/>
                  <w:marRight w:val="0"/>
                  <w:marTop w:val="0"/>
                  <w:marBottom w:val="0"/>
                  <w:divBdr>
                    <w:top w:val="none" w:sz="0" w:space="0" w:color="auto"/>
                    <w:left w:val="none" w:sz="0" w:space="0" w:color="auto"/>
                    <w:bottom w:val="none" w:sz="0" w:space="0" w:color="auto"/>
                    <w:right w:val="none" w:sz="0" w:space="0" w:color="auto"/>
                  </w:divBdr>
                  <w:divsChild>
                    <w:div w:id="1838181756">
                      <w:marLeft w:val="0"/>
                      <w:marRight w:val="0"/>
                      <w:marTop w:val="0"/>
                      <w:marBottom w:val="0"/>
                      <w:divBdr>
                        <w:top w:val="none" w:sz="0" w:space="0" w:color="auto"/>
                        <w:left w:val="none" w:sz="0" w:space="0" w:color="auto"/>
                        <w:bottom w:val="none" w:sz="0" w:space="0" w:color="auto"/>
                        <w:right w:val="none" w:sz="0" w:space="0" w:color="auto"/>
                      </w:divBdr>
                    </w:div>
                  </w:divsChild>
                </w:div>
                <w:div w:id="1473786860">
                  <w:marLeft w:val="0"/>
                  <w:marRight w:val="0"/>
                  <w:marTop w:val="0"/>
                  <w:marBottom w:val="0"/>
                  <w:divBdr>
                    <w:top w:val="none" w:sz="0" w:space="0" w:color="auto"/>
                    <w:left w:val="none" w:sz="0" w:space="0" w:color="auto"/>
                    <w:bottom w:val="none" w:sz="0" w:space="0" w:color="auto"/>
                    <w:right w:val="none" w:sz="0" w:space="0" w:color="auto"/>
                  </w:divBdr>
                  <w:divsChild>
                    <w:div w:id="304048925">
                      <w:marLeft w:val="0"/>
                      <w:marRight w:val="0"/>
                      <w:marTop w:val="0"/>
                      <w:marBottom w:val="0"/>
                      <w:divBdr>
                        <w:top w:val="none" w:sz="0" w:space="0" w:color="auto"/>
                        <w:left w:val="none" w:sz="0" w:space="0" w:color="auto"/>
                        <w:bottom w:val="none" w:sz="0" w:space="0" w:color="auto"/>
                        <w:right w:val="none" w:sz="0" w:space="0" w:color="auto"/>
                      </w:divBdr>
                    </w:div>
                  </w:divsChild>
                </w:div>
                <w:div w:id="1476027789">
                  <w:marLeft w:val="0"/>
                  <w:marRight w:val="0"/>
                  <w:marTop w:val="0"/>
                  <w:marBottom w:val="0"/>
                  <w:divBdr>
                    <w:top w:val="none" w:sz="0" w:space="0" w:color="auto"/>
                    <w:left w:val="none" w:sz="0" w:space="0" w:color="auto"/>
                    <w:bottom w:val="none" w:sz="0" w:space="0" w:color="auto"/>
                    <w:right w:val="none" w:sz="0" w:space="0" w:color="auto"/>
                  </w:divBdr>
                  <w:divsChild>
                    <w:div w:id="320472687">
                      <w:marLeft w:val="0"/>
                      <w:marRight w:val="0"/>
                      <w:marTop w:val="0"/>
                      <w:marBottom w:val="0"/>
                      <w:divBdr>
                        <w:top w:val="none" w:sz="0" w:space="0" w:color="auto"/>
                        <w:left w:val="none" w:sz="0" w:space="0" w:color="auto"/>
                        <w:bottom w:val="none" w:sz="0" w:space="0" w:color="auto"/>
                        <w:right w:val="none" w:sz="0" w:space="0" w:color="auto"/>
                      </w:divBdr>
                    </w:div>
                  </w:divsChild>
                </w:div>
                <w:div w:id="1521622942">
                  <w:marLeft w:val="0"/>
                  <w:marRight w:val="0"/>
                  <w:marTop w:val="0"/>
                  <w:marBottom w:val="0"/>
                  <w:divBdr>
                    <w:top w:val="none" w:sz="0" w:space="0" w:color="auto"/>
                    <w:left w:val="none" w:sz="0" w:space="0" w:color="auto"/>
                    <w:bottom w:val="none" w:sz="0" w:space="0" w:color="auto"/>
                    <w:right w:val="none" w:sz="0" w:space="0" w:color="auto"/>
                  </w:divBdr>
                  <w:divsChild>
                    <w:div w:id="1321034785">
                      <w:marLeft w:val="0"/>
                      <w:marRight w:val="0"/>
                      <w:marTop w:val="0"/>
                      <w:marBottom w:val="0"/>
                      <w:divBdr>
                        <w:top w:val="none" w:sz="0" w:space="0" w:color="auto"/>
                        <w:left w:val="none" w:sz="0" w:space="0" w:color="auto"/>
                        <w:bottom w:val="none" w:sz="0" w:space="0" w:color="auto"/>
                        <w:right w:val="none" w:sz="0" w:space="0" w:color="auto"/>
                      </w:divBdr>
                    </w:div>
                  </w:divsChild>
                </w:div>
                <w:div w:id="1642886428">
                  <w:marLeft w:val="0"/>
                  <w:marRight w:val="0"/>
                  <w:marTop w:val="0"/>
                  <w:marBottom w:val="0"/>
                  <w:divBdr>
                    <w:top w:val="none" w:sz="0" w:space="0" w:color="auto"/>
                    <w:left w:val="none" w:sz="0" w:space="0" w:color="auto"/>
                    <w:bottom w:val="none" w:sz="0" w:space="0" w:color="auto"/>
                    <w:right w:val="none" w:sz="0" w:space="0" w:color="auto"/>
                  </w:divBdr>
                  <w:divsChild>
                    <w:div w:id="1096751365">
                      <w:marLeft w:val="0"/>
                      <w:marRight w:val="0"/>
                      <w:marTop w:val="0"/>
                      <w:marBottom w:val="0"/>
                      <w:divBdr>
                        <w:top w:val="none" w:sz="0" w:space="0" w:color="auto"/>
                        <w:left w:val="none" w:sz="0" w:space="0" w:color="auto"/>
                        <w:bottom w:val="none" w:sz="0" w:space="0" w:color="auto"/>
                        <w:right w:val="none" w:sz="0" w:space="0" w:color="auto"/>
                      </w:divBdr>
                    </w:div>
                  </w:divsChild>
                </w:div>
                <w:div w:id="1681347778">
                  <w:marLeft w:val="0"/>
                  <w:marRight w:val="0"/>
                  <w:marTop w:val="0"/>
                  <w:marBottom w:val="0"/>
                  <w:divBdr>
                    <w:top w:val="none" w:sz="0" w:space="0" w:color="auto"/>
                    <w:left w:val="none" w:sz="0" w:space="0" w:color="auto"/>
                    <w:bottom w:val="none" w:sz="0" w:space="0" w:color="auto"/>
                    <w:right w:val="none" w:sz="0" w:space="0" w:color="auto"/>
                  </w:divBdr>
                  <w:divsChild>
                    <w:div w:id="447161482">
                      <w:marLeft w:val="0"/>
                      <w:marRight w:val="0"/>
                      <w:marTop w:val="0"/>
                      <w:marBottom w:val="0"/>
                      <w:divBdr>
                        <w:top w:val="none" w:sz="0" w:space="0" w:color="auto"/>
                        <w:left w:val="none" w:sz="0" w:space="0" w:color="auto"/>
                        <w:bottom w:val="none" w:sz="0" w:space="0" w:color="auto"/>
                        <w:right w:val="none" w:sz="0" w:space="0" w:color="auto"/>
                      </w:divBdr>
                    </w:div>
                  </w:divsChild>
                </w:div>
                <w:div w:id="1949654943">
                  <w:marLeft w:val="0"/>
                  <w:marRight w:val="0"/>
                  <w:marTop w:val="0"/>
                  <w:marBottom w:val="0"/>
                  <w:divBdr>
                    <w:top w:val="none" w:sz="0" w:space="0" w:color="auto"/>
                    <w:left w:val="none" w:sz="0" w:space="0" w:color="auto"/>
                    <w:bottom w:val="none" w:sz="0" w:space="0" w:color="auto"/>
                    <w:right w:val="none" w:sz="0" w:space="0" w:color="auto"/>
                  </w:divBdr>
                  <w:divsChild>
                    <w:div w:id="1749571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7760771">
          <w:marLeft w:val="0"/>
          <w:marRight w:val="0"/>
          <w:marTop w:val="0"/>
          <w:marBottom w:val="0"/>
          <w:divBdr>
            <w:top w:val="none" w:sz="0" w:space="0" w:color="auto"/>
            <w:left w:val="none" w:sz="0" w:space="0" w:color="auto"/>
            <w:bottom w:val="none" w:sz="0" w:space="0" w:color="auto"/>
            <w:right w:val="none" w:sz="0" w:space="0" w:color="auto"/>
          </w:divBdr>
        </w:div>
      </w:divsChild>
    </w:div>
    <w:div w:id="724135878">
      <w:bodyDiv w:val="1"/>
      <w:marLeft w:val="0"/>
      <w:marRight w:val="0"/>
      <w:marTop w:val="0"/>
      <w:marBottom w:val="0"/>
      <w:divBdr>
        <w:top w:val="none" w:sz="0" w:space="0" w:color="auto"/>
        <w:left w:val="none" w:sz="0" w:space="0" w:color="auto"/>
        <w:bottom w:val="none" w:sz="0" w:space="0" w:color="auto"/>
        <w:right w:val="none" w:sz="0" w:space="0" w:color="auto"/>
      </w:divBdr>
      <w:divsChild>
        <w:div w:id="265963305">
          <w:marLeft w:val="0"/>
          <w:marRight w:val="0"/>
          <w:marTop w:val="0"/>
          <w:marBottom w:val="0"/>
          <w:divBdr>
            <w:top w:val="none" w:sz="0" w:space="0" w:color="auto"/>
            <w:left w:val="none" w:sz="0" w:space="0" w:color="auto"/>
            <w:bottom w:val="none" w:sz="0" w:space="0" w:color="auto"/>
            <w:right w:val="none" w:sz="0" w:space="0" w:color="auto"/>
          </w:divBdr>
        </w:div>
        <w:div w:id="274291095">
          <w:marLeft w:val="0"/>
          <w:marRight w:val="0"/>
          <w:marTop w:val="0"/>
          <w:marBottom w:val="0"/>
          <w:divBdr>
            <w:top w:val="none" w:sz="0" w:space="0" w:color="auto"/>
            <w:left w:val="none" w:sz="0" w:space="0" w:color="auto"/>
            <w:bottom w:val="none" w:sz="0" w:space="0" w:color="auto"/>
            <w:right w:val="none" w:sz="0" w:space="0" w:color="auto"/>
          </w:divBdr>
        </w:div>
        <w:div w:id="343433702">
          <w:marLeft w:val="0"/>
          <w:marRight w:val="0"/>
          <w:marTop w:val="0"/>
          <w:marBottom w:val="0"/>
          <w:divBdr>
            <w:top w:val="none" w:sz="0" w:space="0" w:color="auto"/>
            <w:left w:val="none" w:sz="0" w:space="0" w:color="auto"/>
            <w:bottom w:val="none" w:sz="0" w:space="0" w:color="auto"/>
            <w:right w:val="none" w:sz="0" w:space="0" w:color="auto"/>
          </w:divBdr>
        </w:div>
        <w:div w:id="1293636045">
          <w:marLeft w:val="0"/>
          <w:marRight w:val="0"/>
          <w:marTop w:val="0"/>
          <w:marBottom w:val="0"/>
          <w:divBdr>
            <w:top w:val="none" w:sz="0" w:space="0" w:color="auto"/>
            <w:left w:val="none" w:sz="0" w:space="0" w:color="auto"/>
            <w:bottom w:val="none" w:sz="0" w:space="0" w:color="auto"/>
            <w:right w:val="none" w:sz="0" w:space="0" w:color="auto"/>
          </w:divBdr>
        </w:div>
        <w:div w:id="1325671754">
          <w:marLeft w:val="0"/>
          <w:marRight w:val="0"/>
          <w:marTop w:val="0"/>
          <w:marBottom w:val="0"/>
          <w:divBdr>
            <w:top w:val="none" w:sz="0" w:space="0" w:color="auto"/>
            <w:left w:val="none" w:sz="0" w:space="0" w:color="auto"/>
            <w:bottom w:val="none" w:sz="0" w:space="0" w:color="auto"/>
            <w:right w:val="none" w:sz="0" w:space="0" w:color="auto"/>
          </w:divBdr>
        </w:div>
      </w:divsChild>
    </w:div>
    <w:div w:id="791173753">
      <w:bodyDiv w:val="1"/>
      <w:marLeft w:val="0"/>
      <w:marRight w:val="0"/>
      <w:marTop w:val="0"/>
      <w:marBottom w:val="0"/>
      <w:divBdr>
        <w:top w:val="none" w:sz="0" w:space="0" w:color="auto"/>
        <w:left w:val="none" w:sz="0" w:space="0" w:color="auto"/>
        <w:bottom w:val="none" w:sz="0" w:space="0" w:color="auto"/>
        <w:right w:val="none" w:sz="0" w:space="0" w:color="auto"/>
      </w:divBdr>
      <w:divsChild>
        <w:div w:id="108165076">
          <w:marLeft w:val="0"/>
          <w:marRight w:val="0"/>
          <w:marTop w:val="0"/>
          <w:marBottom w:val="0"/>
          <w:divBdr>
            <w:top w:val="none" w:sz="0" w:space="0" w:color="auto"/>
            <w:left w:val="none" w:sz="0" w:space="0" w:color="auto"/>
            <w:bottom w:val="none" w:sz="0" w:space="0" w:color="auto"/>
            <w:right w:val="none" w:sz="0" w:space="0" w:color="auto"/>
          </w:divBdr>
        </w:div>
        <w:div w:id="1126124438">
          <w:marLeft w:val="0"/>
          <w:marRight w:val="0"/>
          <w:marTop w:val="0"/>
          <w:marBottom w:val="0"/>
          <w:divBdr>
            <w:top w:val="none" w:sz="0" w:space="0" w:color="auto"/>
            <w:left w:val="none" w:sz="0" w:space="0" w:color="auto"/>
            <w:bottom w:val="none" w:sz="0" w:space="0" w:color="auto"/>
            <w:right w:val="none" w:sz="0" w:space="0" w:color="auto"/>
          </w:divBdr>
        </w:div>
        <w:div w:id="1281500026">
          <w:marLeft w:val="0"/>
          <w:marRight w:val="0"/>
          <w:marTop w:val="0"/>
          <w:marBottom w:val="0"/>
          <w:divBdr>
            <w:top w:val="none" w:sz="0" w:space="0" w:color="auto"/>
            <w:left w:val="none" w:sz="0" w:space="0" w:color="auto"/>
            <w:bottom w:val="none" w:sz="0" w:space="0" w:color="auto"/>
            <w:right w:val="none" w:sz="0" w:space="0" w:color="auto"/>
          </w:divBdr>
        </w:div>
      </w:divsChild>
    </w:div>
    <w:div w:id="793863572">
      <w:bodyDiv w:val="1"/>
      <w:marLeft w:val="0"/>
      <w:marRight w:val="0"/>
      <w:marTop w:val="0"/>
      <w:marBottom w:val="0"/>
      <w:divBdr>
        <w:top w:val="none" w:sz="0" w:space="0" w:color="auto"/>
        <w:left w:val="none" w:sz="0" w:space="0" w:color="auto"/>
        <w:bottom w:val="none" w:sz="0" w:space="0" w:color="auto"/>
        <w:right w:val="none" w:sz="0" w:space="0" w:color="auto"/>
      </w:divBdr>
    </w:div>
    <w:div w:id="961964282">
      <w:bodyDiv w:val="1"/>
      <w:marLeft w:val="0"/>
      <w:marRight w:val="0"/>
      <w:marTop w:val="0"/>
      <w:marBottom w:val="0"/>
      <w:divBdr>
        <w:top w:val="none" w:sz="0" w:space="0" w:color="auto"/>
        <w:left w:val="none" w:sz="0" w:space="0" w:color="auto"/>
        <w:bottom w:val="none" w:sz="0" w:space="0" w:color="auto"/>
        <w:right w:val="none" w:sz="0" w:space="0" w:color="auto"/>
      </w:divBdr>
    </w:div>
    <w:div w:id="980041480">
      <w:bodyDiv w:val="1"/>
      <w:marLeft w:val="0"/>
      <w:marRight w:val="0"/>
      <w:marTop w:val="0"/>
      <w:marBottom w:val="0"/>
      <w:divBdr>
        <w:top w:val="none" w:sz="0" w:space="0" w:color="auto"/>
        <w:left w:val="none" w:sz="0" w:space="0" w:color="auto"/>
        <w:bottom w:val="none" w:sz="0" w:space="0" w:color="auto"/>
        <w:right w:val="none" w:sz="0" w:space="0" w:color="auto"/>
      </w:divBdr>
      <w:divsChild>
        <w:div w:id="384565777">
          <w:marLeft w:val="0"/>
          <w:marRight w:val="0"/>
          <w:marTop w:val="0"/>
          <w:marBottom w:val="0"/>
          <w:divBdr>
            <w:top w:val="none" w:sz="0" w:space="0" w:color="auto"/>
            <w:left w:val="none" w:sz="0" w:space="0" w:color="auto"/>
            <w:bottom w:val="none" w:sz="0" w:space="0" w:color="auto"/>
            <w:right w:val="none" w:sz="0" w:space="0" w:color="auto"/>
          </w:divBdr>
        </w:div>
        <w:div w:id="638805252">
          <w:marLeft w:val="0"/>
          <w:marRight w:val="0"/>
          <w:marTop w:val="0"/>
          <w:marBottom w:val="0"/>
          <w:divBdr>
            <w:top w:val="none" w:sz="0" w:space="0" w:color="auto"/>
            <w:left w:val="none" w:sz="0" w:space="0" w:color="auto"/>
            <w:bottom w:val="none" w:sz="0" w:space="0" w:color="auto"/>
            <w:right w:val="none" w:sz="0" w:space="0" w:color="auto"/>
          </w:divBdr>
        </w:div>
        <w:div w:id="1283344544">
          <w:marLeft w:val="0"/>
          <w:marRight w:val="0"/>
          <w:marTop w:val="0"/>
          <w:marBottom w:val="0"/>
          <w:divBdr>
            <w:top w:val="none" w:sz="0" w:space="0" w:color="auto"/>
            <w:left w:val="none" w:sz="0" w:space="0" w:color="auto"/>
            <w:bottom w:val="none" w:sz="0" w:space="0" w:color="auto"/>
            <w:right w:val="none" w:sz="0" w:space="0" w:color="auto"/>
          </w:divBdr>
        </w:div>
        <w:div w:id="1377312666">
          <w:marLeft w:val="0"/>
          <w:marRight w:val="0"/>
          <w:marTop w:val="0"/>
          <w:marBottom w:val="0"/>
          <w:divBdr>
            <w:top w:val="none" w:sz="0" w:space="0" w:color="auto"/>
            <w:left w:val="none" w:sz="0" w:space="0" w:color="auto"/>
            <w:bottom w:val="none" w:sz="0" w:space="0" w:color="auto"/>
            <w:right w:val="none" w:sz="0" w:space="0" w:color="auto"/>
          </w:divBdr>
        </w:div>
        <w:div w:id="1436825509">
          <w:marLeft w:val="0"/>
          <w:marRight w:val="0"/>
          <w:marTop w:val="0"/>
          <w:marBottom w:val="0"/>
          <w:divBdr>
            <w:top w:val="none" w:sz="0" w:space="0" w:color="auto"/>
            <w:left w:val="none" w:sz="0" w:space="0" w:color="auto"/>
            <w:bottom w:val="none" w:sz="0" w:space="0" w:color="auto"/>
            <w:right w:val="none" w:sz="0" w:space="0" w:color="auto"/>
          </w:divBdr>
        </w:div>
        <w:div w:id="1598902918">
          <w:marLeft w:val="0"/>
          <w:marRight w:val="0"/>
          <w:marTop w:val="0"/>
          <w:marBottom w:val="0"/>
          <w:divBdr>
            <w:top w:val="none" w:sz="0" w:space="0" w:color="auto"/>
            <w:left w:val="none" w:sz="0" w:space="0" w:color="auto"/>
            <w:bottom w:val="none" w:sz="0" w:space="0" w:color="auto"/>
            <w:right w:val="none" w:sz="0" w:space="0" w:color="auto"/>
          </w:divBdr>
        </w:div>
        <w:div w:id="2014140906">
          <w:marLeft w:val="0"/>
          <w:marRight w:val="0"/>
          <w:marTop w:val="0"/>
          <w:marBottom w:val="0"/>
          <w:divBdr>
            <w:top w:val="none" w:sz="0" w:space="0" w:color="auto"/>
            <w:left w:val="none" w:sz="0" w:space="0" w:color="auto"/>
            <w:bottom w:val="none" w:sz="0" w:space="0" w:color="auto"/>
            <w:right w:val="none" w:sz="0" w:space="0" w:color="auto"/>
          </w:divBdr>
        </w:div>
      </w:divsChild>
    </w:div>
    <w:div w:id="1189954810">
      <w:bodyDiv w:val="1"/>
      <w:marLeft w:val="0"/>
      <w:marRight w:val="0"/>
      <w:marTop w:val="0"/>
      <w:marBottom w:val="0"/>
      <w:divBdr>
        <w:top w:val="none" w:sz="0" w:space="0" w:color="auto"/>
        <w:left w:val="none" w:sz="0" w:space="0" w:color="auto"/>
        <w:bottom w:val="none" w:sz="0" w:space="0" w:color="auto"/>
        <w:right w:val="none" w:sz="0" w:space="0" w:color="auto"/>
      </w:divBdr>
      <w:divsChild>
        <w:div w:id="102917844">
          <w:marLeft w:val="0"/>
          <w:marRight w:val="0"/>
          <w:marTop w:val="0"/>
          <w:marBottom w:val="0"/>
          <w:divBdr>
            <w:top w:val="none" w:sz="0" w:space="0" w:color="auto"/>
            <w:left w:val="none" w:sz="0" w:space="0" w:color="auto"/>
            <w:bottom w:val="none" w:sz="0" w:space="0" w:color="auto"/>
            <w:right w:val="none" w:sz="0" w:space="0" w:color="auto"/>
          </w:divBdr>
        </w:div>
        <w:div w:id="114256322">
          <w:marLeft w:val="0"/>
          <w:marRight w:val="0"/>
          <w:marTop w:val="0"/>
          <w:marBottom w:val="0"/>
          <w:divBdr>
            <w:top w:val="none" w:sz="0" w:space="0" w:color="auto"/>
            <w:left w:val="none" w:sz="0" w:space="0" w:color="auto"/>
            <w:bottom w:val="none" w:sz="0" w:space="0" w:color="auto"/>
            <w:right w:val="none" w:sz="0" w:space="0" w:color="auto"/>
          </w:divBdr>
        </w:div>
        <w:div w:id="142236350">
          <w:marLeft w:val="0"/>
          <w:marRight w:val="0"/>
          <w:marTop w:val="0"/>
          <w:marBottom w:val="0"/>
          <w:divBdr>
            <w:top w:val="none" w:sz="0" w:space="0" w:color="auto"/>
            <w:left w:val="none" w:sz="0" w:space="0" w:color="auto"/>
            <w:bottom w:val="none" w:sz="0" w:space="0" w:color="auto"/>
            <w:right w:val="none" w:sz="0" w:space="0" w:color="auto"/>
          </w:divBdr>
        </w:div>
        <w:div w:id="151265599">
          <w:marLeft w:val="0"/>
          <w:marRight w:val="0"/>
          <w:marTop w:val="0"/>
          <w:marBottom w:val="0"/>
          <w:divBdr>
            <w:top w:val="none" w:sz="0" w:space="0" w:color="auto"/>
            <w:left w:val="none" w:sz="0" w:space="0" w:color="auto"/>
            <w:bottom w:val="none" w:sz="0" w:space="0" w:color="auto"/>
            <w:right w:val="none" w:sz="0" w:space="0" w:color="auto"/>
          </w:divBdr>
        </w:div>
        <w:div w:id="249588486">
          <w:marLeft w:val="0"/>
          <w:marRight w:val="0"/>
          <w:marTop w:val="0"/>
          <w:marBottom w:val="0"/>
          <w:divBdr>
            <w:top w:val="none" w:sz="0" w:space="0" w:color="auto"/>
            <w:left w:val="none" w:sz="0" w:space="0" w:color="auto"/>
            <w:bottom w:val="none" w:sz="0" w:space="0" w:color="auto"/>
            <w:right w:val="none" w:sz="0" w:space="0" w:color="auto"/>
          </w:divBdr>
        </w:div>
        <w:div w:id="277760167">
          <w:marLeft w:val="0"/>
          <w:marRight w:val="0"/>
          <w:marTop w:val="0"/>
          <w:marBottom w:val="0"/>
          <w:divBdr>
            <w:top w:val="none" w:sz="0" w:space="0" w:color="auto"/>
            <w:left w:val="none" w:sz="0" w:space="0" w:color="auto"/>
            <w:bottom w:val="none" w:sz="0" w:space="0" w:color="auto"/>
            <w:right w:val="none" w:sz="0" w:space="0" w:color="auto"/>
          </w:divBdr>
        </w:div>
        <w:div w:id="292634986">
          <w:marLeft w:val="0"/>
          <w:marRight w:val="0"/>
          <w:marTop w:val="0"/>
          <w:marBottom w:val="0"/>
          <w:divBdr>
            <w:top w:val="none" w:sz="0" w:space="0" w:color="auto"/>
            <w:left w:val="none" w:sz="0" w:space="0" w:color="auto"/>
            <w:bottom w:val="none" w:sz="0" w:space="0" w:color="auto"/>
            <w:right w:val="none" w:sz="0" w:space="0" w:color="auto"/>
          </w:divBdr>
          <w:divsChild>
            <w:div w:id="149100626">
              <w:marLeft w:val="-75"/>
              <w:marRight w:val="0"/>
              <w:marTop w:val="30"/>
              <w:marBottom w:val="30"/>
              <w:divBdr>
                <w:top w:val="none" w:sz="0" w:space="0" w:color="auto"/>
                <w:left w:val="none" w:sz="0" w:space="0" w:color="auto"/>
                <w:bottom w:val="none" w:sz="0" w:space="0" w:color="auto"/>
                <w:right w:val="none" w:sz="0" w:space="0" w:color="auto"/>
              </w:divBdr>
              <w:divsChild>
                <w:div w:id="209197124">
                  <w:marLeft w:val="0"/>
                  <w:marRight w:val="0"/>
                  <w:marTop w:val="0"/>
                  <w:marBottom w:val="0"/>
                  <w:divBdr>
                    <w:top w:val="none" w:sz="0" w:space="0" w:color="auto"/>
                    <w:left w:val="none" w:sz="0" w:space="0" w:color="auto"/>
                    <w:bottom w:val="none" w:sz="0" w:space="0" w:color="auto"/>
                    <w:right w:val="none" w:sz="0" w:space="0" w:color="auto"/>
                  </w:divBdr>
                  <w:divsChild>
                    <w:div w:id="1290470911">
                      <w:marLeft w:val="0"/>
                      <w:marRight w:val="0"/>
                      <w:marTop w:val="0"/>
                      <w:marBottom w:val="0"/>
                      <w:divBdr>
                        <w:top w:val="none" w:sz="0" w:space="0" w:color="auto"/>
                        <w:left w:val="none" w:sz="0" w:space="0" w:color="auto"/>
                        <w:bottom w:val="none" w:sz="0" w:space="0" w:color="auto"/>
                        <w:right w:val="none" w:sz="0" w:space="0" w:color="auto"/>
                      </w:divBdr>
                    </w:div>
                  </w:divsChild>
                </w:div>
                <w:div w:id="253710126">
                  <w:marLeft w:val="0"/>
                  <w:marRight w:val="0"/>
                  <w:marTop w:val="0"/>
                  <w:marBottom w:val="0"/>
                  <w:divBdr>
                    <w:top w:val="none" w:sz="0" w:space="0" w:color="auto"/>
                    <w:left w:val="none" w:sz="0" w:space="0" w:color="auto"/>
                    <w:bottom w:val="none" w:sz="0" w:space="0" w:color="auto"/>
                    <w:right w:val="none" w:sz="0" w:space="0" w:color="auto"/>
                  </w:divBdr>
                  <w:divsChild>
                    <w:div w:id="974993429">
                      <w:marLeft w:val="0"/>
                      <w:marRight w:val="0"/>
                      <w:marTop w:val="0"/>
                      <w:marBottom w:val="0"/>
                      <w:divBdr>
                        <w:top w:val="none" w:sz="0" w:space="0" w:color="auto"/>
                        <w:left w:val="none" w:sz="0" w:space="0" w:color="auto"/>
                        <w:bottom w:val="none" w:sz="0" w:space="0" w:color="auto"/>
                        <w:right w:val="none" w:sz="0" w:space="0" w:color="auto"/>
                      </w:divBdr>
                    </w:div>
                  </w:divsChild>
                </w:div>
                <w:div w:id="295110405">
                  <w:marLeft w:val="0"/>
                  <w:marRight w:val="0"/>
                  <w:marTop w:val="0"/>
                  <w:marBottom w:val="0"/>
                  <w:divBdr>
                    <w:top w:val="none" w:sz="0" w:space="0" w:color="auto"/>
                    <w:left w:val="none" w:sz="0" w:space="0" w:color="auto"/>
                    <w:bottom w:val="none" w:sz="0" w:space="0" w:color="auto"/>
                    <w:right w:val="none" w:sz="0" w:space="0" w:color="auto"/>
                  </w:divBdr>
                  <w:divsChild>
                    <w:div w:id="2053769223">
                      <w:marLeft w:val="0"/>
                      <w:marRight w:val="0"/>
                      <w:marTop w:val="0"/>
                      <w:marBottom w:val="0"/>
                      <w:divBdr>
                        <w:top w:val="none" w:sz="0" w:space="0" w:color="auto"/>
                        <w:left w:val="none" w:sz="0" w:space="0" w:color="auto"/>
                        <w:bottom w:val="none" w:sz="0" w:space="0" w:color="auto"/>
                        <w:right w:val="none" w:sz="0" w:space="0" w:color="auto"/>
                      </w:divBdr>
                    </w:div>
                  </w:divsChild>
                </w:div>
                <w:div w:id="312948650">
                  <w:marLeft w:val="0"/>
                  <w:marRight w:val="0"/>
                  <w:marTop w:val="0"/>
                  <w:marBottom w:val="0"/>
                  <w:divBdr>
                    <w:top w:val="none" w:sz="0" w:space="0" w:color="auto"/>
                    <w:left w:val="none" w:sz="0" w:space="0" w:color="auto"/>
                    <w:bottom w:val="none" w:sz="0" w:space="0" w:color="auto"/>
                    <w:right w:val="none" w:sz="0" w:space="0" w:color="auto"/>
                  </w:divBdr>
                  <w:divsChild>
                    <w:div w:id="132018378">
                      <w:marLeft w:val="0"/>
                      <w:marRight w:val="0"/>
                      <w:marTop w:val="0"/>
                      <w:marBottom w:val="0"/>
                      <w:divBdr>
                        <w:top w:val="none" w:sz="0" w:space="0" w:color="auto"/>
                        <w:left w:val="none" w:sz="0" w:space="0" w:color="auto"/>
                        <w:bottom w:val="none" w:sz="0" w:space="0" w:color="auto"/>
                        <w:right w:val="none" w:sz="0" w:space="0" w:color="auto"/>
                      </w:divBdr>
                    </w:div>
                  </w:divsChild>
                </w:div>
                <w:div w:id="352927850">
                  <w:marLeft w:val="0"/>
                  <w:marRight w:val="0"/>
                  <w:marTop w:val="0"/>
                  <w:marBottom w:val="0"/>
                  <w:divBdr>
                    <w:top w:val="none" w:sz="0" w:space="0" w:color="auto"/>
                    <w:left w:val="none" w:sz="0" w:space="0" w:color="auto"/>
                    <w:bottom w:val="none" w:sz="0" w:space="0" w:color="auto"/>
                    <w:right w:val="none" w:sz="0" w:space="0" w:color="auto"/>
                  </w:divBdr>
                  <w:divsChild>
                    <w:div w:id="935213561">
                      <w:marLeft w:val="0"/>
                      <w:marRight w:val="0"/>
                      <w:marTop w:val="0"/>
                      <w:marBottom w:val="0"/>
                      <w:divBdr>
                        <w:top w:val="none" w:sz="0" w:space="0" w:color="auto"/>
                        <w:left w:val="none" w:sz="0" w:space="0" w:color="auto"/>
                        <w:bottom w:val="none" w:sz="0" w:space="0" w:color="auto"/>
                        <w:right w:val="none" w:sz="0" w:space="0" w:color="auto"/>
                      </w:divBdr>
                    </w:div>
                  </w:divsChild>
                </w:div>
                <w:div w:id="415370165">
                  <w:marLeft w:val="0"/>
                  <w:marRight w:val="0"/>
                  <w:marTop w:val="0"/>
                  <w:marBottom w:val="0"/>
                  <w:divBdr>
                    <w:top w:val="none" w:sz="0" w:space="0" w:color="auto"/>
                    <w:left w:val="none" w:sz="0" w:space="0" w:color="auto"/>
                    <w:bottom w:val="none" w:sz="0" w:space="0" w:color="auto"/>
                    <w:right w:val="none" w:sz="0" w:space="0" w:color="auto"/>
                  </w:divBdr>
                  <w:divsChild>
                    <w:div w:id="606885411">
                      <w:marLeft w:val="0"/>
                      <w:marRight w:val="0"/>
                      <w:marTop w:val="0"/>
                      <w:marBottom w:val="0"/>
                      <w:divBdr>
                        <w:top w:val="none" w:sz="0" w:space="0" w:color="auto"/>
                        <w:left w:val="none" w:sz="0" w:space="0" w:color="auto"/>
                        <w:bottom w:val="none" w:sz="0" w:space="0" w:color="auto"/>
                        <w:right w:val="none" w:sz="0" w:space="0" w:color="auto"/>
                      </w:divBdr>
                    </w:div>
                  </w:divsChild>
                </w:div>
                <w:div w:id="593980335">
                  <w:marLeft w:val="0"/>
                  <w:marRight w:val="0"/>
                  <w:marTop w:val="0"/>
                  <w:marBottom w:val="0"/>
                  <w:divBdr>
                    <w:top w:val="none" w:sz="0" w:space="0" w:color="auto"/>
                    <w:left w:val="none" w:sz="0" w:space="0" w:color="auto"/>
                    <w:bottom w:val="none" w:sz="0" w:space="0" w:color="auto"/>
                    <w:right w:val="none" w:sz="0" w:space="0" w:color="auto"/>
                  </w:divBdr>
                  <w:divsChild>
                    <w:div w:id="909929647">
                      <w:marLeft w:val="0"/>
                      <w:marRight w:val="0"/>
                      <w:marTop w:val="0"/>
                      <w:marBottom w:val="0"/>
                      <w:divBdr>
                        <w:top w:val="none" w:sz="0" w:space="0" w:color="auto"/>
                        <w:left w:val="none" w:sz="0" w:space="0" w:color="auto"/>
                        <w:bottom w:val="none" w:sz="0" w:space="0" w:color="auto"/>
                        <w:right w:val="none" w:sz="0" w:space="0" w:color="auto"/>
                      </w:divBdr>
                    </w:div>
                  </w:divsChild>
                </w:div>
                <w:div w:id="599261969">
                  <w:marLeft w:val="0"/>
                  <w:marRight w:val="0"/>
                  <w:marTop w:val="0"/>
                  <w:marBottom w:val="0"/>
                  <w:divBdr>
                    <w:top w:val="none" w:sz="0" w:space="0" w:color="auto"/>
                    <w:left w:val="none" w:sz="0" w:space="0" w:color="auto"/>
                    <w:bottom w:val="none" w:sz="0" w:space="0" w:color="auto"/>
                    <w:right w:val="none" w:sz="0" w:space="0" w:color="auto"/>
                  </w:divBdr>
                  <w:divsChild>
                    <w:div w:id="803933663">
                      <w:marLeft w:val="0"/>
                      <w:marRight w:val="0"/>
                      <w:marTop w:val="0"/>
                      <w:marBottom w:val="0"/>
                      <w:divBdr>
                        <w:top w:val="none" w:sz="0" w:space="0" w:color="auto"/>
                        <w:left w:val="none" w:sz="0" w:space="0" w:color="auto"/>
                        <w:bottom w:val="none" w:sz="0" w:space="0" w:color="auto"/>
                        <w:right w:val="none" w:sz="0" w:space="0" w:color="auto"/>
                      </w:divBdr>
                    </w:div>
                  </w:divsChild>
                </w:div>
                <w:div w:id="627277242">
                  <w:marLeft w:val="0"/>
                  <w:marRight w:val="0"/>
                  <w:marTop w:val="0"/>
                  <w:marBottom w:val="0"/>
                  <w:divBdr>
                    <w:top w:val="none" w:sz="0" w:space="0" w:color="auto"/>
                    <w:left w:val="none" w:sz="0" w:space="0" w:color="auto"/>
                    <w:bottom w:val="none" w:sz="0" w:space="0" w:color="auto"/>
                    <w:right w:val="none" w:sz="0" w:space="0" w:color="auto"/>
                  </w:divBdr>
                  <w:divsChild>
                    <w:div w:id="982737451">
                      <w:marLeft w:val="0"/>
                      <w:marRight w:val="0"/>
                      <w:marTop w:val="0"/>
                      <w:marBottom w:val="0"/>
                      <w:divBdr>
                        <w:top w:val="none" w:sz="0" w:space="0" w:color="auto"/>
                        <w:left w:val="none" w:sz="0" w:space="0" w:color="auto"/>
                        <w:bottom w:val="none" w:sz="0" w:space="0" w:color="auto"/>
                        <w:right w:val="none" w:sz="0" w:space="0" w:color="auto"/>
                      </w:divBdr>
                    </w:div>
                  </w:divsChild>
                </w:div>
                <w:div w:id="627399888">
                  <w:marLeft w:val="0"/>
                  <w:marRight w:val="0"/>
                  <w:marTop w:val="0"/>
                  <w:marBottom w:val="0"/>
                  <w:divBdr>
                    <w:top w:val="none" w:sz="0" w:space="0" w:color="auto"/>
                    <w:left w:val="none" w:sz="0" w:space="0" w:color="auto"/>
                    <w:bottom w:val="none" w:sz="0" w:space="0" w:color="auto"/>
                    <w:right w:val="none" w:sz="0" w:space="0" w:color="auto"/>
                  </w:divBdr>
                  <w:divsChild>
                    <w:div w:id="53436160">
                      <w:marLeft w:val="0"/>
                      <w:marRight w:val="0"/>
                      <w:marTop w:val="0"/>
                      <w:marBottom w:val="0"/>
                      <w:divBdr>
                        <w:top w:val="none" w:sz="0" w:space="0" w:color="auto"/>
                        <w:left w:val="none" w:sz="0" w:space="0" w:color="auto"/>
                        <w:bottom w:val="none" w:sz="0" w:space="0" w:color="auto"/>
                        <w:right w:val="none" w:sz="0" w:space="0" w:color="auto"/>
                      </w:divBdr>
                    </w:div>
                  </w:divsChild>
                </w:div>
                <w:div w:id="642655586">
                  <w:marLeft w:val="0"/>
                  <w:marRight w:val="0"/>
                  <w:marTop w:val="0"/>
                  <w:marBottom w:val="0"/>
                  <w:divBdr>
                    <w:top w:val="none" w:sz="0" w:space="0" w:color="auto"/>
                    <w:left w:val="none" w:sz="0" w:space="0" w:color="auto"/>
                    <w:bottom w:val="none" w:sz="0" w:space="0" w:color="auto"/>
                    <w:right w:val="none" w:sz="0" w:space="0" w:color="auto"/>
                  </w:divBdr>
                  <w:divsChild>
                    <w:div w:id="26033477">
                      <w:marLeft w:val="0"/>
                      <w:marRight w:val="0"/>
                      <w:marTop w:val="0"/>
                      <w:marBottom w:val="0"/>
                      <w:divBdr>
                        <w:top w:val="none" w:sz="0" w:space="0" w:color="auto"/>
                        <w:left w:val="none" w:sz="0" w:space="0" w:color="auto"/>
                        <w:bottom w:val="none" w:sz="0" w:space="0" w:color="auto"/>
                        <w:right w:val="none" w:sz="0" w:space="0" w:color="auto"/>
                      </w:divBdr>
                    </w:div>
                  </w:divsChild>
                </w:div>
                <w:div w:id="647368296">
                  <w:marLeft w:val="0"/>
                  <w:marRight w:val="0"/>
                  <w:marTop w:val="0"/>
                  <w:marBottom w:val="0"/>
                  <w:divBdr>
                    <w:top w:val="none" w:sz="0" w:space="0" w:color="auto"/>
                    <w:left w:val="none" w:sz="0" w:space="0" w:color="auto"/>
                    <w:bottom w:val="none" w:sz="0" w:space="0" w:color="auto"/>
                    <w:right w:val="none" w:sz="0" w:space="0" w:color="auto"/>
                  </w:divBdr>
                  <w:divsChild>
                    <w:div w:id="1368410275">
                      <w:marLeft w:val="0"/>
                      <w:marRight w:val="0"/>
                      <w:marTop w:val="0"/>
                      <w:marBottom w:val="0"/>
                      <w:divBdr>
                        <w:top w:val="none" w:sz="0" w:space="0" w:color="auto"/>
                        <w:left w:val="none" w:sz="0" w:space="0" w:color="auto"/>
                        <w:bottom w:val="none" w:sz="0" w:space="0" w:color="auto"/>
                        <w:right w:val="none" w:sz="0" w:space="0" w:color="auto"/>
                      </w:divBdr>
                    </w:div>
                  </w:divsChild>
                </w:div>
                <w:div w:id="756483409">
                  <w:marLeft w:val="0"/>
                  <w:marRight w:val="0"/>
                  <w:marTop w:val="0"/>
                  <w:marBottom w:val="0"/>
                  <w:divBdr>
                    <w:top w:val="none" w:sz="0" w:space="0" w:color="auto"/>
                    <w:left w:val="none" w:sz="0" w:space="0" w:color="auto"/>
                    <w:bottom w:val="none" w:sz="0" w:space="0" w:color="auto"/>
                    <w:right w:val="none" w:sz="0" w:space="0" w:color="auto"/>
                  </w:divBdr>
                  <w:divsChild>
                    <w:div w:id="332952699">
                      <w:marLeft w:val="0"/>
                      <w:marRight w:val="0"/>
                      <w:marTop w:val="0"/>
                      <w:marBottom w:val="0"/>
                      <w:divBdr>
                        <w:top w:val="none" w:sz="0" w:space="0" w:color="auto"/>
                        <w:left w:val="none" w:sz="0" w:space="0" w:color="auto"/>
                        <w:bottom w:val="none" w:sz="0" w:space="0" w:color="auto"/>
                        <w:right w:val="none" w:sz="0" w:space="0" w:color="auto"/>
                      </w:divBdr>
                    </w:div>
                  </w:divsChild>
                </w:div>
                <w:div w:id="991175369">
                  <w:marLeft w:val="0"/>
                  <w:marRight w:val="0"/>
                  <w:marTop w:val="0"/>
                  <w:marBottom w:val="0"/>
                  <w:divBdr>
                    <w:top w:val="none" w:sz="0" w:space="0" w:color="auto"/>
                    <w:left w:val="none" w:sz="0" w:space="0" w:color="auto"/>
                    <w:bottom w:val="none" w:sz="0" w:space="0" w:color="auto"/>
                    <w:right w:val="none" w:sz="0" w:space="0" w:color="auto"/>
                  </w:divBdr>
                  <w:divsChild>
                    <w:div w:id="763960126">
                      <w:marLeft w:val="0"/>
                      <w:marRight w:val="0"/>
                      <w:marTop w:val="0"/>
                      <w:marBottom w:val="0"/>
                      <w:divBdr>
                        <w:top w:val="none" w:sz="0" w:space="0" w:color="auto"/>
                        <w:left w:val="none" w:sz="0" w:space="0" w:color="auto"/>
                        <w:bottom w:val="none" w:sz="0" w:space="0" w:color="auto"/>
                        <w:right w:val="none" w:sz="0" w:space="0" w:color="auto"/>
                      </w:divBdr>
                    </w:div>
                  </w:divsChild>
                </w:div>
                <w:div w:id="1134057552">
                  <w:marLeft w:val="0"/>
                  <w:marRight w:val="0"/>
                  <w:marTop w:val="0"/>
                  <w:marBottom w:val="0"/>
                  <w:divBdr>
                    <w:top w:val="none" w:sz="0" w:space="0" w:color="auto"/>
                    <w:left w:val="none" w:sz="0" w:space="0" w:color="auto"/>
                    <w:bottom w:val="none" w:sz="0" w:space="0" w:color="auto"/>
                    <w:right w:val="none" w:sz="0" w:space="0" w:color="auto"/>
                  </w:divBdr>
                  <w:divsChild>
                    <w:div w:id="1647004862">
                      <w:marLeft w:val="0"/>
                      <w:marRight w:val="0"/>
                      <w:marTop w:val="0"/>
                      <w:marBottom w:val="0"/>
                      <w:divBdr>
                        <w:top w:val="none" w:sz="0" w:space="0" w:color="auto"/>
                        <w:left w:val="none" w:sz="0" w:space="0" w:color="auto"/>
                        <w:bottom w:val="none" w:sz="0" w:space="0" w:color="auto"/>
                        <w:right w:val="none" w:sz="0" w:space="0" w:color="auto"/>
                      </w:divBdr>
                    </w:div>
                  </w:divsChild>
                </w:div>
                <w:div w:id="1371690305">
                  <w:marLeft w:val="0"/>
                  <w:marRight w:val="0"/>
                  <w:marTop w:val="0"/>
                  <w:marBottom w:val="0"/>
                  <w:divBdr>
                    <w:top w:val="none" w:sz="0" w:space="0" w:color="auto"/>
                    <w:left w:val="none" w:sz="0" w:space="0" w:color="auto"/>
                    <w:bottom w:val="none" w:sz="0" w:space="0" w:color="auto"/>
                    <w:right w:val="none" w:sz="0" w:space="0" w:color="auto"/>
                  </w:divBdr>
                  <w:divsChild>
                    <w:div w:id="835026174">
                      <w:marLeft w:val="0"/>
                      <w:marRight w:val="0"/>
                      <w:marTop w:val="0"/>
                      <w:marBottom w:val="0"/>
                      <w:divBdr>
                        <w:top w:val="none" w:sz="0" w:space="0" w:color="auto"/>
                        <w:left w:val="none" w:sz="0" w:space="0" w:color="auto"/>
                        <w:bottom w:val="none" w:sz="0" w:space="0" w:color="auto"/>
                        <w:right w:val="none" w:sz="0" w:space="0" w:color="auto"/>
                      </w:divBdr>
                    </w:div>
                  </w:divsChild>
                </w:div>
                <w:div w:id="1408844139">
                  <w:marLeft w:val="0"/>
                  <w:marRight w:val="0"/>
                  <w:marTop w:val="0"/>
                  <w:marBottom w:val="0"/>
                  <w:divBdr>
                    <w:top w:val="none" w:sz="0" w:space="0" w:color="auto"/>
                    <w:left w:val="none" w:sz="0" w:space="0" w:color="auto"/>
                    <w:bottom w:val="none" w:sz="0" w:space="0" w:color="auto"/>
                    <w:right w:val="none" w:sz="0" w:space="0" w:color="auto"/>
                  </w:divBdr>
                  <w:divsChild>
                    <w:div w:id="2133742627">
                      <w:marLeft w:val="0"/>
                      <w:marRight w:val="0"/>
                      <w:marTop w:val="0"/>
                      <w:marBottom w:val="0"/>
                      <w:divBdr>
                        <w:top w:val="none" w:sz="0" w:space="0" w:color="auto"/>
                        <w:left w:val="none" w:sz="0" w:space="0" w:color="auto"/>
                        <w:bottom w:val="none" w:sz="0" w:space="0" w:color="auto"/>
                        <w:right w:val="none" w:sz="0" w:space="0" w:color="auto"/>
                      </w:divBdr>
                    </w:div>
                  </w:divsChild>
                </w:div>
                <w:div w:id="1434403423">
                  <w:marLeft w:val="0"/>
                  <w:marRight w:val="0"/>
                  <w:marTop w:val="0"/>
                  <w:marBottom w:val="0"/>
                  <w:divBdr>
                    <w:top w:val="none" w:sz="0" w:space="0" w:color="auto"/>
                    <w:left w:val="none" w:sz="0" w:space="0" w:color="auto"/>
                    <w:bottom w:val="none" w:sz="0" w:space="0" w:color="auto"/>
                    <w:right w:val="none" w:sz="0" w:space="0" w:color="auto"/>
                  </w:divBdr>
                  <w:divsChild>
                    <w:div w:id="1724715365">
                      <w:marLeft w:val="0"/>
                      <w:marRight w:val="0"/>
                      <w:marTop w:val="0"/>
                      <w:marBottom w:val="0"/>
                      <w:divBdr>
                        <w:top w:val="none" w:sz="0" w:space="0" w:color="auto"/>
                        <w:left w:val="none" w:sz="0" w:space="0" w:color="auto"/>
                        <w:bottom w:val="none" w:sz="0" w:space="0" w:color="auto"/>
                        <w:right w:val="none" w:sz="0" w:space="0" w:color="auto"/>
                      </w:divBdr>
                    </w:div>
                  </w:divsChild>
                </w:div>
                <w:div w:id="1483429923">
                  <w:marLeft w:val="0"/>
                  <w:marRight w:val="0"/>
                  <w:marTop w:val="0"/>
                  <w:marBottom w:val="0"/>
                  <w:divBdr>
                    <w:top w:val="none" w:sz="0" w:space="0" w:color="auto"/>
                    <w:left w:val="none" w:sz="0" w:space="0" w:color="auto"/>
                    <w:bottom w:val="none" w:sz="0" w:space="0" w:color="auto"/>
                    <w:right w:val="none" w:sz="0" w:space="0" w:color="auto"/>
                  </w:divBdr>
                  <w:divsChild>
                    <w:div w:id="378238399">
                      <w:marLeft w:val="0"/>
                      <w:marRight w:val="0"/>
                      <w:marTop w:val="0"/>
                      <w:marBottom w:val="0"/>
                      <w:divBdr>
                        <w:top w:val="none" w:sz="0" w:space="0" w:color="auto"/>
                        <w:left w:val="none" w:sz="0" w:space="0" w:color="auto"/>
                        <w:bottom w:val="none" w:sz="0" w:space="0" w:color="auto"/>
                        <w:right w:val="none" w:sz="0" w:space="0" w:color="auto"/>
                      </w:divBdr>
                    </w:div>
                  </w:divsChild>
                </w:div>
                <w:div w:id="1622615950">
                  <w:marLeft w:val="0"/>
                  <w:marRight w:val="0"/>
                  <w:marTop w:val="0"/>
                  <w:marBottom w:val="0"/>
                  <w:divBdr>
                    <w:top w:val="none" w:sz="0" w:space="0" w:color="auto"/>
                    <w:left w:val="none" w:sz="0" w:space="0" w:color="auto"/>
                    <w:bottom w:val="none" w:sz="0" w:space="0" w:color="auto"/>
                    <w:right w:val="none" w:sz="0" w:space="0" w:color="auto"/>
                  </w:divBdr>
                  <w:divsChild>
                    <w:div w:id="1729455080">
                      <w:marLeft w:val="0"/>
                      <w:marRight w:val="0"/>
                      <w:marTop w:val="0"/>
                      <w:marBottom w:val="0"/>
                      <w:divBdr>
                        <w:top w:val="none" w:sz="0" w:space="0" w:color="auto"/>
                        <w:left w:val="none" w:sz="0" w:space="0" w:color="auto"/>
                        <w:bottom w:val="none" w:sz="0" w:space="0" w:color="auto"/>
                        <w:right w:val="none" w:sz="0" w:space="0" w:color="auto"/>
                      </w:divBdr>
                    </w:div>
                  </w:divsChild>
                </w:div>
                <w:div w:id="1643192885">
                  <w:marLeft w:val="0"/>
                  <w:marRight w:val="0"/>
                  <w:marTop w:val="0"/>
                  <w:marBottom w:val="0"/>
                  <w:divBdr>
                    <w:top w:val="none" w:sz="0" w:space="0" w:color="auto"/>
                    <w:left w:val="none" w:sz="0" w:space="0" w:color="auto"/>
                    <w:bottom w:val="none" w:sz="0" w:space="0" w:color="auto"/>
                    <w:right w:val="none" w:sz="0" w:space="0" w:color="auto"/>
                  </w:divBdr>
                  <w:divsChild>
                    <w:div w:id="1026298767">
                      <w:marLeft w:val="0"/>
                      <w:marRight w:val="0"/>
                      <w:marTop w:val="0"/>
                      <w:marBottom w:val="0"/>
                      <w:divBdr>
                        <w:top w:val="none" w:sz="0" w:space="0" w:color="auto"/>
                        <w:left w:val="none" w:sz="0" w:space="0" w:color="auto"/>
                        <w:bottom w:val="none" w:sz="0" w:space="0" w:color="auto"/>
                        <w:right w:val="none" w:sz="0" w:space="0" w:color="auto"/>
                      </w:divBdr>
                    </w:div>
                  </w:divsChild>
                </w:div>
                <w:div w:id="1772044620">
                  <w:marLeft w:val="0"/>
                  <w:marRight w:val="0"/>
                  <w:marTop w:val="0"/>
                  <w:marBottom w:val="0"/>
                  <w:divBdr>
                    <w:top w:val="none" w:sz="0" w:space="0" w:color="auto"/>
                    <w:left w:val="none" w:sz="0" w:space="0" w:color="auto"/>
                    <w:bottom w:val="none" w:sz="0" w:space="0" w:color="auto"/>
                    <w:right w:val="none" w:sz="0" w:space="0" w:color="auto"/>
                  </w:divBdr>
                  <w:divsChild>
                    <w:div w:id="732124719">
                      <w:marLeft w:val="0"/>
                      <w:marRight w:val="0"/>
                      <w:marTop w:val="0"/>
                      <w:marBottom w:val="0"/>
                      <w:divBdr>
                        <w:top w:val="none" w:sz="0" w:space="0" w:color="auto"/>
                        <w:left w:val="none" w:sz="0" w:space="0" w:color="auto"/>
                        <w:bottom w:val="none" w:sz="0" w:space="0" w:color="auto"/>
                        <w:right w:val="none" w:sz="0" w:space="0" w:color="auto"/>
                      </w:divBdr>
                    </w:div>
                  </w:divsChild>
                </w:div>
                <w:div w:id="1905096370">
                  <w:marLeft w:val="0"/>
                  <w:marRight w:val="0"/>
                  <w:marTop w:val="0"/>
                  <w:marBottom w:val="0"/>
                  <w:divBdr>
                    <w:top w:val="none" w:sz="0" w:space="0" w:color="auto"/>
                    <w:left w:val="none" w:sz="0" w:space="0" w:color="auto"/>
                    <w:bottom w:val="none" w:sz="0" w:space="0" w:color="auto"/>
                    <w:right w:val="none" w:sz="0" w:space="0" w:color="auto"/>
                  </w:divBdr>
                  <w:divsChild>
                    <w:div w:id="1337221777">
                      <w:marLeft w:val="0"/>
                      <w:marRight w:val="0"/>
                      <w:marTop w:val="0"/>
                      <w:marBottom w:val="0"/>
                      <w:divBdr>
                        <w:top w:val="none" w:sz="0" w:space="0" w:color="auto"/>
                        <w:left w:val="none" w:sz="0" w:space="0" w:color="auto"/>
                        <w:bottom w:val="none" w:sz="0" w:space="0" w:color="auto"/>
                        <w:right w:val="none" w:sz="0" w:space="0" w:color="auto"/>
                      </w:divBdr>
                    </w:div>
                  </w:divsChild>
                </w:div>
                <w:div w:id="1962806952">
                  <w:marLeft w:val="0"/>
                  <w:marRight w:val="0"/>
                  <w:marTop w:val="0"/>
                  <w:marBottom w:val="0"/>
                  <w:divBdr>
                    <w:top w:val="none" w:sz="0" w:space="0" w:color="auto"/>
                    <w:left w:val="none" w:sz="0" w:space="0" w:color="auto"/>
                    <w:bottom w:val="none" w:sz="0" w:space="0" w:color="auto"/>
                    <w:right w:val="none" w:sz="0" w:space="0" w:color="auto"/>
                  </w:divBdr>
                  <w:divsChild>
                    <w:div w:id="2065372952">
                      <w:marLeft w:val="0"/>
                      <w:marRight w:val="0"/>
                      <w:marTop w:val="0"/>
                      <w:marBottom w:val="0"/>
                      <w:divBdr>
                        <w:top w:val="none" w:sz="0" w:space="0" w:color="auto"/>
                        <w:left w:val="none" w:sz="0" w:space="0" w:color="auto"/>
                        <w:bottom w:val="none" w:sz="0" w:space="0" w:color="auto"/>
                        <w:right w:val="none" w:sz="0" w:space="0" w:color="auto"/>
                      </w:divBdr>
                    </w:div>
                  </w:divsChild>
                </w:div>
                <w:div w:id="1975523306">
                  <w:marLeft w:val="0"/>
                  <w:marRight w:val="0"/>
                  <w:marTop w:val="0"/>
                  <w:marBottom w:val="0"/>
                  <w:divBdr>
                    <w:top w:val="none" w:sz="0" w:space="0" w:color="auto"/>
                    <w:left w:val="none" w:sz="0" w:space="0" w:color="auto"/>
                    <w:bottom w:val="none" w:sz="0" w:space="0" w:color="auto"/>
                    <w:right w:val="none" w:sz="0" w:space="0" w:color="auto"/>
                  </w:divBdr>
                  <w:divsChild>
                    <w:div w:id="1174732963">
                      <w:marLeft w:val="0"/>
                      <w:marRight w:val="0"/>
                      <w:marTop w:val="0"/>
                      <w:marBottom w:val="0"/>
                      <w:divBdr>
                        <w:top w:val="none" w:sz="0" w:space="0" w:color="auto"/>
                        <w:left w:val="none" w:sz="0" w:space="0" w:color="auto"/>
                        <w:bottom w:val="none" w:sz="0" w:space="0" w:color="auto"/>
                        <w:right w:val="none" w:sz="0" w:space="0" w:color="auto"/>
                      </w:divBdr>
                    </w:div>
                  </w:divsChild>
                </w:div>
                <w:div w:id="2024473245">
                  <w:marLeft w:val="0"/>
                  <w:marRight w:val="0"/>
                  <w:marTop w:val="0"/>
                  <w:marBottom w:val="0"/>
                  <w:divBdr>
                    <w:top w:val="none" w:sz="0" w:space="0" w:color="auto"/>
                    <w:left w:val="none" w:sz="0" w:space="0" w:color="auto"/>
                    <w:bottom w:val="none" w:sz="0" w:space="0" w:color="auto"/>
                    <w:right w:val="none" w:sz="0" w:space="0" w:color="auto"/>
                  </w:divBdr>
                  <w:divsChild>
                    <w:div w:id="1076243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9336145">
          <w:marLeft w:val="0"/>
          <w:marRight w:val="0"/>
          <w:marTop w:val="0"/>
          <w:marBottom w:val="0"/>
          <w:divBdr>
            <w:top w:val="none" w:sz="0" w:space="0" w:color="auto"/>
            <w:left w:val="none" w:sz="0" w:space="0" w:color="auto"/>
            <w:bottom w:val="none" w:sz="0" w:space="0" w:color="auto"/>
            <w:right w:val="none" w:sz="0" w:space="0" w:color="auto"/>
          </w:divBdr>
        </w:div>
        <w:div w:id="316157181">
          <w:marLeft w:val="0"/>
          <w:marRight w:val="0"/>
          <w:marTop w:val="0"/>
          <w:marBottom w:val="0"/>
          <w:divBdr>
            <w:top w:val="none" w:sz="0" w:space="0" w:color="auto"/>
            <w:left w:val="none" w:sz="0" w:space="0" w:color="auto"/>
            <w:bottom w:val="none" w:sz="0" w:space="0" w:color="auto"/>
            <w:right w:val="none" w:sz="0" w:space="0" w:color="auto"/>
          </w:divBdr>
        </w:div>
        <w:div w:id="511995074">
          <w:marLeft w:val="0"/>
          <w:marRight w:val="0"/>
          <w:marTop w:val="0"/>
          <w:marBottom w:val="0"/>
          <w:divBdr>
            <w:top w:val="none" w:sz="0" w:space="0" w:color="auto"/>
            <w:left w:val="none" w:sz="0" w:space="0" w:color="auto"/>
            <w:bottom w:val="none" w:sz="0" w:space="0" w:color="auto"/>
            <w:right w:val="none" w:sz="0" w:space="0" w:color="auto"/>
          </w:divBdr>
        </w:div>
        <w:div w:id="614824880">
          <w:marLeft w:val="0"/>
          <w:marRight w:val="0"/>
          <w:marTop w:val="0"/>
          <w:marBottom w:val="0"/>
          <w:divBdr>
            <w:top w:val="none" w:sz="0" w:space="0" w:color="auto"/>
            <w:left w:val="none" w:sz="0" w:space="0" w:color="auto"/>
            <w:bottom w:val="none" w:sz="0" w:space="0" w:color="auto"/>
            <w:right w:val="none" w:sz="0" w:space="0" w:color="auto"/>
          </w:divBdr>
        </w:div>
        <w:div w:id="692802257">
          <w:marLeft w:val="0"/>
          <w:marRight w:val="0"/>
          <w:marTop w:val="0"/>
          <w:marBottom w:val="0"/>
          <w:divBdr>
            <w:top w:val="none" w:sz="0" w:space="0" w:color="auto"/>
            <w:left w:val="none" w:sz="0" w:space="0" w:color="auto"/>
            <w:bottom w:val="none" w:sz="0" w:space="0" w:color="auto"/>
            <w:right w:val="none" w:sz="0" w:space="0" w:color="auto"/>
          </w:divBdr>
        </w:div>
        <w:div w:id="727072549">
          <w:marLeft w:val="0"/>
          <w:marRight w:val="0"/>
          <w:marTop w:val="0"/>
          <w:marBottom w:val="0"/>
          <w:divBdr>
            <w:top w:val="none" w:sz="0" w:space="0" w:color="auto"/>
            <w:left w:val="none" w:sz="0" w:space="0" w:color="auto"/>
            <w:bottom w:val="none" w:sz="0" w:space="0" w:color="auto"/>
            <w:right w:val="none" w:sz="0" w:space="0" w:color="auto"/>
          </w:divBdr>
        </w:div>
        <w:div w:id="758789532">
          <w:marLeft w:val="0"/>
          <w:marRight w:val="0"/>
          <w:marTop w:val="0"/>
          <w:marBottom w:val="0"/>
          <w:divBdr>
            <w:top w:val="none" w:sz="0" w:space="0" w:color="auto"/>
            <w:left w:val="none" w:sz="0" w:space="0" w:color="auto"/>
            <w:bottom w:val="none" w:sz="0" w:space="0" w:color="auto"/>
            <w:right w:val="none" w:sz="0" w:space="0" w:color="auto"/>
          </w:divBdr>
        </w:div>
        <w:div w:id="920523547">
          <w:marLeft w:val="0"/>
          <w:marRight w:val="0"/>
          <w:marTop w:val="0"/>
          <w:marBottom w:val="0"/>
          <w:divBdr>
            <w:top w:val="none" w:sz="0" w:space="0" w:color="auto"/>
            <w:left w:val="none" w:sz="0" w:space="0" w:color="auto"/>
            <w:bottom w:val="none" w:sz="0" w:space="0" w:color="auto"/>
            <w:right w:val="none" w:sz="0" w:space="0" w:color="auto"/>
          </w:divBdr>
        </w:div>
        <w:div w:id="989214758">
          <w:marLeft w:val="0"/>
          <w:marRight w:val="0"/>
          <w:marTop w:val="0"/>
          <w:marBottom w:val="0"/>
          <w:divBdr>
            <w:top w:val="none" w:sz="0" w:space="0" w:color="auto"/>
            <w:left w:val="none" w:sz="0" w:space="0" w:color="auto"/>
            <w:bottom w:val="none" w:sz="0" w:space="0" w:color="auto"/>
            <w:right w:val="none" w:sz="0" w:space="0" w:color="auto"/>
          </w:divBdr>
        </w:div>
        <w:div w:id="990988526">
          <w:marLeft w:val="0"/>
          <w:marRight w:val="0"/>
          <w:marTop w:val="0"/>
          <w:marBottom w:val="0"/>
          <w:divBdr>
            <w:top w:val="none" w:sz="0" w:space="0" w:color="auto"/>
            <w:left w:val="none" w:sz="0" w:space="0" w:color="auto"/>
            <w:bottom w:val="none" w:sz="0" w:space="0" w:color="auto"/>
            <w:right w:val="none" w:sz="0" w:space="0" w:color="auto"/>
          </w:divBdr>
        </w:div>
        <w:div w:id="1105885272">
          <w:marLeft w:val="0"/>
          <w:marRight w:val="0"/>
          <w:marTop w:val="0"/>
          <w:marBottom w:val="0"/>
          <w:divBdr>
            <w:top w:val="none" w:sz="0" w:space="0" w:color="auto"/>
            <w:left w:val="none" w:sz="0" w:space="0" w:color="auto"/>
            <w:bottom w:val="none" w:sz="0" w:space="0" w:color="auto"/>
            <w:right w:val="none" w:sz="0" w:space="0" w:color="auto"/>
          </w:divBdr>
        </w:div>
        <w:div w:id="1154948916">
          <w:marLeft w:val="0"/>
          <w:marRight w:val="0"/>
          <w:marTop w:val="0"/>
          <w:marBottom w:val="0"/>
          <w:divBdr>
            <w:top w:val="none" w:sz="0" w:space="0" w:color="auto"/>
            <w:left w:val="none" w:sz="0" w:space="0" w:color="auto"/>
            <w:bottom w:val="none" w:sz="0" w:space="0" w:color="auto"/>
            <w:right w:val="none" w:sz="0" w:space="0" w:color="auto"/>
          </w:divBdr>
        </w:div>
        <w:div w:id="1159922936">
          <w:marLeft w:val="0"/>
          <w:marRight w:val="0"/>
          <w:marTop w:val="0"/>
          <w:marBottom w:val="0"/>
          <w:divBdr>
            <w:top w:val="none" w:sz="0" w:space="0" w:color="auto"/>
            <w:left w:val="none" w:sz="0" w:space="0" w:color="auto"/>
            <w:bottom w:val="none" w:sz="0" w:space="0" w:color="auto"/>
            <w:right w:val="none" w:sz="0" w:space="0" w:color="auto"/>
          </w:divBdr>
        </w:div>
        <w:div w:id="1188720223">
          <w:marLeft w:val="0"/>
          <w:marRight w:val="0"/>
          <w:marTop w:val="0"/>
          <w:marBottom w:val="0"/>
          <w:divBdr>
            <w:top w:val="none" w:sz="0" w:space="0" w:color="auto"/>
            <w:left w:val="none" w:sz="0" w:space="0" w:color="auto"/>
            <w:bottom w:val="none" w:sz="0" w:space="0" w:color="auto"/>
            <w:right w:val="none" w:sz="0" w:space="0" w:color="auto"/>
          </w:divBdr>
        </w:div>
        <w:div w:id="1199930489">
          <w:marLeft w:val="0"/>
          <w:marRight w:val="0"/>
          <w:marTop w:val="0"/>
          <w:marBottom w:val="0"/>
          <w:divBdr>
            <w:top w:val="none" w:sz="0" w:space="0" w:color="auto"/>
            <w:left w:val="none" w:sz="0" w:space="0" w:color="auto"/>
            <w:bottom w:val="none" w:sz="0" w:space="0" w:color="auto"/>
            <w:right w:val="none" w:sz="0" w:space="0" w:color="auto"/>
          </w:divBdr>
        </w:div>
        <w:div w:id="1500191361">
          <w:marLeft w:val="0"/>
          <w:marRight w:val="0"/>
          <w:marTop w:val="0"/>
          <w:marBottom w:val="0"/>
          <w:divBdr>
            <w:top w:val="none" w:sz="0" w:space="0" w:color="auto"/>
            <w:left w:val="none" w:sz="0" w:space="0" w:color="auto"/>
            <w:bottom w:val="none" w:sz="0" w:space="0" w:color="auto"/>
            <w:right w:val="none" w:sz="0" w:space="0" w:color="auto"/>
          </w:divBdr>
        </w:div>
        <w:div w:id="1575237135">
          <w:marLeft w:val="0"/>
          <w:marRight w:val="0"/>
          <w:marTop w:val="0"/>
          <w:marBottom w:val="0"/>
          <w:divBdr>
            <w:top w:val="none" w:sz="0" w:space="0" w:color="auto"/>
            <w:left w:val="none" w:sz="0" w:space="0" w:color="auto"/>
            <w:bottom w:val="none" w:sz="0" w:space="0" w:color="auto"/>
            <w:right w:val="none" w:sz="0" w:space="0" w:color="auto"/>
          </w:divBdr>
        </w:div>
        <w:div w:id="1586450646">
          <w:marLeft w:val="0"/>
          <w:marRight w:val="0"/>
          <w:marTop w:val="0"/>
          <w:marBottom w:val="0"/>
          <w:divBdr>
            <w:top w:val="none" w:sz="0" w:space="0" w:color="auto"/>
            <w:left w:val="none" w:sz="0" w:space="0" w:color="auto"/>
            <w:bottom w:val="none" w:sz="0" w:space="0" w:color="auto"/>
            <w:right w:val="none" w:sz="0" w:space="0" w:color="auto"/>
          </w:divBdr>
        </w:div>
        <w:div w:id="1649625418">
          <w:marLeft w:val="0"/>
          <w:marRight w:val="0"/>
          <w:marTop w:val="0"/>
          <w:marBottom w:val="0"/>
          <w:divBdr>
            <w:top w:val="none" w:sz="0" w:space="0" w:color="auto"/>
            <w:left w:val="none" w:sz="0" w:space="0" w:color="auto"/>
            <w:bottom w:val="none" w:sz="0" w:space="0" w:color="auto"/>
            <w:right w:val="none" w:sz="0" w:space="0" w:color="auto"/>
          </w:divBdr>
        </w:div>
        <w:div w:id="1774008221">
          <w:marLeft w:val="0"/>
          <w:marRight w:val="0"/>
          <w:marTop w:val="0"/>
          <w:marBottom w:val="0"/>
          <w:divBdr>
            <w:top w:val="none" w:sz="0" w:space="0" w:color="auto"/>
            <w:left w:val="none" w:sz="0" w:space="0" w:color="auto"/>
            <w:bottom w:val="none" w:sz="0" w:space="0" w:color="auto"/>
            <w:right w:val="none" w:sz="0" w:space="0" w:color="auto"/>
          </w:divBdr>
        </w:div>
        <w:div w:id="1813013443">
          <w:marLeft w:val="0"/>
          <w:marRight w:val="0"/>
          <w:marTop w:val="0"/>
          <w:marBottom w:val="0"/>
          <w:divBdr>
            <w:top w:val="none" w:sz="0" w:space="0" w:color="auto"/>
            <w:left w:val="none" w:sz="0" w:space="0" w:color="auto"/>
            <w:bottom w:val="none" w:sz="0" w:space="0" w:color="auto"/>
            <w:right w:val="none" w:sz="0" w:space="0" w:color="auto"/>
          </w:divBdr>
        </w:div>
        <w:div w:id="1816293279">
          <w:marLeft w:val="0"/>
          <w:marRight w:val="0"/>
          <w:marTop w:val="0"/>
          <w:marBottom w:val="0"/>
          <w:divBdr>
            <w:top w:val="none" w:sz="0" w:space="0" w:color="auto"/>
            <w:left w:val="none" w:sz="0" w:space="0" w:color="auto"/>
            <w:bottom w:val="none" w:sz="0" w:space="0" w:color="auto"/>
            <w:right w:val="none" w:sz="0" w:space="0" w:color="auto"/>
          </w:divBdr>
        </w:div>
        <w:div w:id="1817838930">
          <w:marLeft w:val="0"/>
          <w:marRight w:val="0"/>
          <w:marTop w:val="0"/>
          <w:marBottom w:val="0"/>
          <w:divBdr>
            <w:top w:val="none" w:sz="0" w:space="0" w:color="auto"/>
            <w:left w:val="none" w:sz="0" w:space="0" w:color="auto"/>
            <w:bottom w:val="none" w:sz="0" w:space="0" w:color="auto"/>
            <w:right w:val="none" w:sz="0" w:space="0" w:color="auto"/>
          </w:divBdr>
        </w:div>
        <w:div w:id="1922063669">
          <w:marLeft w:val="0"/>
          <w:marRight w:val="0"/>
          <w:marTop w:val="0"/>
          <w:marBottom w:val="0"/>
          <w:divBdr>
            <w:top w:val="none" w:sz="0" w:space="0" w:color="auto"/>
            <w:left w:val="none" w:sz="0" w:space="0" w:color="auto"/>
            <w:bottom w:val="none" w:sz="0" w:space="0" w:color="auto"/>
            <w:right w:val="none" w:sz="0" w:space="0" w:color="auto"/>
          </w:divBdr>
        </w:div>
        <w:div w:id="1946881350">
          <w:marLeft w:val="0"/>
          <w:marRight w:val="0"/>
          <w:marTop w:val="0"/>
          <w:marBottom w:val="0"/>
          <w:divBdr>
            <w:top w:val="none" w:sz="0" w:space="0" w:color="auto"/>
            <w:left w:val="none" w:sz="0" w:space="0" w:color="auto"/>
            <w:bottom w:val="none" w:sz="0" w:space="0" w:color="auto"/>
            <w:right w:val="none" w:sz="0" w:space="0" w:color="auto"/>
          </w:divBdr>
        </w:div>
        <w:div w:id="2025089163">
          <w:marLeft w:val="0"/>
          <w:marRight w:val="0"/>
          <w:marTop w:val="0"/>
          <w:marBottom w:val="0"/>
          <w:divBdr>
            <w:top w:val="none" w:sz="0" w:space="0" w:color="auto"/>
            <w:left w:val="none" w:sz="0" w:space="0" w:color="auto"/>
            <w:bottom w:val="none" w:sz="0" w:space="0" w:color="auto"/>
            <w:right w:val="none" w:sz="0" w:space="0" w:color="auto"/>
          </w:divBdr>
        </w:div>
        <w:div w:id="2124417104">
          <w:marLeft w:val="0"/>
          <w:marRight w:val="0"/>
          <w:marTop w:val="0"/>
          <w:marBottom w:val="0"/>
          <w:divBdr>
            <w:top w:val="none" w:sz="0" w:space="0" w:color="auto"/>
            <w:left w:val="none" w:sz="0" w:space="0" w:color="auto"/>
            <w:bottom w:val="none" w:sz="0" w:space="0" w:color="auto"/>
            <w:right w:val="none" w:sz="0" w:space="0" w:color="auto"/>
          </w:divBdr>
        </w:div>
      </w:divsChild>
    </w:div>
    <w:div w:id="1192766765">
      <w:bodyDiv w:val="1"/>
      <w:marLeft w:val="0"/>
      <w:marRight w:val="0"/>
      <w:marTop w:val="0"/>
      <w:marBottom w:val="0"/>
      <w:divBdr>
        <w:top w:val="none" w:sz="0" w:space="0" w:color="auto"/>
        <w:left w:val="none" w:sz="0" w:space="0" w:color="auto"/>
        <w:bottom w:val="none" w:sz="0" w:space="0" w:color="auto"/>
        <w:right w:val="none" w:sz="0" w:space="0" w:color="auto"/>
      </w:divBdr>
      <w:divsChild>
        <w:div w:id="160242129">
          <w:marLeft w:val="0"/>
          <w:marRight w:val="0"/>
          <w:marTop w:val="0"/>
          <w:marBottom w:val="0"/>
          <w:divBdr>
            <w:top w:val="none" w:sz="0" w:space="0" w:color="auto"/>
            <w:left w:val="none" w:sz="0" w:space="0" w:color="auto"/>
            <w:bottom w:val="none" w:sz="0" w:space="0" w:color="auto"/>
            <w:right w:val="none" w:sz="0" w:space="0" w:color="auto"/>
          </w:divBdr>
          <w:divsChild>
            <w:div w:id="337270569">
              <w:marLeft w:val="0"/>
              <w:marRight w:val="0"/>
              <w:marTop w:val="0"/>
              <w:marBottom w:val="0"/>
              <w:divBdr>
                <w:top w:val="none" w:sz="0" w:space="0" w:color="auto"/>
                <w:left w:val="none" w:sz="0" w:space="0" w:color="auto"/>
                <w:bottom w:val="none" w:sz="0" w:space="0" w:color="auto"/>
                <w:right w:val="none" w:sz="0" w:space="0" w:color="auto"/>
              </w:divBdr>
            </w:div>
            <w:div w:id="374547124">
              <w:marLeft w:val="0"/>
              <w:marRight w:val="0"/>
              <w:marTop w:val="0"/>
              <w:marBottom w:val="0"/>
              <w:divBdr>
                <w:top w:val="none" w:sz="0" w:space="0" w:color="auto"/>
                <w:left w:val="none" w:sz="0" w:space="0" w:color="auto"/>
                <w:bottom w:val="none" w:sz="0" w:space="0" w:color="auto"/>
                <w:right w:val="none" w:sz="0" w:space="0" w:color="auto"/>
              </w:divBdr>
            </w:div>
            <w:div w:id="535849877">
              <w:marLeft w:val="0"/>
              <w:marRight w:val="0"/>
              <w:marTop w:val="0"/>
              <w:marBottom w:val="0"/>
              <w:divBdr>
                <w:top w:val="none" w:sz="0" w:space="0" w:color="auto"/>
                <w:left w:val="none" w:sz="0" w:space="0" w:color="auto"/>
                <w:bottom w:val="none" w:sz="0" w:space="0" w:color="auto"/>
                <w:right w:val="none" w:sz="0" w:space="0" w:color="auto"/>
              </w:divBdr>
            </w:div>
            <w:div w:id="653220379">
              <w:marLeft w:val="0"/>
              <w:marRight w:val="0"/>
              <w:marTop w:val="0"/>
              <w:marBottom w:val="0"/>
              <w:divBdr>
                <w:top w:val="none" w:sz="0" w:space="0" w:color="auto"/>
                <w:left w:val="none" w:sz="0" w:space="0" w:color="auto"/>
                <w:bottom w:val="none" w:sz="0" w:space="0" w:color="auto"/>
                <w:right w:val="none" w:sz="0" w:space="0" w:color="auto"/>
              </w:divBdr>
            </w:div>
            <w:div w:id="913196411">
              <w:marLeft w:val="0"/>
              <w:marRight w:val="0"/>
              <w:marTop w:val="0"/>
              <w:marBottom w:val="0"/>
              <w:divBdr>
                <w:top w:val="none" w:sz="0" w:space="0" w:color="auto"/>
                <w:left w:val="none" w:sz="0" w:space="0" w:color="auto"/>
                <w:bottom w:val="none" w:sz="0" w:space="0" w:color="auto"/>
                <w:right w:val="none" w:sz="0" w:space="0" w:color="auto"/>
              </w:divBdr>
            </w:div>
            <w:div w:id="1030060888">
              <w:marLeft w:val="0"/>
              <w:marRight w:val="0"/>
              <w:marTop w:val="0"/>
              <w:marBottom w:val="0"/>
              <w:divBdr>
                <w:top w:val="none" w:sz="0" w:space="0" w:color="auto"/>
                <w:left w:val="none" w:sz="0" w:space="0" w:color="auto"/>
                <w:bottom w:val="none" w:sz="0" w:space="0" w:color="auto"/>
                <w:right w:val="none" w:sz="0" w:space="0" w:color="auto"/>
              </w:divBdr>
            </w:div>
            <w:div w:id="1085762846">
              <w:marLeft w:val="0"/>
              <w:marRight w:val="0"/>
              <w:marTop w:val="0"/>
              <w:marBottom w:val="0"/>
              <w:divBdr>
                <w:top w:val="none" w:sz="0" w:space="0" w:color="auto"/>
                <w:left w:val="none" w:sz="0" w:space="0" w:color="auto"/>
                <w:bottom w:val="none" w:sz="0" w:space="0" w:color="auto"/>
                <w:right w:val="none" w:sz="0" w:space="0" w:color="auto"/>
              </w:divBdr>
            </w:div>
            <w:div w:id="1192037977">
              <w:marLeft w:val="0"/>
              <w:marRight w:val="0"/>
              <w:marTop w:val="0"/>
              <w:marBottom w:val="0"/>
              <w:divBdr>
                <w:top w:val="none" w:sz="0" w:space="0" w:color="auto"/>
                <w:left w:val="none" w:sz="0" w:space="0" w:color="auto"/>
                <w:bottom w:val="none" w:sz="0" w:space="0" w:color="auto"/>
                <w:right w:val="none" w:sz="0" w:space="0" w:color="auto"/>
              </w:divBdr>
            </w:div>
            <w:div w:id="1242133618">
              <w:marLeft w:val="0"/>
              <w:marRight w:val="0"/>
              <w:marTop w:val="0"/>
              <w:marBottom w:val="0"/>
              <w:divBdr>
                <w:top w:val="none" w:sz="0" w:space="0" w:color="auto"/>
                <w:left w:val="none" w:sz="0" w:space="0" w:color="auto"/>
                <w:bottom w:val="none" w:sz="0" w:space="0" w:color="auto"/>
                <w:right w:val="none" w:sz="0" w:space="0" w:color="auto"/>
              </w:divBdr>
            </w:div>
            <w:div w:id="1444691349">
              <w:marLeft w:val="0"/>
              <w:marRight w:val="0"/>
              <w:marTop w:val="0"/>
              <w:marBottom w:val="0"/>
              <w:divBdr>
                <w:top w:val="none" w:sz="0" w:space="0" w:color="auto"/>
                <w:left w:val="none" w:sz="0" w:space="0" w:color="auto"/>
                <w:bottom w:val="none" w:sz="0" w:space="0" w:color="auto"/>
                <w:right w:val="none" w:sz="0" w:space="0" w:color="auto"/>
              </w:divBdr>
            </w:div>
            <w:div w:id="1490058887">
              <w:marLeft w:val="0"/>
              <w:marRight w:val="0"/>
              <w:marTop w:val="0"/>
              <w:marBottom w:val="0"/>
              <w:divBdr>
                <w:top w:val="none" w:sz="0" w:space="0" w:color="auto"/>
                <w:left w:val="none" w:sz="0" w:space="0" w:color="auto"/>
                <w:bottom w:val="none" w:sz="0" w:space="0" w:color="auto"/>
                <w:right w:val="none" w:sz="0" w:space="0" w:color="auto"/>
              </w:divBdr>
            </w:div>
            <w:div w:id="1491410718">
              <w:marLeft w:val="0"/>
              <w:marRight w:val="0"/>
              <w:marTop w:val="0"/>
              <w:marBottom w:val="0"/>
              <w:divBdr>
                <w:top w:val="none" w:sz="0" w:space="0" w:color="auto"/>
                <w:left w:val="none" w:sz="0" w:space="0" w:color="auto"/>
                <w:bottom w:val="none" w:sz="0" w:space="0" w:color="auto"/>
                <w:right w:val="none" w:sz="0" w:space="0" w:color="auto"/>
              </w:divBdr>
            </w:div>
            <w:div w:id="1538008632">
              <w:marLeft w:val="0"/>
              <w:marRight w:val="0"/>
              <w:marTop w:val="0"/>
              <w:marBottom w:val="0"/>
              <w:divBdr>
                <w:top w:val="none" w:sz="0" w:space="0" w:color="auto"/>
                <w:left w:val="none" w:sz="0" w:space="0" w:color="auto"/>
                <w:bottom w:val="none" w:sz="0" w:space="0" w:color="auto"/>
                <w:right w:val="none" w:sz="0" w:space="0" w:color="auto"/>
              </w:divBdr>
            </w:div>
            <w:div w:id="1560094031">
              <w:marLeft w:val="0"/>
              <w:marRight w:val="0"/>
              <w:marTop w:val="0"/>
              <w:marBottom w:val="0"/>
              <w:divBdr>
                <w:top w:val="none" w:sz="0" w:space="0" w:color="auto"/>
                <w:left w:val="none" w:sz="0" w:space="0" w:color="auto"/>
                <w:bottom w:val="none" w:sz="0" w:space="0" w:color="auto"/>
                <w:right w:val="none" w:sz="0" w:space="0" w:color="auto"/>
              </w:divBdr>
            </w:div>
            <w:div w:id="1668289674">
              <w:marLeft w:val="0"/>
              <w:marRight w:val="0"/>
              <w:marTop w:val="0"/>
              <w:marBottom w:val="0"/>
              <w:divBdr>
                <w:top w:val="none" w:sz="0" w:space="0" w:color="auto"/>
                <w:left w:val="none" w:sz="0" w:space="0" w:color="auto"/>
                <w:bottom w:val="none" w:sz="0" w:space="0" w:color="auto"/>
                <w:right w:val="none" w:sz="0" w:space="0" w:color="auto"/>
              </w:divBdr>
            </w:div>
            <w:div w:id="1740785288">
              <w:marLeft w:val="0"/>
              <w:marRight w:val="0"/>
              <w:marTop w:val="0"/>
              <w:marBottom w:val="0"/>
              <w:divBdr>
                <w:top w:val="none" w:sz="0" w:space="0" w:color="auto"/>
                <w:left w:val="none" w:sz="0" w:space="0" w:color="auto"/>
                <w:bottom w:val="none" w:sz="0" w:space="0" w:color="auto"/>
                <w:right w:val="none" w:sz="0" w:space="0" w:color="auto"/>
              </w:divBdr>
            </w:div>
            <w:div w:id="1967005845">
              <w:marLeft w:val="0"/>
              <w:marRight w:val="0"/>
              <w:marTop w:val="0"/>
              <w:marBottom w:val="0"/>
              <w:divBdr>
                <w:top w:val="none" w:sz="0" w:space="0" w:color="auto"/>
                <w:left w:val="none" w:sz="0" w:space="0" w:color="auto"/>
                <w:bottom w:val="none" w:sz="0" w:space="0" w:color="auto"/>
                <w:right w:val="none" w:sz="0" w:space="0" w:color="auto"/>
              </w:divBdr>
            </w:div>
            <w:div w:id="2115055768">
              <w:marLeft w:val="0"/>
              <w:marRight w:val="0"/>
              <w:marTop w:val="0"/>
              <w:marBottom w:val="0"/>
              <w:divBdr>
                <w:top w:val="none" w:sz="0" w:space="0" w:color="auto"/>
                <w:left w:val="none" w:sz="0" w:space="0" w:color="auto"/>
                <w:bottom w:val="none" w:sz="0" w:space="0" w:color="auto"/>
                <w:right w:val="none" w:sz="0" w:space="0" w:color="auto"/>
              </w:divBdr>
            </w:div>
          </w:divsChild>
        </w:div>
        <w:div w:id="947657941">
          <w:marLeft w:val="0"/>
          <w:marRight w:val="0"/>
          <w:marTop w:val="0"/>
          <w:marBottom w:val="0"/>
          <w:divBdr>
            <w:top w:val="none" w:sz="0" w:space="0" w:color="auto"/>
            <w:left w:val="none" w:sz="0" w:space="0" w:color="auto"/>
            <w:bottom w:val="none" w:sz="0" w:space="0" w:color="auto"/>
            <w:right w:val="none" w:sz="0" w:space="0" w:color="auto"/>
          </w:divBdr>
          <w:divsChild>
            <w:div w:id="866067198">
              <w:marLeft w:val="0"/>
              <w:marRight w:val="0"/>
              <w:marTop w:val="0"/>
              <w:marBottom w:val="0"/>
              <w:divBdr>
                <w:top w:val="none" w:sz="0" w:space="0" w:color="auto"/>
                <w:left w:val="none" w:sz="0" w:space="0" w:color="auto"/>
                <w:bottom w:val="none" w:sz="0" w:space="0" w:color="auto"/>
                <w:right w:val="none" w:sz="0" w:space="0" w:color="auto"/>
              </w:divBdr>
            </w:div>
            <w:div w:id="1866796211">
              <w:marLeft w:val="0"/>
              <w:marRight w:val="0"/>
              <w:marTop w:val="0"/>
              <w:marBottom w:val="0"/>
              <w:divBdr>
                <w:top w:val="none" w:sz="0" w:space="0" w:color="auto"/>
                <w:left w:val="none" w:sz="0" w:space="0" w:color="auto"/>
                <w:bottom w:val="none" w:sz="0" w:space="0" w:color="auto"/>
                <w:right w:val="none" w:sz="0" w:space="0" w:color="auto"/>
              </w:divBdr>
            </w:div>
            <w:div w:id="2115050331">
              <w:marLeft w:val="0"/>
              <w:marRight w:val="0"/>
              <w:marTop w:val="0"/>
              <w:marBottom w:val="0"/>
              <w:divBdr>
                <w:top w:val="none" w:sz="0" w:space="0" w:color="auto"/>
                <w:left w:val="none" w:sz="0" w:space="0" w:color="auto"/>
                <w:bottom w:val="none" w:sz="0" w:space="0" w:color="auto"/>
                <w:right w:val="none" w:sz="0" w:space="0" w:color="auto"/>
              </w:divBdr>
            </w:div>
          </w:divsChild>
        </w:div>
        <w:div w:id="1982416766">
          <w:marLeft w:val="0"/>
          <w:marRight w:val="0"/>
          <w:marTop w:val="0"/>
          <w:marBottom w:val="0"/>
          <w:divBdr>
            <w:top w:val="none" w:sz="0" w:space="0" w:color="auto"/>
            <w:left w:val="none" w:sz="0" w:space="0" w:color="auto"/>
            <w:bottom w:val="none" w:sz="0" w:space="0" w:color="auto"/>
            <w:right w:val="none" w:sz="0" w:space="0" w:color="auto"/>
          </w:divBdr>
          <w:divsChild>
            <w:div w:id="24796937">
              <w:marLeft w:val="0"/>
              <w:marRight w:val="0"/>
              <w:marTop w:val="0"/>
              <w:marBottom w:val="0"/>
              <w:divBdr>
                <w:top w:val="none" w:sz="0" w:space="0" w:color="auto"/>
                <w:left w:val="none" w:sz="0" w:space="0" w:color="auto"/>
                <w:bottom w:val="none" w:sz="0" w:space="0" w:color="auto"/>
                <w:right w:val="none" w:sz="0" w:space="0" w:color="auto"/>
              </w:divBdr>
            </w:div>
            <w:div w:id="184709936">
              <w:marLeft w:val="0"/>
              <w:marRight w:val="0"/>
              <w:marTop w:val="0"/>
              <w:marBottom w:val="0"/>
              <w:divBdr>
                <w:top w:val="none" w:sz="0" w:space="0" w:color="auto"/>
                <w:left w:val="none" w:sz="0" w:space="0" w:color="auto"/>
                <w:bottom w:val="none" w:sz="0" w:space="0" w:color="auto"/>
                <w:right w:val="none" w:sz="0" w:space="0" w:color="auto"/>
              </w:divBdr>
            </w:div>
            <w:div w:id="411201739">
              <w:marLeft w:val="0"/>
              <w:marRight w:val="0"/>
              <w:marTop w:val="0"/>
              <w:marBottom w:val="0"/>
              <w:divBdr>
                <w:top w:val="none" w:sz="0" w:space="0" w:color="auto"/>
                <w:left w:val="none" w:sz="0" w:space="0" w:color="auto"/>
                <w:bottom w:val="none" w:sz="0" w:space="0" w:color="auto"/>
                <w:right w:val="none" w:sz="0" w:space="0" w:color="auto"/>
              </w:divBdr>
            </w:div>
            <w:div w:id="513030719">
              <w:marLeft w:val="0"/>
              <w:marRight w:val="0"/>
              <w:marTop w:val="0"/>
              <w:marBottom w:val="0"/>
              <w:divBdr>
                <w:top w:val="none" w:sz="0" w:space="0" w:color="auto"/>
                <w:left w:val="none" w:sz="0" w:space="0" w:color="auto"/>
                <w:bottom w:val="none" w:sz="0" w:space="0" w:color="auto"/>
                <w:right w:val="none" w:sz="0" w:space="0" w:color="auto"/>
              </w:divBdr>
            </w:div>
            <w:div w:id="664624136">
              <w:marLeft w:val="0"/>
              <w:marRight w:val="0"/>
              <w:marTop w:val="0"/>
              <w:marBottom w:val="0"/>
              <w:divBdr>
                <w:top w:val="none" w:sz="0" w:space="0" w:color="auto"/>
                <w:left w:val="none" w:sz="0" w:space="0" w:color="auto"/>
                <w:bottom w:val="none" w:sz="0" w:space="0" w:color="auto"/>
                <w:right w:val="none" w:sz="0" w:space="0" w:color="auto"/>
              </w:divBdr>
            </w:div>
            <w:div w:id="771170720">
              <w:marLeft w:val="0"/>
              <w:marRight w:val="0"/>
              <w:marTop w:val="0"/>
              <w:marBottom w:val="0"/>
              <w:divBdr>
                <w:top w:val="none" w:sz="0" w:space="0" w:color="auto"/>
                <w:left w:val="none" w:sz="0" w:space="0" w:color="auto"/>
                <w:bottom w:val="none" w:sz="0" w:space="0" w:color="auto"/>
                <w:right w:val="none" w:sz="0" w:space="0" w:color="auto"/>
              </w:divBdr>
            </w:div>
            <w:div w:id="959259206">
              <w:marLeft w:val="0"/>
              <w:marRight w:val="0"/>
              <w:marTop w:val="0"/>
              <w:marBottom w:val="0"/>
              <w:divBdr>
                <w:top w:val="none" w:sz="0" w:space="0" w:color="auto"/>
                <w:left w:val="none" w:sz="0" w:space="0" w:color="auto"/>
                <w:bottom w:val="none" w:sz="0" w:space="0" w:color="auto"/>
                <w:right w:val="none" w:sz="0" w:space="0" w:color="auto"/>
              </w:divBdr>
            </w:div>
            <w:div w:id="1229926612">
              <w:marLeft w:val="0"/>
              <w:marRight w:val="0"/>
              <w:marTop w:val="0"/>
              <w:marBottom w:val="0"/>
              <w:divBdr>
                <w:top w:val="none" w:sz="0" w:space="0" w:color="auto"/>
                <w:left w:val="none" w:sz="0" w:space="0" w:color="auto"/>
                <w:bottom w:val="none" w:sz="0" w:space="0" w:color="auto"/>
                <w:right w:val="none" w:sz="0" w:space="0" w:color="auto"/>
              </w:divBdr>
            </w:div>
            <w:div w:id="1245335268">
              <w:marLeft w:val="0"/>
              <w:marRight w:val="0"/>
              <w:marTop w:val="0"/>
              <w:marBottom w:val="0"/>
              <w:divBdr>
                <w:top w:val="none" w:sz="0" w:space="0" w:color="auto"/>
                <w:left w:val="none" w:sz="0" w:space="0" w:color="auto"/>
                <w:bottom w:val="none" w:sz="0" w:space="0" w:color="auto"/>
                <w:right w:val="none" w:sz="0" w:space="0" w:color="auto"/>
              </w:divBdr>
            </w:div>
            <w:div w:id="1396200840">
              <w:marLeft w:val="0"/>
              <w:marRight w:val="0"/>
              <w:marTop w:val="0"/>
              <w:marBottom w:val="0"/>
              <w:divBdr>
                <w:top w:val="none" w:sz="0" w:space="0" w:color="auto"/>
                <w:left w:val="none" w:sz="0" w:space="0" w:color="auto"/>
                <w:bottom w:val="none" w:sz="0" w:space="0" w:color="auto"/>
                <w:right w:val="none" w:sz="0" w:space="0" w:color="auto"/>
              </w:divBdr>
            </w:div>
            <w:div w:id="1422290006">
              <w:marLeft w:val="0"/>
              <w:marRight w:val="0"/>
              <w:marTop w:val="0"/>
              <w:marBottom w:val="0"/>
              <w:divBdr>
                <w:top w:val="none" w:sz="0" w:space="0" w:color="auto"/>
                <w:left w:val="none" w:sz="0" w:space="0" w:color="auto"/>
                <w:bottom w:val="none" w:sz="0" w:space="0" w:color="auto"/>
                <w:right w:val="none" w:sz="0" w:space="0" w:color="auto"/>
              </w:divBdr>
            </w:div>
            <w:div w:id="1425567287">
              <w:marLeft w:val="0"/>
              <w:marRight w:val="0"/>
              <w:marTop w:val="0"/>
              <w:marBottom w:val="0"/>
              <w:divBdr>
                <w:top w:val="none" w:sz="0" w:space="0" w:color="auto"/>
                <w:left w:val="none" w:sz="0" w:space="0" w:color="auto"/>
                <w:bottom w:val="none" w:sz="0" w:space="0" w:color="auto"/>
                <w:right w:val="none" w:sz="0" w:space="0" w:color="auto"/>
              </w:divBdr>
            </w:div>
            <w:div w:id="1793595363">
              <w:marLeft w:val="0"/>
              <w:marRight w:val="0"/>
              <w:marTop w:val="0"/>
              <w:marBottom w:val="0"/>
              <w:divBdr>
                <w:top w:val="none" w:sz="0" w:space="0" w:color="auto"/>
                <w:left w:val="none" w:sz="0" w:space="0" w:color="auto"/>
                <w:bottom w:val="none" w:sz="0" w:space="0" w:color="auto"/>
                <w:right w:val="none" w:sz="0" w:space="0" w:color="auto"/>
              </w:divBdr>
            </w:div>
            <w:div w:id="1847095382">
              <w:marLeft w:val="0"/>
              <w:marRight w:val="0"/>
              <w:marTop w:val="0"/>
              <w:marBottom w:val="0"/>
              <w:divBdr>
                <w:top w:val="none" w:sz="0" w:space="0" w:color="auto"/>
                <w:left w:val="none" w:sz="0" w:space="0" w:color="auto"/>
                <w:bottom w:val="none" w:sz="0" w:space="0" w:color="auto"/>
                <w:right w:val="none" w:sz="0" w:space="0" w:color="auto"/>
              </w:divBdr>
            </w:div>
            <w:div w:id="1988581507">
              <w:marLeft w:val="0"/>
              <w:marRight w:val="0"/>
              <w:marTop w:val="0"/>
              <w:marBottom w:val="0"/>
              <w:divBdr>
                <w:top w:val="none" w:sz="0" w:space="0" w:color="auto"/>
                <w:left w:val="none" w:sz="0" w:space="0" w:color="auto"/>
                <w:bottom w:val="none" w:sz="0" w:space="0" w:color="auto"/>
                <w:right w:val="none" w:sz="0" w:space="0" w:color="auto"/>
              </w:divBdr>
            </w:div>
            <w:div w:id="2080789023">
              <w:marLeft w:val="0"/>
              <w:marRight w:val="0"/>
              <w:marTop w:val="0"/>
              <w:marBottom w:val="0"/>
              <w:divBdr>
                <w:top w:val="none" w:sz="0" w:space="0" w:color="auto"/>
                <w:left w:val="none" w:sz="0" w:space="0" w:color="auto"/>
                <w:bottom w:val="none" w:sz="0" w:space="0" w:color="auto"/>
                <w:right w:val="none" w:sz="0" w:space="0" w:color="auto"/>
              </w:divBdr>
            </w:div>
            <w:div w:id="21185932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903524">
      <w:bodyDiv w:val="1"/>
      <w:marLeft w:val="0"/>
      <w:marRight w:val="0"/>
      <w:marTop w:val="0"/>
      <w:marBottom w:val="0"/>
      <w:divBdr>
        <w:top w:val="none" w:sz="0" w:space="0" w:color="auto"/>
        <w:left w:val="none" w:sz="0" w:space="0" w:color="auto"/>
        <w:bottom w:val="none" w:sz="0" w:space="0" w:color="auto"/>
        <w:right w:val="none" w:sz="0" w:space="0" w:color="auto"/>
      </w:divBdr>
    </w:div>
    <w:div w:id="1417239711">
      <w:bodyDiv w:val="1"/>
      <w:marLeft w:val="0"/>
      <w:marRight w:val="0"/>
      <w:marTop w:val="0"/>
      <w:marBottom w:val="0"/>
      <w:divBdr>
        <w:top w:val="none" w:sz="0" w:space="0" w:color="auto"/>
        <w:left w:val="none" w:sz="0" w:space="0" w:color="auto"/>
        <w:bottom w:val="none" w:sz="0" w:space="0" w:color="auto"/>
        <w:right w:val="none" w:sz="0" w:space="0" w:color="auto"/>
      </w:divBdr>
      <w:divsChild>
        <w:div w:id="85661310">
          <w:marLeft w:val="0"/>
          <w:marRight w:val="0"/>
          <w:marTop w:val="0"/>
          <w:marBottom w:val="0"/>
          <w:divBdr>
            <w:top w:val="none" w:sz="0" w:space="0" w:color="auto"/>
            <w:left w:val="none" w:sz="0" w:space="0" w:color="auto"/>
            <w:bottom w:val="none" w:sz="0" w:space="0" w:color="auto"/>
            <w:right w:val="none" w:sz="0" w:space="0" w:color="auto"/>
          </w:divBdr>
        </w:div>
        <w:div w:id="104539883">
          <w:marLeft w:val="0"/>
          <w:marRight w:val="0"/>
          <w:marTop w:val="0"/>
          <w:marBottom w:val="0"/>
          <w:divBdr>
            <w:top w:val="none" w:sz="0" w:space="0" w:color="auto"/>
            <w:left w:val="none" w:sz="0" w:space="0" w:color="auto"/>
            <w:bottom w:val="none" w:sz="0" w:space="0" w:color="auto"/>
            <w:right w:val="none" w:sz="0" w:space="0" w:color="auto"/>
          </w:divBdr>
        </w:div>
        <w:div w:id="173106480">
          <w:marLeft w:val="0"/>
          <w:marRight w:val="0"/>
          <w:marTop w:val="0"/>
          <w:marBottom w:val="0"/>
          <w:divBdr>
            <w:top w:val="none" w:sz="0" w:space="0" w:color="auto"/>
            <w:left w:val="none" w:sz="0" w:space="0" w:color="auto"/>
            <w:bottom w:val="none" w:sz="0" w:space="0" w:color="auto"/>
            <w:right w:val="none" w:sz="0" w:space="0" w:color="auto"/>
          </w:divBdr>
        </w:div>
        <w:div w:id="189228373">
          <w:marLeft w:val="0"/>
          <w:marRight w:val="0"/>
          <w:marTop w:val="0"/>
          <w:marBottom w:val="0"/>
          <w:divBdr>
            <w:top w:val="none" w:sz="0" w:space="0" w:color="auto"/>
            <w:left w:val="none" w:sz="0" w:space="0" w:color="auto"/>
            <w:bottom w:val="none" w:sz="0" w:space="0" w:color="auto"/>
            <w:right w:val="none" w:sz="0" w:space="0" w:color="auto"/>
          </w:divBdr>
        </w:div>
        <w:div w:id="244270865">
          <w:marLeft w:val="0"/>
          <w:marRight w:val="0"/>
          <w:marTop w:val="0"/>
          <w:marBottom w:val="0"/>
          <w:divBdr>
            <w:top w:val="none" w:sz="0" w:space="0" w:color="auto"/>
            <w:left w:val="none" w:sz="0" w:space="0" w:color="auto"/>
            <w:bottom w:val="none" w:sz="0" w:space="0" w:color="auto"/>
            <w:right w:val="none" w:sz="0" w:space="0" w:color="auto"/>
          </w:divBdr>
        </w:div>
        <w:div w:id="300231634">
          <w:marLeft w:val="0"/>
          <w:marRight w:val="0"/>
          <w:marTop w:val="0"/>
          <w:marBottom w:val="0"/>
          <w:divBdr>
            <w:top w:val="none" w:sz="0" w:space="0" w:color="auto"/>
            <w:left w:val="none" w:sz="0" w:space="0" w:color="auto"/>
            <w:bottom w:val="none" w:sz="0" w:space="0" w:color="auto"/>
            <w:right w:val="none" w:sz="0" w:space="0" w:color="auto"/>
          </w:divBdr>
        </w:div>
        <w:div w:id="385179000">
          <w:marLeft w:val="0"/>
          <w:marRight w:val="0"/>
          <w:marTop w:val="0"/>
          <w:marBottom w:val="0"/>
          <w:divBdr>
            <w:top w:val="none" w:sz="0" w:space="0" w:color="auto"/>
            <w:left w:val="none" w:sz="0" w:space="0" w:color="auto"/>
            <w:bottom w:val="none" w:sz="0" w:space="0" w:color="auto"/>
            <w:right w:val="none" w:sz="0" w:space="0" w:color="auto"/>
          </w:divBdr>
        </w:div>
        <w:div w:id="455416538">
          <w:marLeft w:val="0"/>
          <w:marRight w:val="0"/>
          <w:marTop w:val="0"/>
          <w:marBottom w:val="0"/>
          <w:divBdr>
            <w:top w:val="none" w:sz="0" w:space="0" w:color="auto"/>
            <w:left w:val="none" w:sz="0" w:space="0" w:color="auto"/>
            <w:bottom w:val="none" w:sz="0" w:space="0" w:color="auto"/>
            <w:right w:val="none" w:sz="0" w:space="0" w:color="auto"/>
          </w:divBdr>
        </w:div>
        <w:div w:id="466506178">
          <w:marLeft w:val="0"/>
          <w:marRight w:val="0"/>
          <w:marTop w:val="0"/>
          <w:marBottom w:val="0"/>
          <w:divBdr>
            <w:top w:val="none" w:sz="0" w:space="0" w:color="auto"/>
            <w:left w:val="none" w:sz="0" w:space="0" w:color="auto"/>
            <w:bottom w:val="none" w:sz="0" w:space="0" w:color="auto"/>
            <w:right w:val="none" w:sz="0" w:space="0" w:color="auto"/>
          </w:divBdr>
        </w:div>
        <w:div w:id="482238901">
          <w:marLeft w:val="0"/>
          <w:marRight w:val="0"/>
          <w:marTop w:val="0"/>
          <w:marBottom w:val="0"/>
          <w:divBdr>
            <w:top w:val="none" w:sz="0" w:space="0" w:color="auto"/>
            <w:left w:val="none" w:sz="0" w:space="0" w:color="auto"/>
            <w:bottom w:val="none" w:sz="0" w:space="0" w:color="auto"/>
            <w:right w:val="none" w:sz="0" w:space="0" w:color="auto"/>
          </w:divBdr>
        </w:div>
        <w:div w:id="607010846">
          <w:marLeft w:val="0"/>
          <w:marRight w:val="0"/>
          <w:marTop w:val="0"/>
          <w:marBottom w:val="0"/>
          <w:divBdr>
            <w:top w:val="none" w:sz="0" w:space="0" w:color="auto"/>
            <w:left w:val="none" w:sz="0" w:space="0" w:color="auto"/>
            <w:bottom w:val="none" w:sz="0" w:space="0" w:color="auto"/>
            <w:right w:val="none" w:sz="0" w:space="0" w:color="auto"/>
          </w:divBdr>
        </w:div>
        <w:div w:id="607735952">
          <w:marLeft w:val="0"/>
          <w:marRight w:val="0"/>
          <w:marTop w:val="0"/>
          <w:marBottom w:val="0"/>
          <w:divBdr>
            <w:top w:val="none" w:sz="0" w:space="0" w:color="auto"/>
            <w:left w:val="none" w:sz="0" w:space="0" w:color="auto"/>
            <w:bottom w:val="none" w:sz="0" w:space="0" w:color="auto"/>
            <w:right w:val="none" w:sz="0" w:space="0" w:color="auto"/>
          </w:divBdr>
        </w:div>
        <w:div w:id="722679290">
          <w:marLeft w:val="0"/>
          <w:marRight w:val="0"/>
          <w:marTop w:val="0"/>
          <w:marBottom w:val="0"/>
          <w:divBdr>
            <w:top w:val="none" w:sz="0" w:space="0" w:color="auto"/>
            <w:left w:val="none" w:sz="0" w:space="0" w:color="auto"/>
            <w:bottom w:val="none" w:sz="0" w:space="0" w:color="auto"/>
            <w:right w:val="none" w:sz="0" w:space="0" w:color="auto"/>
          </w:divBdr>
        </w:div>
        <w:div w:id="824856439">
          <w:marLeft w:val="0"/>
          <w:marRight w:val="0"/>
          <w:marTop w:val="0"/>
          <w:marBottom w:val="0"/>
          <w:divBdr>
            <w:top w:val="none" w:sz="0" w:space="0" w:color="auto"/>
            <w:left w:val="none" w:sz="0" w:space="0" w:color="auto"/>
            <w:bottom w:val="none" w:sz="0" w:space="0" w:color="auto"/>
            <w:right w:val="none" w:sz="0" w:space="0" w:color="auto"/>
          </w:divBdr>
        </w:div>
        <w:div w:id="924074752">
          <w:marLeft w:val="0"/>
          <w:marRight w:val="0"/>
          <w:marTop w:val="0"/>
          <w:marBottom w:val="0"/>
          <w:divBdr>
            <w:top w:val="none" w:sz="0" w:space="0" w:color="auto"/>
            <w:left w:val="none" w:sz="0" w:space="0" w:color="auto"/>
            <w:bottom w:val="none" w:sz="0" w:space="0" w:color="auto"/>
            <w:right w:val="none" w:sz="0" w:space="0" w:color="auto"/>
          </w:divBdr>
        </w:div>
        <w:div w:id="1028413485">
          <w:marLeft w:val="0"/>
          <w:marRight w:val="0"/>
          <w:marTop w:val="0"/>
          <w:marBottom w:val="0"/>
          <w:divBdr>
            <w:top w:val="none" w:sz="0" w:space="0" w:color="auto"/>
            <w:left w:val="none" w:sz="0" w:space="0" w:color="auto"/>
            <w:bottom w:val="none" w:sz="0" w:space="0" w:color="auto"/>
            <w:right w:val="none" w:sz="0" w:space="0" w:color="auto"/>
          </w:divBdr>
        </w:div>
        <w:div w:id="1066729896">
          <w:marLeft w:val="0"/>
          <w:marRight w:val="0"/>
          <w:marTop w:val="0"/>
          <w:marBottom w:val="0"/>
          <w:divBdr>
            <w:top w:val="none" w:sz="0" w:space="0" w:color="auto"/>
            <w:left w:val="none" w:sz="0" w:space="0" w:color="auto"/>
            <w:bottom w:val="none" w:sz="0" w:space="0" w:color="auto"/>
            <w:right w:val="none" w:sz="0" w:space="0" w:color="auto"/>
          </w:divBdr>
        </w:div>
        <w:div w:id="1168446662">
          <w:marLeft w:val="0"/>
          <w:marRight w:val="0"/>
          <w:marTop w:val="0"/>
          <w:marBottom w:val="0"/>
          <w:divBdr>
            <w:top w:val="none" w:sz="0" w:space="0" w:color="auto"/>
            <w:left w:val="none" w:sz="0" w:space="0" w:color="auto"/>
            <w:bottom w:val="none" w:sz="0" w:space="0" w:color="auto"/>
            <w:right w:val="none" w:sz="0" w:space="0" w:color="auto"/>
          </w:divBdr>
        </w:div>
        <w:div w:id="1177617160">
          <w:marLeft w:val="0"/>
          <w:marRight w:val="0"/>
          <w:marTop w:val="0"/>
          <w:marBottom w:val="0"/>
          <w:divBdr>
            <w:top w:val="none" w:sz="0" w:space="0" w:color="auto"/>
            <w:left w:val="none" w:sz="0" w:space="0" w:color="auto"/>
            <w:bottom w:val="none" w:sz="0" w:space="0" w:color="auto"/>
            <w:right w:val="none" w:sz="0" w:space="0" w:color="auto"/>
          </w:divBdr>
        </w:div>
        <w:div w:id="1239827302">
          <w:marLeft w:val="0"/>
          <w:marRight w:val="0"/>
          <w:marTop w:val="0"/>
          <w:marBottom w:val="0"/>
          <w:divBdr>
            <w:top w:val="none" w:sz="0" w:space="0" w:color="auto"/>
            <w:left w:val="none" w:sz="0" w:space="0" w:color="auto"/>
            <w:bottom w:val="none" w:sz="0" w:space="0" w:color="auto"/>
            <w:right w:val="none" w:sz="0" w:space="0" w:color="auto"/>
          </w:divBdr>
        </w:div>
        <w:div w:id="1240561616">
          <w:marLeft w:val="0"/>
          <w:marRight w:val="0"/>
          <w:marTop w:val="0"/>
          <w:marBottom w:val="0"/>
          <w:divBdr>
            <w:top w:val="none" w:sz="0" w:space="0" w:color="auto"/>
            <w:left w:val="none" w:sz="0" w:space="0" w:color="auto"/>
            <w:bottom w:val="none" w:sz="0" w:space="0" w:color="auto"/>
            <w:right w:val="none" w:sz="0" w:space="0" w:color="auto"/>
          </w:divBdr>
        </w:div>
        <w:div w:id="1271666520">
          <w:marLeft w:val="0"/>
          <w:marRight w:val="0"/>
          <w:marTop w:val="0"/>
          <w:marBottom w:val="0"/>
          <w:divBdr>
            <w:top w:val="none" w:sz="0" w:space="0" w:color="auto"/>
            <w:left w:val="none" w:sz="0" w:space="0" w:color="auto"/>
            <w:bottom w:val="none" w:sz="0" w:space="0" w:color="auto"/>
            <w:right w:val="none" w:sz="0" w:space="0" w:color="auto"/>
          </w:divBdr>
        </w:div>
        <w:div w:id="1281063071">
          <w:marLeft w:val="0"/>
          <w:marRight w:val="0"/>
          <w:marTop w:val="0"/>
          <w:marBottom w:val="0"/>
          <w:divBdr>
            <w:top w:val="none" w:sz="0" w:space="0" w:color="auto"/>
            <w:left w:val="none" w:sz="0" w:space="0" w:color="auto"/>
            <w:bottom w:val="none" w:sz="0" w:space="0" w:color="auto"/>
            <w:right w:val="none" w:sz="0" w:space="0" w:color="auto"/>
          </w:divBdr>
        </w:div>
        <w:div w:id="1397314998">
          <w:marLeft w:val="0"/>
          <w:marRight w:val="0"/>
          <w:marTop w:val="0"/>
          <w:marBottom w:val="0"/>
          <w:divBdr>
            <w:top w:val="none" w:sz="0" w:space="0" w:color="auto"/>
            <w:left w:val="none" w:sz="0" w:space="0" w:color="auto"/>
            <w:bottom w:val="none" w:sz="0" w:space="0" w:color="auto"/>
            <w:right w:val="none" w:sz="0" w:space="0" w:color="auto"/>
          </w:divBdr>
        </w:div>
        <w:div w:id="1488201864">
          <w:marLeft w:val="0"/>
          <w:marRight w:val="0"/>
          <w:marTop w:val="0"/>
          <w:marBottom w:val="0"/>
          <w:divBdr>
            <w:top w:val="none" w:sz="0" w:space="0" w:color="auto"/>
            <w:left w:val="none" w:sz="0" w:space="0" w:color="auto"/>
            <w:bottom w:val="none" w:sz="0" w:space="0" w:color="auto"/>
            <w:right w:val="none" w:sz="0" w:space="0" w:color="auto"/>
          </w:divBdr>
        </w:div>
        <w:div w:id="1565943909">
          <w:marLeft w:val="0"/>
          <w:marRight w:val="0"/>
          <w:marTop w:val="0"/>
          <w:marBottom w:val="0"/>
          <w:divBdr>
            <w:top w:val="none" w:sz="0" w:space="0" w:color="auto"/>
            <w:left w:val="none" w:sz="0" w:space="0" w:color="auto"/>
            <w:bottom w:val="none" w:sz="0" w:space="0" w:color="auto"/>
            <w:right w:val="none" w:sz="0" w:space="0" w:color="auto"/>
          </w:divBdr>
        </w:div>
        <w:div w:id="1613588765">
          <w:marLeft w:val="0"/>
          <w:marRight w:val="0"/>
          <w:marTop w:val="0"/>
          <w:marBottom w:val="0"/>
          <w:divBdr>
            <w:top w:val="none" w:sz="0" w:space="0" w:color="auto"/>
            <w:left w:val="none" w:sz="0" w:space="0" w:color="auto"/>
            <w:bottom w:val="none" w:sz="0" w:space="0" w:color="auto"/>
            <w:right w:val="none" w:sz="0" w:space="0" w:color="auto"/>
          </w:divBdr>
        </w:div>
        <w:div w:id="1635914296">
          <w:marLeft w:val="0"/>
          <w:marRight w:val="0"/>
          <w:marTop w:val="0"/>
          <w:marBottom w:val="0"/>
          <w:divBdr>
            <w:top w:val="none" w:sz="0" w:space="0" w:color="auto"/>
            <w:left w:val="none" w:sz="0" w:space="0" w:color="auto"/>
            <w:bottom w:val="none" w:sz="0" w:space="0" w:color="auto"/>
            <w:right w:val="none" w:sz="0" w:space="0" w:color="auto"/>
          </w:divBdr>
        </w:div>
        <w:div w:id="1649746833">
          <w:marLeft w:val="0"/>
          <w:marRight w:val="0"/>
          <w:marTop w:val="0"/>
          <w:marBottom w:val="0"/>
          <w:divBdr>
            <w:top w:val="none" w:sz="0" w:space="0" w:color="auto"/>
            <w:left w:val="none" w:sz="0" w:space="0" w:color="auto"/>
            <w:bottom w:val="none" w:sz="0" w:space="0" w:color="auto"/>
            <w:right w:val="none" w:sz="0" w:space="0" w:color="auto"/>
          </w:divBdr>
        </w:div>
        <w:div w:id="1703551755">
          <w:marLeft w:val="0"/>
          <w:marRight w:val="0"/>
          <w:marTop w:val="0"/>
          <w:marBottom w:val="0"/>
          <w:divBdr>
            <w:top w:val="none" w:sz="0" w:space="0" w:color="auto"/>
            <w:left w:val="none" w:sz="0" w:space="0" w:color="auto"/>
            <w:bottom w:val="none" w:sz="0" w:space="0" w:color="auto"/>
            <w:right w:val="none" w:sz="0" w:space="0" w:color="auto"/>
          </w:divBdr>
        </w:div>
        <w:div w:id="1704400011">
          <w:marLeft w:val="0"/>
          <w:marRight w:val="0"/>
          <w:marTop w:val="0"/>
          <w:marBottom w:val="0"/>
          <w:divBdr>
            <w:top w:val="none" w:sz="0" w:space="0" w:color="auto"/>
            <w:left w:val="none" w:sz="0" w:space="0" w:color="auto"/>
            <w:bottom w:val="none" w:sz="0" w:space="0" w:color="auto"/>
            <w:right w:val="none" w:sz="0" w:space="0" w:color="auto"/>
          </w:divBdr>
        </w:div>
        <w:div w:id="1863592304">
          <w:marLeft w:val="0"/>
          <w:marRight w:val="0"/>
          <w:marTop w:val="0"/>
          <w:marBottom w:val="0"/>
          <w:divBdr>
            <w:top w:val="none" w:sz="0" w:space="0" w:color="auto"/>
            <w:left w:val="none" w:sz="0" w:space="0" w:color="auto"/>
            <w:bottom w:val="none" w:sz="0" w:space="0" w:color="auto"/>
            <w:right w:val="none" w:sz="0" w:space="0" w:color="auto"/>
          </w:divBdr>
        </w:div>
        <w:div w:id="2077118592">
          <w:marLeft w:val="0"/>
          <w:marRight w:val="0"/>
          <w:marTop w:val="0"/>
          <w:marBottom w:val="0"/>
          <w:divBdr>
            <w:top w:val="none" w:sz="0" w:space="0" w:color="auto"/>
            <w:left w:val="none" w:sz="0" w:space="0" w:color="auto"/>
            <w:bottom w:val="none" w:sz="0" w:space="0" w:color="auto"/>
            <w:right w:val="none" w:sz="0" w:space="0" w:color="auto"/>
          </w:divBdr>
        </w:div>
        <w:div w:id="2090420488">
          <w:marLeft w:val="0"/>
          <w:marRight w:val="0"/>
          <w:marTop w:val="0"/>
          <w:marBottom w:val="0"/>
          <w:divBdr>
            <w:top w:val="none" w:sz="0" w:space="0" w:color="auto"/>
            <w:left w:val="none" w:sz="0" w:space="0" w:color="auto"/>
            <w:bottom w:val="none" w:sz="0" w:space="0" w:color="auto"/>
            <w:right w:val="none" w:sz="0" w:space="0" w:color="auto"/>
          </w:divBdr>
        </w:div>
        <w:div w:id="2091074697">
          <w:marLeft w:val="0"/>
          <w:marRight w:val="0"/>
          <w:marTop w:val="0"/>
          <w:marBottom w:val="0"/>
          <w:divBdr>
            <w:top w:val="none" w:sz="0" w:space="0" w:color="auto"/>
            <w:left w:val="none" w:sz="0" w:space="0" w:color="auto"/>
            <w:bottom w:val="none" w:sz="0" w:space="0" w:color="auto"/>
            <w:right w:val="none" w:sz="0" w:space="0" w:color="auto"/>
          </w:divBdr>
        </w:div>
      </w:divsChild>
    </w:div>
    <w:div w:id="1587376201">
      <w:bodyDiv w:val="1"/>
      <w:marLeft w:val="0"/>
      <w:marRight w:val="0"/>
      <w:marTop w:val="0"/>
      <w:marBottom w:val="0"/>
      <w:divBdr>
        <w:top w:val="none" w:sz="0" w:space="0" w:color="auto"/>
        <w:left w:val="none" w:sz="0" w:space="0" w:color="auto"/>
        <w:bottom w:val="none" w:sz="0" w:space="0" w:color="auto"/>
        <w:right w:val="none" w:sz="0" w:space="0" w:color="auto"/>
      </w:divBdr>
      <w:divsChild>
        <w:div w:id="85267294">
          <w:marLeft w:val="0"/>
          <w:marRight w:val="0"/>
          <w:marTop w:val="0"/>
          <w:marBottom w:val="0"/>
          <w:divBdr>
            <w:top w:val="none" w:sz="0" w:space="0" w:color="auto"/>
            <w:left w:val="none" w:sz="0" w:space="0" w:color="auto"/>
            <w:bottom w:val="none" w:sz="0" w:space="0" w:color="auto"/>
            <w:right w:val="none" w:sz="0" w:space="0" w:color="auto"/>
          </w:divBdr>
        </w:div>
        <w:div w:id="116722610">
          <w:marLeft w:val="0"/>
          <w:marRight w:val="0"/>
          <w:marTop w:val="0"/>
          <w:marBottom w:val="0"/>
          <w:divBdr>
            <w:top w:val="none" w:sz="0" w:space="0" w:color="auto"/>
            <w:left w:val="none" w:sz="0" w:space="0" w:color="auto"/>
            <w:bottom w:val="none" w:sz="0" w:space="0" w:color="auto"/>
            <w:right w:val="none" w:sz="0" w:space="0" w:color="auto"/>
          </w:divBdr>
        </w:div>
        <w:div w:id="204875923">
          <w:marLeft w:val="0"/>
          <w:marRight w:val="0"/>
          <w:marTop w:val="0"/>
          <w:marBottom w:val="0"/>
          <w:divBdr>
            <w:top w:val="none" w:sz="0" w:space="0" w:color="auto"/>
            <w:left w:val="none" w:sz="0" w:space="0" w:color="auto"/>
            <w:bottom w:val="none" w:sz="0" w:space="0" w:color="auto"/>
            <w:right w:val="none" w:sz="0" w:space="0" w:color="auto"/>
          </w:divBdr>
        </w:div>
        <w:div w:id="220868958">
          <w:marLeft w:val="0"/>
          <w:marRight w:val="0"/>
          <w:marTop w:val="0"/>
          <w:marBottom w:val="0"/>
          <w:divBdr>
            <w:top w:val="none" w:sz="0" w:space="0" w:color="auto"/>
            <w:left w:val="none" w:sz="0" w:space="0" w:color="auto"/>
            <w:bottom w:val="none" w:sz="0" w:space="0" w:color="auto"/>
            <w:right w:val="none" w:sz="0" w:space="0" w:color="auto"/>
          </w:divBdr>
        </w:div>
        <w:div w:id="224994980">
          <w:marLeft w:val="0"/>
          <w:marRight w:val="0"/>
          <w:marTop w:val="0"/>
          <w:marBottom w:val="0"/>
          <w:divBdr>
            <w:top w:val="none" w:sz="0" w:space="0" w:color="auto"/>
            <w:left w:val="none" w:sz="0" w:space="0" w:color="auto"/>
            <w:bottom w:val="none" w:sz="0" w:space="0" w:color="auto"/>
            <w:right w:val="none" w:sz="0" w:space="0" w:color="auto"/>
          </w:divBdr>
        </w:div>
        <w:div w:id="240529908">
          <w:marLeft w:val="0"/>
          <w:marRight w:val="0"/>
          <w:marTop w:val="0"/>
          <w:marBottom w:val="0"/>
          <w:divBdr>
            <w:top w:val="none" w:sz="0" w:space="0" w:color="auto"/>
            <w:left w:val="none" w:sz="0" w:space="0" w:color="auto"/>
            <w:bottom w:val="none" w:sz="0" w:space="0" w:color="auto"/>
            <w:right w:val="none" w:sz="0" w:space="0" w:color="auto"/>
          </w:divBdr>
        </w:div>
        <w:div w:id="283580852">
          <w:marLeft w:val="0"/>
          <w:marRight w:val="0"/>
          <w:marTop w:val="0"/>
          <w:marBottom w:val="0"/>
          <w:divBdr>
            <w:top w:val="none" w:sz="0" w:space="0" w:color="auto"/>
            <w:left w:val="none" w:sz="0" w:space="0" w:color="auto"/>
            <w:bottom w:val="none" w:sz="0" w:space="0" w:color="auto"/>
            <w:right w:val="none" w:sz="0" w:space="0" w:color="auto"/>
          </w:divBdr>
        </w:div>
        <w:div w:id="358094354">
          <w:marLeft w:val="0"/>
          <w:marRight w:val="0"/>
          <w:marTop w:val="0"/>
          <w:marBottom w:val="0"/>
          <w:divBdr>
            <w:top w:val="none" w:sz="0" w:space="0" w:color="auto"/>
            <w:left w:val="none" w:sz="0" w:space="0" w:color="auto"/>
            <w:bottom w:val="none" w:sz="0" w:space="0" w:color="auto"/>
            <w:right w:val="none" w:sz="0" w:space="0" w:color="auto"/>
          </w:divBdr>
        </w:div>
        <w:div w:id="440799967">
          <w:marLeft w:val="0"/>
          <w:marRight w:val="0"/>
          <w:marTop w:val="0"/>
          <w:marBottom w:val="0"/>
          <w:divBdr>
            <w:top w:val="none" w:sz="0" w:space="0" w:color="auto"/>
            <w:left w:val="none" w:sz="0" w:space="0" w:color="auto"/>
            <w:bottom w:val="none" w:sz="0" w:space="0" w:color="auto"/>
            <w:right w:val="none" w:sz="0" w:space="0" w:color="auto"/>
          </w:divBdr>
        </w:div>
        <w:div w:id="449325807">
          <w:marLeft w:val="0"/>
          <w:marRight w:val="0"/>
          <w:marTop w:val="0"/>
          <w:marBottom w:val="0"/>
          <w:divBdr>
            <w:top w:val="none" w:sz="0" w:space="0" w:color="auto"/>
            <w:left w:val="none" w:sz="0" w:space="0" w:color="auto"/>
            <w:bottom w:val="none" w:sz="0" w:space="0" w:color="auto"/>
            <w:right w:val="none" w:sz="0" w:space="0" w:color="auto"/>
          </w:divBdr>
        </w:div>
        <w:div w:id="459037471">
          <w:marLeft w:val="0"/>
          <w:marRight w:val="0"/>
          <w:marTop w:val="0"/>
          <w:marBottom w:val="0"/>
          <w:divBdr>
            <w:top w:val="none" w:sz="0" w:space="0" w:color="auto"/>
            <w:left w:val="none" w:sz="0" w:space="0" w:color="auto"/>
            <w:bottom w:val="none" w:sz="0" w:space="0" w:color="auto"/>
            <w:right w:val="none" w:sz="0" w:space="0" w:color="auto"/>
          </w:divBdr>
        </w:div>
        <w:div w:id="650911219">
          <w:marLeft w:val="0"/>
          <w:marRight w:val="0"/>
          <w:marTop w:val="0"/>
          <w:marBottom w:val="0"/>
          <w:divBdr>
            <w:top w:val="none" w:sz="0" w:space="0" w:color="auto"/>
            <w:left w:val="none" w:sz="0" w:space="0" w:color="auto"/>
            <w:bottom w:val="none" w:sz="0" w:space="0" w:color="auto"/>
            <w:right w:val="none" w:sz="0" w:space="0" w:color="auto"/>
          </w:divBdr>
        </w:div>
        <w:div w:id="689257583">
          <w:marLeft w:val="0"/>
          <w:marRight w:val="0"/>
          <w:marTop w:val="0"/>
          <w:marBottom w:val="0"/>
          <w:divBdr>
            <w:top w:val="none" w:sz="0" w:space="0" w:color="auto"/>
            <w:left w:val="none" w:sz="0" w:space="0" w:color="auto"/>
            <w:bottom w:val="none" w:sz="0" w:space="0" w:color="auto"/>
            <w:right w:val="none" w:sz="0" w:space="0" w:color="auto"/>
          </w:divBdr>
        </w:div>
        <w:div w:id="730081434">
          <w:marLeft w:val="0"/>
          <w:marRight w:val="0"/>
          <w:marTop w:val="0"/>
          <w:marBottom w:val="0"/>
          <w:divBdr>
            <w:top w:val="none" w:sz="0" w:space="0" w:color="auto"/>
            <w:left w:val="none" w:sz="0" w:space="0" w:color="auto"/>
            <w:bottom w:val="none" w:sz="0" w:space="0" w:color="auto"/>
            <w:right w:val="none" w:sz="0" w:space="0" w:color="auto"/>
          </w:divBdr>
        </w:div>
        <w:div w:id="744646466">
          <w:marLeft w:val="0"/>
          <w:marRight w:val="0"/>
          <w:marTop w:val="0"/>
          <w:marBottom w:val="0"/>
          <w:divBdr>
            <w:top w:val="none" w:sz="0" w:space="0" w:color="auto"/>
            <w:left w:val="none" w:sz="0" w:space="0" w:color="auto"/>
            <w:bottom w:val="none" w:sz="0" w:space="0" w:color="auto"/>
            <w:right w:val="none" w:sz="0" w:space="0" w:color="auto"/>
          </w:divBdr>
        </w:div>
        <w:div w:id="779568993">
          <w:marLeft w:val="0"/>
          <w:marRight w:val="0"/>
          <w:marTop w:val="0"/>
          <w:marBottom w:val="0"/>
          <w:divBdr>
            <w:top w:val="none" w:sz="0" w:space="0" w:color="auto"/>
            <w:left w:val="none" w:sz="0" w:space="0" w:color="auto"/>
            <w:bottom w:val="none" w:sz="0" w:space="0" w:color="auto"/>
            <w:right w:val="none" w:sz="0" w:space="0" w:color="auto"/>
          </w:divBdr>
        </w:div>
        <w:div w:id="856045482">
          <w:marLeft w:val="0"/>
          <w:marRight w:val="0"/>
          <w:marTop w:val="0"/>
          <w:marBottom w:val="0"/>
          <w:divBdr>
            <w:top w:val="none" w:sz="0" w:space="0" w:color="auto"/>
            <w:left w:val="none" w:sz="0" w:space="0" w:color="auto"/>
            <w:bottom w:val="none" w:sz="0" w:space="0" w:color="auto"/>
            <w:right w:val="none" w:sz="0" w:space="0" w:color="auto"/>
          </w:divBdr>
        </w:div>
        <w:div w:id="989947557">
          <w:marLeft w:val="0"/>
          <w:marRight w:val="0"/>
          <w:marTop w:val="0"/>
          <w:marBottom w:val="0"/>
          <w:divBdr>
            <w:top w:val="none" w:sz="0" w:space="0" w:color="auto"/>
            <w:left w:val="none" w:sz="0" w:space="0" w:color="auto"/>
            <w:bottom w:val="none" w:sz="0" w:space="0" w:color="auto"/>
            <w:right w:val="none" w:sz="0" w:space="0" w:color="auto"/>
          </w:divBdr>
        </w:div>
        <w:div w:id="1002856356">
          <w:marLeft w:val="0"/>
          <w:marRight w:val="0"/>
          <w:marTop w:val="0"/>
          <w:marBottom w:val="0"/>
          <w:divBdr>
            <w:top w:val="none" w:sz="0" w:space="0" w:color="auto"/>
            <w:left w:val="none" w:sz="0" w:space="0" w:color="auto"/>
            <w:bottom w:val="none" w:sz="0" w:space="0" w:color="auto"/>
            <w:right w:val="none" w:sz="0" w:space="0" w:color="auto"/>
          </w:divBdr>
        </w:div>
        <w:div w:id="1033769996">
          <w:marLeft w:val="0"/>
          <w:marRight w:val="0"/>
          <w:marTop w:val="0"/>
          <w:marBottom w:val="0"/>
          <w:divBdr>
            <w:top w:val="none" w:sz="0" w:space="0" w:color="auto"/>
            <w:left w:val="none" w:sz="0" w:space="0" w:color="auto"/>
            <w:bottom w:val="none" w:sz="0" w:space="0" w:color="auto"/>
            <w:right w:val="none" w:sz="0" w:space="0" w:color="auto"/>
          </w:divBdr>
        </w:div>
        <w:div w:id="1086027185">
          <w:marLeft w:val="0"/>
          <w:marRight w:val="0"/>
          <w:marTop w:val="0"/>
          <w:marBottom w:val="0"/>
          <w:divBdr>
            <w:top w:val="none" w:sz="0" w:space="0" w:color="auto"/>
            <w:left w:val="none" w:sz="0" w:space="0" w:color="auto"/>
            <w:bottom w:val="none" w:sz="0" w:space="0" w:color="auto"/>
            <w:right w:val="none" w:sz="0" w:space="0" w:color="auto"/>
          </w:divBdr>
        </w:div>
        <w:div w:id="1095398275">
          <w:marLeft w:val="0"/>
          <w:marRight w:val="0"/>
          <w:marTop w:val="0"/>
          <w:marBottom w:val="0"/>
          <w:divBdr>
            <w:top w:val="none" w:sz="0" w:space="0" w:color="auto"/>
            <w:left w:val="none" w:sz="0" w:space="0" w:color="auto"/>
            <w:bottom w:val="none" w:sz="0" w:space="0" w:color="auto"/>
            <w:right w:val="none" w:sz="0" w:space="0" w:color="auto"/>
          </w:divBdr>
        </w:div>
        <w:div w:id="1134367210">
          <w:marLeft w:val="0"/>
          <w:marRight w:val="0"/>
          <w:marTop w:val="0"/>
          <w:marBottom w:val="0"/>
          <w:divBdr>
            <w:top w:val="none" w:sz="0" w:space="0" w:color="auto"/>
            <w:left w:val="none" w:sz="0" w:space="0" w:color="auto"/>
            <w:bottom w:val="none" w:sz="0" w:space="0" w:color="auto"/>
            <w:right w:val="none" w:sz="0" w:space="0" w:color="auto"/>
          </w:divBdr>
        </w:div>
        <w:div w:id="1246304803">
          <w:marLeft w:val="0"/>
          <w:marRight w:val="0"/>
          <w:marTop w:val="0"/>
          <w:marBottom w:val="0"/>
          <w:divBdr>
            <w:top w:val="none" w:sz="0" w:space="0" w:color="auto"/>
            <w:left w:val="none" w:sz="0" w:space="0" w:color="auto"/>
            <w:bottom w:val="none" w:sz="0" w:space="0" w:color="auto"/>
            <w:right w:val="none" w:sz="0" w:space="0" w:color="auto"/>
          </w:divBdr>
        </w:div>
        <w:div w:id="1275477072">
          <w:marLeft w:val="0"/>
          <w:marRight w:val="0"/>
          <w:marTop w:val="0"/>
          <w:marBottom w:val="0"/>
          <w:divBdr>
            <w:top w:val="none" w:sz="0" w:space="0" w:color="auto"/>
            <w:left w:val="none" w:sz="0" w:space="0" w:color="auto"/>
            <w:bottom w:val="none" w:sz="0" w:space="0" w:color="auto"/>
            <w:right w:val="none" w:sz="0" w:space="0" w:color="auto"/>
          </w:divBdr>
        </w:div>
        <w:div w:id="1279532380">
          <w:marLeft w:val="0"/>
          <w:marRight w:val="0"/>
          <w:marTop w:val="0"/>
          <w:marBottom w:val="0"/>
          <w:divBdr>
            <w:top w:val="none" w:sz="0" w:space="0" w:color="auto"/>
            <w:left w:val="none" w:sz="0" w:space="0" w:color="auto"/>
            <w:bottom w:val="none" w:sz="0" w:space="0" w:color="auto"/>
            <w:right w:val="none" w:sz="0" w:space="0" w:color="auto"/>
          </w:divBdr>
        </w:div>
        <w:div w:id="1580754737">
          <w:marLeft w:val="0"/>
          <w:marRight w:val="0"/>
          <w:marTop w:val="0"/>
          <w:marBottom w:val="0"/>
          <w:divBdr>
            <w:top w:val="none" w:sz="0" w:space="0" w:color="auto"/>
            <w:left w:val="none" w:sz="0" w:space="0" w:color="auto"/>
            <w:bottom w:val="none" w:sz="0" w:space="0" w:color="auto"/>
            <w:right w:val="none" w:sz="0" w:space="0" w:color="auto"/>
          </w:divBdr>
        </w:div>
        <w:div w:id="1624338219">
          <w:marLeft w:val="0"/>
          <w:marRight w:val="0"/>
          <w:marTop w:val="0"/>
          <w:marBottom w:val="0"/>
          <w:divBdr>
            <w:top w:val="none" w:sz="0" w:space="0" w:color="auto"/>
            <w:left w:val="none" w:sz="0" w:space="0" w:color="auto"/>
            <w:bottom w:val="none" w:sz="0" w:space="0" w:color="auto"/>
            <w:right w:val="none" w:sz="0" w:space="0" w:color="auto"/>
          </w:divBdr>
        </w:div>
        <w:div w:id="1648511500">
          <w:marLeft w:val="0"/>
          <w:marRight w:val="0"/>
          <w:marTop w:val="0"/>
          <w:marBottom w:val="0"/>
          <w:divBdr>
            <w:top w:val="none" w:sz="0" w:space="0" w:color="auto"/>
            <w:left w:val="none" w:sz="0" w:space="0" w:color="auto"/>
            <w:bottom w:val="none" w:sz="0" w:space="0" w:color="auto"/>
            <w:right w:val="none" w:sz="0" w:space="0" w:color="auto"/>
          </w:divBdr>
        </w:div>
        <w:div w:id="1669668607">
          <w:marLeft w:val="0"/>
          <w:marRight w:val="0"/>
          <w:marTop w:val="0"/>
          <w:marBottom w:val="0"/>
          <w:divBdr>
            <w:top w:val="none" w:sz="0" w:space="0" w:color="auto"/>
            <w:left w:val="none" w:sz="0" w:space="0" w:color="auto"/>
            <w:bottom w:val="none" w:sz="0" w:space="0" w:color="auto"/>
            <w:right w:val="none" w:sz="0" w:space="0" w:color="auto"/>
          </w:divBdr>
        </w:div>
        <w:div w:id="1746686423">
          <w:marLeft w:val="0"/>
          <w:marRight w:val="0"/>
          <w:marTop w:val="0"/>
          <w:marBottom w:val="0"/>
          <w:divBdr>
            <w:top w:val="none" w:sz="0" w:space="0" w:color="auto"/>
            <w:left w:val="none" w:sz="0" w:space="0" w:color="auto"/>
            <w:bottom w:val="none" w:sz="0" w:space="0" w:color="auto"/>
            <w:right w:val="none" w:sz="0" w:space="0" w:color="auto"/>
          </w:divBdr>
        </w:div>
        <w:div w:id="1772310315">
          <w:marLeft w:val="0"/>
          <w:marRight w:val="0"/>
          <w:marTop w:val="0"/>
          <w:marBottom w:val="0"/>
          <w:divBdr>
            <w:top w:val="none" w:sz="0" w:space="0" w:color="auto"/>
            <w:left w:val="none" w:sz="0" w:space="0" w:color="auto"/>
            <w:bottom w:val="none" w:sz="0" w:space="0" w:color="auto"/>
            <w:right w:val="none" w:sz="0" w:space="0" w:color="auto"/>
          </w:divBdr>
        </w:div>
        <w:div w:id="1913151597">
          <w:marLeft w:val="0"/>
          <w:marRight w:val="0"/>
          <w:marTop w:val="0"/>
          <w:marBottom w:val="0"/>
          <w:divBdr>
            <w:top w:val="none" w:sz="0" w:space="0" w:color="auto"/>
            <w:left w:val="none" w:sz="0" w:space="0" w:color="auto"/>
            <w:bottom w:val="none" w:sz="0" w:space="0" w:color="auto"/>
            <w:right w:val="none" w:sz="0" w:space="0" w:color="auto"/>
          </w:divBdr>
        </w:div>
        <w:div w:id="1921594326">
          <w:marLeft w:val="0"/>
          <w:marRight w:val="0"/>
          <w:marTop w:val="0"/>
          <w:marBottom w:val="0"/>
          <w:divBdr>
            <w:top w:val="none" w:sz="0" w:space="0" w:color="auto"/>
            <w:left w:val="none" w:sz="0" w:space="0" w:color="auto"/>
            <w:bottom w:val="none" w:sz="0" w:space="0" w:color="auto"/>
            <w:right w:val="none" w:sz="0" w:space="0" w:color="auto"/>
          </w:divBdr>
        </w:div>
        <w:div w:id="1989631586">
          <w:marLeft w:val="0"/>
          <w:marRight w:val="0"/>
          <w:marTop w:val="0"/>
          <w:marBottom w:val="0"/>
          <w:divBdr>
            <w:top w:val="none" w:sz="0" w:space="0" w:color="auto"/>
            <w:left w:val="none" w:sz="0" w:space="0" w:color="auto"/>
            <w:bottom w:val="none" w:sz="0" w:space="0" w:color="auto"/>
            <w:right w:val="none" w:sz="0" w:space="0" w:color="auto"/>
          </w:divBdr>
        </w:div>
        <w:div w:id="2129272808">
          <w:marLeft w:val="0"/>
          <w:marRight w:val="0"/>
          <w:marTop w:val="0"/>
          <w:marBottom w:val="0"/>
          <w:divBdr>
            <w:top w:val="none" w:sz="0" w:space="0" w:color="auto"/>
            <w:left w:val="none" w:sz="0" w:space="0" w:color="auto"/>
            <w:bottom w:val="none" w:sz="0" w:space="0" w:color="auto"/>
            <w:right w:val="none" w:sz="0" w:space="0" w:color="auto"/>
          </w:divBdr>
        </w:div>
      </w:divsChild>
    </w:div>
    <w:div w:id="1873103713">
      <w:bodyDiv w:val="1"/>
      <w:marLeft w:val="0"/>
      <w:marRight w:val="0"/>
      <w:marTop w:val="0"/>
      <w:marBottom w:val="0"/>
      <w:divBdr>
        <w:top w:val="none" w:sz="0" w:space="0" w:color="auto"/>
        <w:left w:val="none" w:sz="0" w:space="0" w:color="auto"/>
        <w:bottom w:val="none" w:sz="0" w:space="0" w:color="auto"/>
        <w:right w:val="none" w:sz="0" w:space="0" w:color="auto"/>
      </w:divBdr>
      <w:divsChild>
        <w:div w:id="155852311">
          <w:marLeft w:val="0"/>
          <w:marRight w:val="0"/>
          <w:marTop w:val="0"/>
          <w:marBottom w:val="0"/>
          <w:divBdr>
            <w:top w:val="none" w:sz="0" w:space="0" w:color="auto"/>
            <w:left w:val="none" w:sz="0" w:space="0" w:color="auto"/>
            <w:bottom w:val="none" w:sz="0" w:space="0" w:color="auto"/>
            <w:right w:val="none" w:sz="0" w:space="0" w:color="auto"/>
          </w:divBdr>
        </w:div>
        <w:div w:id="185557709">
          <w:marLeft w:val="0"/>
          <w:marRight w:val="0"/>
          <w:marTop w:val="0"/>
          <w:marBottom w:val="0"/>
          <w:divBdr>
            <w:top w:val="none" w:sz="0" w:space="0" w:color="auto"/>
            <w:left w:val="none" w:sz="0" w:space="0" w:color="auto"/>
            <w:bottom w:val="none" w:sz="0" w:space="0" w:color="auto"/>
            <w:right w:val="none" w:sz="0" w:space="0" w:color="auto"/>
          </w:divBdr>
          <w:divsChild>
            <w:div w:id="262882139">
              <w:marLeft w:val="0"/>
              <w:marRight w:val="0"/>
              <w:marTop w:val="0"/>
              <w:marBottom w:val="0"/>
              <w:divBdr>
                <w:top w:val="none" w:sz="0" w:space="0" w:color="auto"/>
                <w:left w:val="none" w:sz="0" w:space="0" w:color="auto"/>
                <w:bottom w:val="none" w:sz="0" w:space="0" w:color="auto"/>
                <w:right w:val="none" w:sz="0" w:space="0" w:color="auto"/>
              </w:divBdr>
            </w:div>
            <w:div w:id="753353516">
              <w:marLeft w:val="0"/>
              <w:marRight w:val="0"/>
              <w:marTop w:val="0"/>
              <w:marBottom w:val="0"/>
              <w:divBdr>
                <w:top w:val="none" w:sz="0" w:space="0" w:color="auto"/>
                <w:left w:val="none" w:sz="0" w:space="0" w:color="auto"/>
                <w:bottom w:val="none" w:sz="0" w:space="0" w:color="auto"/>
                <w:right w:val="none" w:sz="0" w:space="0" w:color="auto"/>
              </w:divBdr>
            </w:div>
            <w:div w:id="795218016">
              <w:marLeft w:val="0"/>
              <w:marRight w:val="0"/>
              <w:marTop w:val="0"/>
              <w:marBottom w:val="0"/>
              <w:divBdr>
                <w:top w:val="none" w:sz="0" w:space="0" w:color="auto"/>
                <w:left w:val="none" w:sz="0" w:space="0" w:color="auto"/>
                <w:bottom w:val="none" w:sz="0" w:space="0" w:color="auto"/>
                <w:right w:val="none" w:sz="0" w:space="0" w:color="auto"/>
              </w:divBdr>
            </w:div>
            <w:div w:id="1689677708">
              <w:marLeft w:val="0"/>
              <w:marRight w:val="0"/>
              <w:marTop w:val="0"/>
              <w:marBottom w:val="0"/>
              <w:divBdr>
                <w:top w:val="none" w:sz="0" w:space="0" w:color="auto"/>
                <w:left w:val="none" w:sz="0" w:space="0" w:color="auto"/>
                <w:bottom w:val="none" w:sz="0" w:space="0" w:color="auto"/>
                <w:right w:val="none" w:sz="0" w:space="0" w:color="auto"/>
              </w:divBdr>
            </w:div>
            <w:div w:id="1715497672">
              <w:marLeft w:val="0"/>
              <w:marRight w:val="0"/>
              <w:marTop w:val="0"/>
              <w:marBottom w:val="0"/>
              <w:divBdr>
                <w:top w:val="none" w:sz="0" w:space="0" w:color="auto"/>
                <w:left w:val="none" w:sz="0" w:space="0" w:color="auto"/>
                <w:bottom w:val="none" w:sz="0" w:space="0" w:color="auto"/>
                <w:right w:val="none" w:sz="0" w:space="0" w:color="auto"/>
              </w:divBdr>
            </w:div>
            <w:div w:id="2083671093">
              <w:marLeft w:val="0"/>
              <w:marRight w:val="0"/>
              <w:marTop w:val="0"/>
              <w:marBottom w:val="0"/>
              <w:divBdr>
                <w:top w:val="none" w:sz="0" w:space="0" w:color="auto"/>
                <w:left w:val="none" w:sz="0" w:space="0" w:color="auto"/>
                <w:bottom w:val="none" w:sz="0" w:space="0" w:color="auto"/>
                <w:right w:val="none" w:sz="0" w:space="0" w:color="auto"/>
              </w:divBdr>
            </w:div>
          </w:divsChild>
        </w:div>
        <w:div w:id="1350566151">
          <w:marLeft w:val="0"/>
          <w:marRight w:val="0"/>
          <w:marTop w:val="0"/>
          <w:marBottom w:val="0"/>
          <w:divBdr>
            <w:top w:val="none" w:sz="0" w:space="0" w:color="auto"/>
            <w:left w:val="none" w:sz="0" w:space="0" w:color="auto"/>
            <w:bottom w:val="none" w:sz="0" w:space="0" w:color="auto"/>
            <w:right w:val="none" w:sz="0" w:space="0" w:color="auto"/>
          </w:divBdr>
        </w:div>
        <w:div w:id="2012416291">
          <w:marLeft w:val="0"/>
          <w:marRight w:val="0"/>
          <w:marTop w:val="0"/>
          <w:marBottom w:val="0"/>
          <w:divBdr>
            <w:top w:val="none" w:sz="0" w:space="0" w:color="auto"/>
            <w:left w:val="none" w:sz="0" w:space="0" w:color="auto"/>
            <w:bottom w:val="none" w:sz="0" w:space="0" w:color="auto"/>
            <w:right w:val="none" w:sz="0" w:space="0" w:color="auto"/>
          </w:divBdr>
        </w:div>
        <w:div w:id="2106268107">
          <w:marLeft w:val="0"/>
          <w:marRight w:val="0"/>
          <w:marTop w:val="0"/>
          <w:marBottom w:val="0"/>
          <w:divBdr>
            <w:top w:val="none" w:sz="0" w:space="0" w:color="auto"/>
            <w:left w:val="none" w:sz="0" w:space="0" w:color="auto"/>
            <w:bottom w:val="none" w:sz="0" w:space="0" w:color="auto"/>
            <w:right w:val="none" w:sz="0" w:space="0" w:color="auto"/>
          </w:divBdr>
        </w:div>
      </w:divsChild>
    </w:div>
    <w:div w:id="1895043211">
      <w:bodyDiv w:val="1"/>
      <w:marLeft w:val="0"/>
      <w:marRight w:val="0"/>
      <w:marTop w:val="0"/>
      <w:marBottom w:val="0"/>
      <w:divBdr>
        <w:top w:val="none" w:sz="0" w:space="0" w:color="auto"/>
        <w:left w:val="none" w:sz="0" w:space="0" w:color="auto"/>
        <w:bottom w:val="none" w:sz="0" w:space="0" w:color="auto"/>
        <w:right w:val="none" w:sz="0" w:space="0" w:color="auto"/>
      </w:divBdr>
    </w:div>
    <w:div w:id="1965502618">
      <w:bodyDiv w:val="1"/>
      <w:marLeft w:val="0"/>
      <w:marRight w:val="0"/>
      <w:marTop w:val="0"/>
      <w:marBottom w:val="0"/>
      <w:divBdr>
        <w:top w:val="none" w:sz="0" w:space="0" w:color="auto"/>
        <w:left w:val="none" w:sz="0" w:space="0" w:color="auto"/>
        <w:bottom w:val="none" w:sz="0" w:space="0" w:color="auto"/>
        <w:right w:val="none" w:sz="0" w:space="0" w:color="auto"/>
      </w:divBdr>
    </w:div>
    <w:div w:id="1995835727">
      <w:bodyDiv w:val="1"/>
      <w:marLeft w:val="0"/>
      <w:marRight w:val="0"/>
      <w:marTop w:val="0"/>
      <w:marBottom w:val="0"/>
      <w:divBdr>
        <w:top w:val="none" w:sz="0" w:space="0" w:color="auto"/>
        <w:left w:val="none" w:sz="0" w:space="0" w:color="auto"/>
        <w:bottom w:val="none" w:sz="0" w:space="0" w:color="auto"/>
        <w:right w:val="none" w:sz="0" w:space="0" w:color="auto"/>
      </w:divBdr>
      <w:divsChild>
        <w:div w:id="99375246">
          <w:marLeft w:val="0"/>
          <w:marRight w:val="0"/>
          <w:marTop w:val="0"/>
          <w:marBottom w:val="0"/>
          <w:divBdr>
            <w:top w:val="none" w:sz="0" w:space="0" w:color="auto"/>
            <w:left w:val="none" w:sz="0" w:space="0" w:color="auto"/>
            <w:bottom w:val="none" w:sz="0" w:space="0" w:color="auto"/>
            <w:right w:val="none" w:sz="0" w:space="0" w:color="auto"/>
          </w:divBdr>
        </w:div>
        <w:div w:id="666250086">
          <w:marLeft w:val="0"/>
          <w:marRight w:val="0"/>
          <w:marTop w:val="0"/>
          <w:marBottom w:val="0"/>
          <w:divBdr>
            <w:top w:val="none" w:sz="0" w:space="0" w:color="auto"/>
            <w:left w:val="none" w:sz="0" w:space="0" w:color="auto"/>
            <w:bottom w:val="none" w:sz="0" w:space="0" w:color="auto"/>
            <w:right w:val="none" w:sz="0" w:space="0" w:color="auto"/>
          </w:divBdr>
        </w:div>
        <w:div w:id="1499737380">
          <w:marLeft w:val="0"/>
          <w:marRight w:val="0"/>
          <w:marTop w:val="0"/>
          <w:marBottom w:val="0"/>
          <w:divBdr>
            <w:top w:val="none" w:sz="0" w:space="0" w:color="auto"/>
            <w:left w:val="none" w:sz="0" w:space="0" w:color="auto"/>
            <w:bottom w:val="none" w:sz="0" w:space="0" w:color="auto"/>
            <w:right w:val="none" w:sz="0" w:space="0" w:color="auto"/>
          </w:divBdr>
        </w:div>
        <w:div w:id="1555048267">
          <w:marLeft w:val="0"/>
          <w:marRight w:val="0"/>
          <w:marTop w:val="0"/>
          <w:marBottom w:val="0"/>
          <w:divBdr>
            <w:top w:val="none" w:sz="0" w:space="0" w:color="auto"/>
            <w:left w:val="none" w:sz="0" w:space="0" w:color="auto"/>
            <w:bottom w:val="none" w:sz="0" w:space="0" w:color="auto"/>
            <w:right w:val="none" w:sz="0" w:space="0" w:color="auto"/>
          </w:divBdr>
        </w:div>
      </w:divsChild>
    </w:div>
    <w:div w:id="2099053977">
      <w:bodyDiv w:val="1"/>
      <w:marLeft w:val="0"/>
      <w:marRight w:val="0"/>
      <w:marTop w:val="0"/>
      <w:marBottom w:val="0"/>
      <w:divBdr>
        <w:top w:val="none" w:sz="0" w:space="0" w:color="auto"/>
        <w:left w:val="none" w:sz="0" w:space="0" w:color="auto"/>
        <w:bottom w:val="none" w:sz="0" w:space="0" w:color="auto"/>
        <w:right w:val="none" w:sz="0" w:space="0" w:color="auto"/>
      </w:divBdr>
      <w:divsChild>
        <w:div w:id="470248574">
          <w:marLeft w:val="0"/>
          <w:marRight w:val="0"/>
          <w:marTop w:val="0"/>
          <w:marBottom w:val="0"/>
          <w:divBdr>
            <w:top w:val="none" w:sz="0" w:space="0" w:color="auto"/>
            <w:left w:val="none" w:sz="0" w:space="0" w:color="auto"/>
            <w:bottom w:val="none" w:sz="0" w:space="0" w:color="auto"/>
            <w:right w:val="none" w:sz="0" w:space="0" w:color="auto"/>
          </w:divBdr>
          <w:divsChild>
            <w:div w:id="463737804">
              <w:marLeft w:val="0"/>
              <w:marRight w:val="0"/>
              <w:marTop w:val="0"/>
              <w:marBottom w:val="0"/>
              <w:divBdr>
                <w:top w:val="none" w:sz="0" w:space="0" w:color="auto"/>
                <w:left w:val="none" w:sz="0" w:space="0" w:color="auto"/>
                <w:bottom w:val="none" w:sz="0" w:space="0" w:color="auto"/>
                <w:right w:val="none" w:sz="0" w:space="0" w:color="auto"/>
              </w:divBdr>
            </w:div>
            <w:div w:id="1601841372">
              <w:marLeft w:val="0"/>
              <w:marRight w:val="0"/>
              <w:marTop w:val="0"/>
              <w:marBottom w:val="0"/>
              <w:divBdr>
                <w:top w:val="none" w:sz="0" w:space="0" w:color="auto"/>
                <w:left w:val="none" w:sz="0" w:space="0" w:color="auto"/>
                <w:bottom w:val="none" w:sz="0" w:space="0" w:color="auto"/>
                <w:right w:val="none" w:sz="0" w:space="0" w:color="auto"/>
              </w:divBdr>
            </w:div>
            <w:div w:id="2119175179">
              <w:marLeft w:val="0"/>
              <w:marRight w:val="0"/>
              <w:marTop w:val="0"/>
              <w:marBottom w:val="0"/>
              <w:divBdr>
                <w:top w:val="none" w:sz="0" w:space="0" w:color="auto"/>
                <w:left w:val="none" w:sz="0" w:space="0" w:color="auto"/>
                <w:bottom w:val="none" w:sz="0" w:space="0" w:color="auto"/>
                <w:right w:val="none" w:sz="0" w:space="0" w:color="auto"/>
              </w:divBdr>
            </w:div>
          </w:divsChild>
        </w:div>
        <w:div w:id="1079987928">
          <w:marLeft w:val="0"/>
          <w:marRight w:val="0"/>
          <w:marTop w:val="0"/>
          <w:marBottom w:val="0"/>
          <w:divBdr>
            <w:top w:val="none" w:sz="0" w:space="0" w:color="auto"/>
            <w:left w:val="none" w:sz="0" w:space="0" w:color="auto"/>
            <w:bottom w:val="none" w:sz="0" w:space="0" w:color="auto"/>
            <w:right w:val="none" w:sz="0" w:space="0" w:color="auto"/>
          </w:divBdr>
          <w:divsChild>
            <w:div w:id="118496951">
              <w:marLeft w:val="0"/>
              <w:marRight w:val="0"/>
              <w:marTop w:val="0"/>
              <w:marBottom w:val="0"/>
              <w:divBdr>
                <w:top w:val="none" w:sz="0" w:space="0" w:color="auto"/>
                <w:left w:val="none" w:sz="0" w:space="0" w:color="auto"/>
                <w:bottom w:val="none" w:sz="0" w:space="0" w:color="auto"/>
                <w:right w:val="none" w:sz="0" w:space="0" w:color="auto"/>
              </w:divBdr>
            </w:div>
            <w:div w:id="262766551">
              <w:marLeft w:val="0"/>
              <w:marRight w:val="0"/>
              <w:marTop w:val="0"/>
              <w:marBottom w:val="0"/>
              <w:divBdr>
                <w:top w:val="none" w:sz="0" w:space="0" w:color="auto"/>
                <w:left w:val="none" w:sz="0" w:space="0" w:color="auto"/>
                <w:bottom w:val="none" w:sz="0" w:space="0" w:color="auto"/>
                <w:right w:val="none" w:sz="0" w:space="0" w:color="auto"/>
              </w:divBdr>
            </w:div>
            <w:div w:id="288781181">
              <w:marLeft w:val="0"/>
              <w:marRight w:val="0"/>
              <w:marTop w:val="0"/>
              <w:marBottom w:val="0"/>
              <w:divBdr>
                <w:top w:val="none" w:sz="0" w:space="0" w:color="auto"/>
                <w:left w:val="none" w:sz="0" w:space="0" w:color="auto"/>
                <w:bottom w:val="none" w:sz="0" w:space="0" w:color="auto"/>
                <w:right w:val="none" w:sz="0" w:space="0" w:color="auto"/>
              </w:divBdr>
            </w:div>
            <w:div w:id="444469431">
              <w:marLeft w:val="0"/>
              <w:marRight w:val="0"/>
              <w:marTop w:val="0"/>
              <w:marBottom w:val="0"/>
              <w:divBdr>
                <w:top w:val="none" w:sz="0" w:space="0" w:color="auto"/>
                <w:left w:val="none" w:sz="0" w:space="0" w:color="auto"/>
                <w:bottom w:val="none" w:sz="0" w:space="0" w:color="auto"/>
                <w:right w:val="none" w:sz="0" w:space="0" w:color="auto"/>
              </w:divBdr>
            </w:div>
            <w:div w:id="475689174">
              <w:marLeft w:val="0"/>
              <w:marRight w:val="0"/>
              <w:marTop w:val="0"/>
              <w:marBottom w:val="0"/>
              <w:divBdr>
                <w:top w:val="none" w:sz="0" w:space="0" w:color="auto"/>
                <w:left w:val="none" w:sz="0" w:space="0" w:color="auto"/>
                <w:bottom w:val="none" w:sz="0" w:space="0" w:color="auto"/>
                <w:right w:val="none" w:sz="0" w:space="0" w:color="auto"/>
              </w:divBdr>
            </w:div>
            <w:div w:id="714503208">
              <w:marLeft w:val="0"/>
              <w:marRight w:val="0"/>
              <w:marTop w:val="0"/>
              <w:marBottom w:val="0"/>
              <w:divBdr>
                <w:top w:val="none" w:sz="0" w:space="0" w:color="auto"/>
                <w:left w:val="none" w:sz="0" w:space="0" w:color="auto"/>
                <w:bottom w:val="none" w:sz="0" w:space="0" w:color="auto"/>
                <w:right w:val="none" w:sz="0" w:space="0" w:color="auto"/>
              </w:divBdr>
            </w:div>
            <w:div w:id="723065989">
              <w:marLeft w:val="0"/>
              <w:marRight w:val="0"/>
              <w:marTop w:val="0"/>
              <w:marBottom w:val="0"/>
              <w:divBdr>
                <w:top w:val="none" w:sz="0" w:space="0" w:color="auto"/>
                <w:left w:val="none" w:sz="0" w:space="0" w:color="auto"/>
                <w:bottom w:val="none" w:sz="0" w:space="0" w:color="auto"/>
                <w:right w:val="none" w:sz="0" w:space="0" w:color="auto"/>
              </w:divBdr>
            </w:div>
            <w:div w:id="952370142">
              <w:marLeft w:val="0"/>
              <w:marRight w:val="0"/>
              <w:marTop w:val="0"/>
              <w:marBottom w:val="0"/>
              <w:divBdr>
                <w:top w:val="none" w:sz="0" w:space="0" w:color="auto"/>
                <w:left w:val="none" w:sz="0" w:space="0" w:color="auto"/>
                <w:bottom w:val="none" w:sz="0" w:space="0" w:color="auto"/>
                <w:right w:val="none" w:sz="0" w:space="0" w:color="auto"/>
              </w:divBdr>
            </w:div>
            <w:div w:id="964383661">
              <w:marLeft w:val="0"/>
              <w:marRight w:val="0"/>
              <w:marTop w:val="0"/>
              <w:marBottom w:val="0"/>
              <w:divBdr>
                <w:top w:val="none" w:sz="0" w:space="0" w:color="auto"/>
                <w:left w:val="none" w:sz="0" w:space="0" w:color="auto"/>
                <w:bottom w:val="none" w:sz="0" w:space="0" w:color="auto"/>
                <w:right w:val="none" w:sz="0" w:space="0" w:color="auto"/>
              </w:divBdr>
            </w:div>
            <w:div w:id="977690339">
              <w:marLeft w:val="0"/>
              <w:marRight w:val="0"/>
              <w:marTop w:val="0"/>
              <w:marBottom w:val="0"/>
              <w:divBdr>
                <w:top w:val="none" w:sz="0" w:space="0" w:color="auto"/>
                <w:left w:val="none" w:sz="0" w:space="0" w:color="auto"/>
                <w:bottom w:val="none" w:sz="0" w:space="0" w:color="auto"/>
                <w:right w:val="none" w:sz="0" w:space="0" w:color="auto"/>
              </w:divBdr>
            </w:div>
            <w:div w:id="1149982331">
              <w:marLeft w:val="0"/>
              <w:marRight w:val="0"/>
              <w:marTop w:val="0"/>
              <w:marBottom w:val="0"/>
              <w:divBdr>
                <w:top w:val="none" w:sz="0" w:space="0" w:color="auto"/>
                <w:left w:val="none" w:sz="0" w:space="0" w:color="auto"/>
                <w:bottom w:val="none" w:sz="0" w:space="0" w:color="auto"/>
                <w:right w:val="none" w:sz="0" w:space="0" w:color="auto"/>
              </w:divBdr>
            </w:div>
            <w:div w:id="1322343615">
              <w:marLeft w:val="0"/>
              <w:marRight w:val="0"/>
              <w:marTop w:val="0"/>
              <w:marBottom w:val="0"/>
              <w:divBdr>
                <w:top w:val="none" w:sz="0" w:space="0" w:color="auto"/>
                <w:left w:val="none" w:sz="0" w:space="0" w:color="auto"/>
                <w:bottom w:val="none" w:sz="0" w:space="0" w:color="auto"/>
                <w:right w:val="none" w:sz="0" w:space="0" w:color="auto"/>
              </w:divBdr>
            </w:div>
            <w:div w:id="1391230867">
              <w:marLeft w:val="0"/>
              <w:marRight w:val="0"/>
              <w:marTop w:val="0"/>
              <w:marBottom w:val="0"/>
              <w:divBdr>
                <w:top w:val="none" w:sz="0" w:space="0" w:color="auto"/>
                <w:left w:val="none" w:sz="0" w:space="0" w:color="auto"/>
                <w:bottom w:val="none" w:sz="0" w:space="0" w:color="auto"/>
                <w:right w:val="none" w:sz="0" w:space="0" w:color="auto"/>
              </w:divBdr>
            </w:div>
            <w:div w:id="1601133908">
              <w:marLeft w:val="0"/>
              <w:marRight w:val="0"/>
              <w:marTop w:val="0"/>
              <w:marBottom w:val="0"/>
              <w:divBdr>
                <w:top w:val="none" w:sz="0" w:space="0" w:color="auto"/>
                <w:left w:val="none" w:sz="0" w:space="0" w:color="auto"/>
                <w:bottom w:val="none" w:sz="0" w:space="0" w:color="auto"/>
                <w:right w:val="none" w:sz="0" w:space="0" w:color="auto"/>
              </w:divBdr>
            </w:div>
            <w:div w:id="1609385834">
              <w:marLeft w:val="0"/>
              <w:marRight w:val="0"/>
              <w:marTop w:val="0"/>
              <w:marBottom w:val="0"/>
              <w:divBdr>
                <w:top w:val="none" w:sz="0" w:space="0" w:color="auto"/>
                <w:left w:val="none" w:sz="0" w:space="0" w:color="auto"/>
                <w:bottom w:val="none" w:sz="0" w:space="0" w:color="auto"/>
                <w:right w:val="none" w:sz="0" w:space="0" w:color="auto"/>
              </w:divBdr>
            </w:div>
            <w:div w:id="1679187922">
              <w:marLeft w:val="0"/>
              <w:marRight w:val="0"/>
              <w:marTop w:val="0"/>
              <w:marBottom w:val="0"/>
              <w:divBdr>
                <w:top w:val="none" w:sz="0" w:space="0" w:color="auto"/>
                <w:left w:val="none" w:sz="0" w:space="0" w:color="auto"/>
                <w:bottom w:val="none" w:sz="0" w:space="0" w:color="auto"/>
                <w:right w:val="none" w:sz="0" w:space="0" w:color="auto"/>
              </w:divBdr>
            </w:div>
            <w:div w:id="1704209363">
              <w:marLeft w:val="0"/>
              <w:marRight w:val="0"/>
              <w:marTop w:val="0"/>
              <w:marBottom w:val="0"/>
              <w:divBdr>
                <w:top w:val="none" w:sz="0" w:space="0" w:color="auto"/>
                <w:left w:val="none" w:sz="0" w:space="0" w:color="auto"/>
                <w:bottom w:val="none" w:sz="0" w:space="0" w:color="auto"/>
                <w:right w:val="none" w:sz="0" w:space="0" w:color="auto"/>
              </w:divBdr>
            </w:div>
            <w:div w:id="1729110176">
              <w:marLeft w:val="0"/>
              <w:marRight w:val="0"/>
              <w:marTop w:val="0"/>
              <w:marBottom w:val="0"/>
              <w:divBdr>
                <w:top w:val="none" w:sz="0" w:space="0" w:color="auto"/>
                <w:left w:val="none" w:sz="0" w:space="0" w:color="auto"/>
                <w:bottom w:val="none" w:sz="0" w:space="0" w:color="auto"/>
                <w:right w:val="none" w:sz="0" w:space="0" w:color="auto"/>
              </w:divBdr>
            </w:div>
          </w:divsChild>
        </w:div>
        <w:div w:id="2099211648">
          <w:marLeft w:val="0"/>
          <w:marRight w:val="0"/>
          <w:marTop w:val="0"/>
          <w:marBottom w:val="0"/>
          <w:divBdr>
            <w:top w:val="none" w:sz="0" w:space="0" w:color="auto"/>
            <w:left w:val="none" w:sz="0" w:space="0" w:color="auto"/>
            <w:bottom w:val="none" w:sz="0" w:space="0" w:color="auto"/>
            <w:right w:val="none" w:sz="0" w:space="0" w:color="auto"/>
          </w:divBdr>
          <w:divsChild>
            <w:div w:id="48262175">
              <w:marLeft w:val="0"/>
              <w:marRight w:val="0"/>
              <w:marTop w:val="0"/>
              <w:marBottom w:val="0"/>
              <w:divBdr>
                <w:top w:val="none" w:sz="0" w:space="0" w:color="auto"/>
                <w:left w:val="none" w:sz="0" w:space="0" w:color="auto"/>
                <w:bottom w:val="none" w:sz="0" w:space="0" w:color="auto"/>
                <w:right w:val="none" w:sz="0" w:space="0" w:color="auto"/>
              </w:divBdr>
            </w:div>
            <w:div w:id="401565736">
              <w:marLeft w:val="0"/>
              <w:marRight w:val="0"/>
              <w:marTop w:val="0"/>
              <w:marBottom w:val="0"/>
              <w:divBdr>
                <w:top w:val="none" w:sz="0" w:space="0" w:color="auto"/>
                <w:left w:val="none" w:sz="0" w:space="0" w:color="auto"/>
                <w:bottom w:val="none" w:sz="0" w:space="0" w:color="auto"/>
                <w:right w:val="none" w:sz="0" w:space="0" w:color="auto"/>
              </w:divBdr>
            </w:div>
            <w:div w:id="490147363">
              <w:marLeft w:val="0"/>
              <w:marRight w:val="0"/>
              <w:marTop w:val="0"/>
              <w:marBottom w:val="0"/>
              <w:divBdr>
                <w:top w:val="none" w:sz="0" w:space="0" w:color="auto"/>
                <w:left w:val="none" w:sz="0" w:space="0" w:color="auto"/>
                <w:bottom w:val="none" w:sz="0" w:space="0" w:color="auto"/>
                <w:right w:val="none" w:sz="0" w:space="0" w:color="auto"/>
              </w:divBdr>
            </w:div>
            <w:div w:id="670258435">
              <w:marLeft w:val="0"/>
              <w:marRight w:val="0"/>
              <w:marTop w:val="0"/>
              <w:marBottom w:val="0"/>
              <w:divBdr>
                <w:top w:val="none" w:sz="0" w:space="0" w:color="auto"/>
                <w:left w:val="none" w:sz="0" w:space="0" w:color="auto"/>
                <w:bottom w:val="none" w:sz="0" w:space="0" w:color="auto"/>
                <w:right w:val="none" w:sz="0" w:space="0" w:color="auto"/>
              </w:divBdr>
            </w:div>
            <w:div w:id="731274752">
              <w:marLeft w:val="0"/>
              <w:marRight w:val="0"/>
              <w:marTop w:val="0"/>
              <w:marBottom w:val="0"/>
              <w:divBdr>
                <w:top w:val="none" w:sz="0" w:space="0" w:color="auto"/>
                <w:left w:val="none" w:sz="0" w:space="0" w:color="auto"/>
                <w:bottom w:val="none" w:sz="0" w:space="0" w:color="auto"/>
                <w:right w:val="none" w:sz="0" w:space="0" w:color="auto"/>
              </w:divBdr>
            </w:div>
            <w:div w:id="771824903">
              <w:marLeft w:val="0"/>
              <w:marRight w:val="0"/>
              <w:marTop w:val="0"/>
              <w:marBottom w:val="0"/>
              <w:divBdr>
                <w:top w:val="none" w:sz="0" w:space="0" w:color="auto"/>
                <w:left w:val="none" w:sz="0" w:space="0" w:color="auto"/>
                <w:bottom w:val="none" w:sz="0" w:space="0" w:color="auto"/>
                <w:right w:val="none" w:sz="0" w:space="0" w:color="auto"/>
              </w:divBdr>
            </w:div>
            <w:div w:id="831717978">
              <w:marLeft w:val="0"/>
              <w:marRight w:val="0"/>
              <w:marTop w:val="0"/>
              <w:marBottom w:val="0"/>
              <w:divBdr>
                <w:top w:val="none" w:sz="0" w:space="0" w:color="auto"/>
                <w:left w:val="none" w:sz="0" w:space="0" w:color="auto"/>
                <w:bottom w:val="none" w:sz="0" w:space="0" w:color="auto"/>
                <w:right w:val="none" w:sz="0" w:space="0" w:color="auto"/>
              </w:divBdr>
            </w:div>
            <w:div w:id="1335299716">
              <w:marLeft w:val="0"/>
              <w:marRight w:val="0"/>
              <w:marTop w:val="0"/>
              <w:marBottom w:val="0"/>
              <w:divBdr>
                <w:top w:val="none" w:sz="0" w:space="0" w:color="auto"/>
                <w:left w:val="none" w:sz="0" w:space="0" w:color="auto"/>
                <w:bottom w:val="none" w:sz="0" w:space="0" w:color="auto"/>
                <w:right w:val="none" w:sz="0" w:space="0" w:color="auto"/>
              </w:divBdr>
            </w:div>
            <w:div w:id="1446535383">
              <w:marLeft w:val="0"/>
              <w:marRight w:val="0"/>
              <w:marTop w:val="0"/>
              <w:marBottom w:val="0"/>
              <w:divBdr>
                <w:top w:val="none" w:sz="0" w:space="0" w:color="auto"/>
                <w:left w:val="none" w:sz="0" w:space="0" w:color="auto"/>
                <w:bottom w:val="none" w:sz="0" w:space="0" w:color="auto"/>
                <w:right w:val="none" w:sz="0" w:space="0" w:color="auto"/>
              </w:divBdr>
            </w:div>
            <w:div w:id="1499074587">
              <w:marLeft w:val="0"/>
              <w:marRight w:val="0"/>
              <w:marTop w:val="0"/>
              <w:marBottom w:val="0"/>
              <w:divBdr>
                <w:top w:val="none" w:sz="0" w:space="0" w:color="auto"/>
                <w:left w:val="none" w:sz="0" w:space="0" w:color="auto"/>
                <w:bottom w:val="none" w:sz="0" w:space="0" w:color="auto"/>
                <w:right w:val="none" w:sz="0" w:space="0" w:color="auto"/>
              </w:divBdr>
            </w:div>
            <w:div w:id="1521237404">
              <w:marLeft w:val="0"/>
              <w:marRight w:val="0"/>
              <w:marTop w:val="0"/>
              <w:marBottom w:val="0"/>
              <w:divBdr>
                <w:top w:val="none" w:sz="0" w:space="0" w:color="auto"/>
                <w:left w:val="none" w:sz="0" w:space="0" w:color="auto"/>
                <w:bottom w:val="none" w:sz="0" w:space="0" w:color="auto"/>
                <w:right w:val="none" w:sz="0" w:space="0" w:color="auto"/>
              </w:divBdr>
            </w:div>
            <w:div w:id="1590458976">
              <w:marLeft w:val="0"/>
              <w:marRight w:val="0"/>
              <w:marTop w:val="0"/>
              <w:marBottom w:val="0"/>
              <w:divBdr>
                <w:top w:val="none" w:sz="0" w:space="0" w:color="auto"/>
                <w:left w:val="none" w:sz="0" w:space="0" w:color="auto"/>
                <w:bottom w:val="none" w:sz="0" w:space="0" w:color="auto"/>
                <w:right w:val="none" w:sz="0" w:space="0" w:color="auto"/>
              </w:divBdr>
            </w:div>
            <w:div w:id="1729037064">
              <w:marLeft w:val="0"/>
              <w:marRight w:val="0"/>
              <w:marTop w:val="0"/>
              <w:marBottom w:val="0"/>
              <w:divBdr>
                <w:top w:val="none" w:sz="0" w:space="0" w:color="auto"/>
                <w:left w:val="none" w:sz="0" w:space="0" w:color="auto"/>
                <w:bottom w:val="none" w:sz="0" w:space="0" w:color="auto"/>
                <w:right w:val="none" w:sz="0" w:space="0" w:color="auto"/>
              </w:divBdr>
            </w:div>
            <w:div w:id="1878815561">
              <w:marLeft w:val="0"/>
              <w:marRight w:val="0"/>
              <w:marTop w:val="0"/>
              <w:marBottom w:val="0"/>
              <w:divBdr>
                <w:top w:val="none" w:sz="0" w:space="0" w:color="auto"/>
                <w:left w:val="none" w:sz="0" w:space="0" w:color="auto"/>
                <w:bottom w:val="none" w:sz="0" w:space="0" w:color="auto"/>
                <w:right w:val="none" w:sz="0" w:space="0" w:color="auto"/>
              </w:divBdr>
            </w:div>
            <w:div w:id="1974405514">
              <w:marLeft w:val="0"/>
              <w:marRight w:val="0"/>
              <w:marTop w:val="0"/>
              <w:marBottom w:val="0"/>
              <w:divBdr>
                <w:top w:val="none" w:sz="0" w:space="0" w:color="auto"/>
                <w:left w:val="none" w:sz="0" w:space="0" w:color="auto"/>
                <w:bottom w:val="none" w:sz="0" w:space="0" w:color="auto"/>
                <w:right w:val="none" w:sz="0" w:space="0" w:color="auto"/>
              </w:divBdr>
            </w:div>
            <w:div w:id="2088260048">
              <w:marLeft w:val="0"/>
              <w:marRight w:val="0"/>
              <w:marTop w:val="0"/>
              <w:marBottom w:val="0"/>
              <w:divBdr>
                <w:top w:val="none" w:sz="0" w:space="0" w:color="auto"/>
                <w:left w:val="none" w:sz="0" w:space="0" w:color="auto"/>
                <w:bottom w:val="none" w:sz="0" w:space="0" w:color="auto"/>
                <w:right w:val="none" w:sz="0" w:space="0" w:color="auto"/>
              </w:divBdr>
            </w:div>
            <w:div w:id="2091535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6800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image" Target="media/image6.png"/><Relationship Id="rId26" Type="http://schemas.openxmlformats.org/officeDocument/2006/relationships/image" Target="media/image11.png"/><Relationship Id="rId3" Type="http://schemas.openxmlformats.org/officeDocument/2006/relationships/customXml" Target="../customXml/item3.xml"/><Relationship Id="rId21" Type="http://schemas.openxmlformats.org/officeDocument/2006/relationships/image" Target="media/image8.emf"/><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png"/><Relationship Id="rId25" Type="http://schemas.openxmlformats.org/officeDocument/2006/relationships/image" Target="media/image10.png"/><Relationship Id="rId2" Type="http://schemas.openxmlformats.org/officeDocument/2006/relationships/customXml" Target="../customXml/item2.xml"/><Relationship Id="rId16" Type="http://schemas.openxmlformats.org/officeDocument/2006/relationships/footer" Target="footer1.xml"/><Relationship Id="rId20" Type="http://schemas.openxmlformats.org/officeDocument/2006/relationships/image" Target="media/image7.tmp"/><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chart" Target="charts/chart1.xml"/><Relationship Id="rId5" Type="http://schemas.openxmlformats.org/officeDocument/2006/relationships/numbering" Target="numbering.xml"/><Relationship Id="rId15" Type="http://schemas.openxmlformats.org/officeDocument/2006/relationships/header" Target="header1.xml"/><Relationship Id="rId23" Type="http://schemas.openxmlformats.org/officeDocument/2006/relationships/image" Target="media/image9.png"/><Relationship Id="rId28"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hyperlink" Target="https://sbinteractivo.sb.gob.do/Account/Signin" TargetMode="External"/><Relationship Id="rId31" Type="http://schemas.microsoft.com/office/2020/10/relationships/intelligence" Target="intelligence2.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package" Target="embeddings/Microsoft_Excel_Worksheet.xlsx"/><Relationship Id="rId27" Type="http://schemas.openxmlformats.org/officeDocument/2006/relationships/header" Target="header2.xml"/><Relationship Id="rId30"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image" Target="media/image12.jpeg"/></Relationships>
</file>

<file path=word/charts/_rels/chart1.xml.rels><?xml version="1.0" encoding="UTF-8" standalone="yes"?>
<Relationships xmlns="http://schemas.openxmlformats.org/package/2006/relationships"><Relationship Id="rId3" Type="http://schemas.openxmlformats.org/officeDocument/2006/relationships/package" Target="../embeddings/Microsoft_Excel_Worksheet1.xlsx"/><Relationship Id="rId2" Type="http://schemas.microsoft.com/office/2011/relationships/chartColorStyle" Target="colors1.xml"/><Relationship Id="rId1" Type="http://schemas.microsoft.com/office/2011/relationships/chartStyle" Target="styl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s-E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r>
              <a:rPr lang="en-US" sz="1200">
                <a:latin typeface="Times New Roman" panose="02020603050405020304" pitchFamily="18" charset="0"/>
                <a:cs typeface="Times New Roman" panose="02020603050405020304" pitchFamily="18" charset="0"/>
              </a:rPr>
              <a:t>% Ejecución por Eje Estratégico</a:t>
            </a:r>
          </a:p>
        </c:rich>
      </c:tx>
      <c:overlay val="0"/>
      <c:spPr>
        <a:noFill/>
        <a:ln>
          <a:noFill/>
        </a:ln>
        <a:effectLst/>
      </c:spPr>
      <c:txPr>
        <a:bodyPr rot="0" spcFirstLastPara="1" vertOverflow="ellipsis" vert="horz" wrap="square" anchor="ctr" anchorCtr="1"/>
        <a:lstStyle/>
        <a:p>
          <a:pPr>
            <a:defRPr sz="1200" b="0" i="0" u="none" strike="noStrike" kern="1200" spc="0" baseline="0">
              <a:solidFill>
                <a:schemeClr val="tx1">
                  <a:lumMod val="65000"/>
                  <a:lumOff val="35000"/>
                </a:schemeClr>
              </a:solidFill>
              <a:latin typeface="Times New Roman" panose="02020603050405020304" pitchFamily="18" charset="0"/>
              <a:ea typeface="+mn-ea"/>
              <a:cs typeface="Times New Roman" panose="02020603050405020304" pitchFamily="18" charset="0"/>
            </a:defRPr>
          </a:pPr>
          <a:endParaRPr lang="es-DO"/>
        </a:p>
      </c:txPr>
    </c:title>
    <c:autoTitleDeleted val="0"/>
    <c:plotArea>
      <c:layout/>
      <c:barChart>
        <c:barDir val="col"/>
        <c:grouping val="clustered"/>
        <c:varyColors val="0"/>
        <c:ser>
          <c:idx val="0"/>
          <c:order val="0"/>
          <c:tx>
            <c:strRef>
              <c:f>Hoja1!$B$1</c:f>
              <c:strCache>
                <c:ptCount val="1"/>
                <c:pt idx="0">
                  <c:v>% Ejecución</c:v>
                </c:pt>
              </c:strCache>
            </c:strRef>
          </c:tx>
          <c:spPr>
            <a:solidFill>
              <a:schemeClr val="accent1">
                <a:lumMod val="75000"/>
              </a:schemeClr>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s-DO"/>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Hoja1!$A$2:$A$7</c:f>
              <c:strCache>
                <c:ptCount val="6"/>
                <c:pt idx="0">
                  <c:v>Eje I</c:v>
                </c:pt>
                <c:pt idx="1">
                  <c:v>Eje II</c:v>
                </c:pt>
                <c:pt idx="2">
                  <c:v>Eje III</c:v>
                </c:pt>
                <c:pt idx="3">
                  <c:v>Eje IV</c:v>
                </c:pt>
                <c:pt idx="4">
                  <c:v>Eje V</c:v>
                </c:pt>
                <c:pt idx="5">
                  <c:v>Eje VI</c:v>
                </c:pt>
              </c:strCache>
            </c:strRef>
          </c:cat>
          <c:val>
            <c:numRef>
              <c:f>Hoja1!$B$2:$B$7</c:f>
              <c:numCache>
                <c:formatCode>0%</c:formatCode>
                <c:ptCount val="6"/>
                <c:pt idx="0">
                  <c:v>0.71</c:v>
                </c:pt>
                <c:pt idx="1">
                  <c:v>0.93</c:v>
                </c:pt>
                <c:pt idx="2">
                  <c:v>0.67</c:v>
                </c:pt>
                <c:pt idx="3">
                  <c:v>0.57999999999999996</c:v>
                </c:pt>
                <c:pt idx="4">
                  <c:v>0.72</c:v>
                </c:pt>
                <c:pt idx="5">
                  <c:v>0.49</c:v>
                </c:pt>
              </c:numCache>
            </c:numRef>
          </c:val>
          <c:extLst>
            <c:ext xmlns:c16="http://schemas.microsoft.com/office/drawing/2014/chart" uri="{C3380CC4-5D6E-409C-BE32-E72D297353CC}">
              <c16:uniqueId val="{00000000-D4A3-4903-AFD2-FF49712A929D}"/>
            </c:ext>
          </c:extLst>
        </c:ser>
        <c:dLbls>
          <c:showLegendKey val="0"/>
          <c:showVal val="1"/>
          <c:showCatName val="0"/>
          <c:showSerName val="0"/>
          <c:showPercent val="0"/>
          <c:showBubbleSize val="0"/>
        </c:dLbls>
        <c:gapWidth val="150"/>
        <c:axId val="1369458335"/>
        <c:axId val="1831970127"/>
      </c:barChart>
      <c:catAx>
        <c:axId val="1369458335"/>
        <c:scaling>
          <c:orientation val="minMax"/>
        </c:scaling>
        <c:delete val="0"/>
        <c:axPos val="b"/>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831970127"/>
        <c:crosses val="autoZero"/>
        <c:auto val="1"/>
        <c:lblAlgn val="ctr"/>
        <c:lblOffset val="100"/>
        <c:noMultiLvlLbl val="0"/>
      </c:catAx>
      <c:valAx>
        <c:axId val="1831970127"/>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crossAx val="1369458335"/>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s-DO"/>
        </a:p>
      </c:txPr>
    </c:legend>
    <c:plotVisOnly val="1"/>
    <c:dispBlanksAs val="gap"/>
    <c:extLst>
      <c:ext xmlns:c16r3="http://schemas.microsoft.com/office/drawing/2017/03/chart" uri="{56B9EC1D-385E-4148-901F-78D8002777C0}">
        <c16r3:dataDisplayOptions16>
          <c16r3:dispNaAsBlank val="1"/>
        </c16r3:dataDisplayOptions16>
      </c:ext>
    </c:extLst>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es-DO"/>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8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59925D5DAF3E0A4893FDBB199FC9739D" ma:contentTypeVersion="11" ma:contentTypeDescription="Crear nuevo documento." ma:contentTypeScope="" ma:versionID="41effd71d3a7ba29a5ca2f7ac6e2660e">
  <xsd:schema xmlns:xsd="http://www.w3.org/2001/XMLSchema" xmlns:xs="http://www.w3.org/2001/XMLSchema" xmlns:p="http://schemas.microsoft.com/office/2006/metadata/properties" xmlns:ns2="90522e38-1962-477c-af98-629becbeab9b" xmlns:ns3="69e4a72e-5d1e-45a6-8064-ff5a35288b5a" targetNamespace="http://schemas.microsoft.com/office/2006/metadata/properties" ma:root="true" ma:fieldsID="49377f6e9d04b9b264b43f6982fe41a9" ns2:_="" ns3:_="">
    <xsd:import namespace="90522e38-1962-477c-af98-629becbeab9b"/>
    <xsd:import namespace="69e4a72e-5d1e-45a6-8064-ff5a35288b5a"/>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3:SharedWithUsers" minOccurs="0"/>
                <xsd:element ref="ns3:SharedWithDetails" minOccurs="0"/>
                <xsd:element ref="ns2:lcf76f155ced4ddcb4097134ff3c332f" minOccurs="0"/>
                <xsd:element ref="ns3:TaxCatchAll"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0522e38-1962-477c-af98-629becbeab9b"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lcf76f155ced4ddcb4097134ff3c332f" ma:index="14" nillable="true" ma:taxonomy="true" ma:internalName="lcf76f155ced4ddcb4097134ff3c332f" ma:taxonomyFieldName="MediaServiceImageTags" ma:displayName="Etiquetas de imagen" ma:readOnly="false" ma:fieldId="{5cf76f15-5ced-4ddc-b409-7134ff3c332f}" ma:taxonomyMulti="true" ma:sspId="c6babf98-e910-45e2-a93c-7cd2858202eb" ma:termSetId="09814cd3-568e-fe90-9814-8d621ff8fb84" ma:anchorId="fba54fb3-c3e1-fe81-a776-ca4b69148c4d" ma:open="true" ma:isKeyword="false">
      <xsd:complexType>
        <xsd:sequence>
          <xsd:element ref="pc:Terms" minOccurs="0" maxOccurs="1"/>
        </xsd:sequence>
      </xsd:complex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69e4a72e-5d1e-45a6-8064-ff5a35288b5a" elementFormDefault="qualified">
    <xsd:import namespace="http://schemas.microsoft.com/office/2006/documentManagement/types"/>
    <xsd:import namespace="http://schemas.microsoft.com/office/infopath/2007/PartnerControls"/>
    <xsd:element name="SharedWithUsers" ma:index="11" nillable="true" ma:displayName="Compartido c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2" nillable="true" ma:displayName="Detalles de uso compartido" ma:internalName="SharedWithDetails" ma:readOnly="true">
      <xsd:simpleType>
        <xsd:restriction base="dms:Note">
          <xsd:maxLength value="255"/>
        </xsd:restriction>
      </xsd:simpleType>
    </xsd:element>
    <xsd:element name="TaxCatchAll" ma:index="15" nillable="true" ma:displayName="Taxonomy Catch All Column" ma:hidden="true" ma:list="{3a6aaffc-b22d-4ef4-a8ea-0114eab11df2}" ma:internalName="TaxCatchAll" ma:showField="CatchAllData" ma:web="69e4a72e-5d1e-45a6-8064-ff5a35288b5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TaxCatchAll xmlns="69e4a72e-5d1e-45a6-8064-ff5a35288b5a" xsi:nil="true"/>
    <lcf76f155ced4ddcb4097134ff3c332f xmlns="90522e38-1962-477c-af98-629becbeab9b">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717C0ED-6A10-40ED-9755-DBBFB36D132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0522e38-1962-477c-af98-629becbeab9b"/>
    <ds:schemaRef ds:uri="69e4a72e-5d1e-45a6-8064-ff5a35288b5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827625E-B64E-46FE-A886-64DFEA18B6BC}">
  <ds:schemaRefs>
    <ds:schemaRef ds:uri="http://schemas.microsoft.com/office/2006/metadata/properties"/>
    <ds:schemaRef ds:uri="http://schemas.microsoft.com/office/infopath/2007/PartnerControls"/>
    <ds:schemaRef ds:uri="69e4a72e-5d1e-45a6-8064-ff5a35288b5a"/>
    <ds:schemaRef ds:uri="90522e38-1962-477c-af98-629becbeab9b"/>
  </ds:schemaRefs>
</ds:datastoreItem>
</file>

<file path=customXml/itemProps3.xml><?xml version="1.0" encoding="utf-8"?>
<ds:datastoreItem xmlns:ds="http://schemas.openxmlformats.org/officeDocument/2006/customXml" ds:itemID="{C0B26193-CA2F-4713-A741-2FD1A8291C60}">
  <ds:schemaRefs>
    <ds:schemaRef ds:uri="http://schemas.microsoft.com/sharepoint/v3/contenttype/forms"/>
  </ds:schemaRefs>
</ds:datastoreItem>
</file>

<file path=customXml/itemProps4.xml><?xml version="1.0" encoding="utf-8"?>
<ds:datastoreItem xmlns:ds="http://schemas.openxmlformats.org/officeDocument/2006/customXml" ds:itemID="{0C121FBF-9883-4A3C-8975-609F161C9F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3568</TotalTime>
  <Pages>117</Pages>
  <Words>22959</Words>
  <Characters>126278</Characters>
  <Application>Microsoft Office Word</Application>
  <DocSecurity>0</DocSecurity>
  <Lines>1052</Lines>
  <Paragraphs>297</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148940</CharactersWithSpaces>
  <SharedDoc>false</SharedDoc>
  <HLinks>
    <vt:vector size="198" baseType="variant">
      <vt:variant>
        <vt:i4>3997748</vt:i4>
      </vt:variant>
      <vt:variant>
        <vt:i4>195</vt:i4>
      </vt:variant>
      <vt:variant>
        <vt:i4>0</vt:i4>
      </vt:variant>
      <vt:variant>
        <vt:i4>5</vt:i4>
      </vt:variant>
      <vt:variant>
        <vt:lpwstr>https://sbinteractivo.sb.gob.do/Account/Signin</vt:lpwstr>
      </vt:variant>
      <vt:variant>
        <vt:lpwstr/>
      </vt:variant>
      <vt:variant>
        <vt:i4>1179710</vt:i4>
      </vt:variant>
      <vt:variant>
        <vt:i4>188</vt:i4>
      </vt:variant>
      <vt:variant>
        <vt:i4>0</vt:i4>
      </vt:variant>
      <vt:variant>
        <vt:i4>5</vt:i4>
      </vt:variant>
      <vt:variant>
        <vt:lpwstr/>
      </vt:variant>
      <vt:variant>
        <vt:lpwstr>_Toc153784439</vt:lpwstr>
      </vt:variant>
      <vt:variant>
        <vt:i4>1179710</vt:i4>
      </vt:variant>
      <vt:variant>
        <vt:i4>182</vt:i4>
      </vt:variant>
      <vt:variant>
        <vt:i4>0</vt:i4>
      </vt:variant>
      <vt:variant>
        <vt:i4>5</vt:i4>
      </vt:variant>
      <vt:variant>
        <vt:lpwstr/>
      </vt:variant>
      <vt:variant>
        <vt:lpwstr>_Toc153784438</vt:lpwstr>
      </vt:variant>
      <vt:variant>
        <vt:i4>1179710</vt:i4>
      </vt:variant>
      <vt:variant>
        <vt:i4>176</vt:i4>
      </vt:variant>
      <vt:variant>
        <vt:i4>0</vt:i4>
      </vt:variant>
      <vt:variant>
        <vt:i4>5</vt:i4>
      </vt:variant>
      <vt:variant>
        <vt:lpwstr/>
      </vt:variant>
      <vt:variant>
        <vt:lpwstr>_Toc153784437</vt:lpwstr>
      </vt:variant>
      <vt:variant>
        <vt:i4>1179710</vt:i4>
      </vt:variant>
      <vt:variant>
        <vt:i4>170</vt:i4>
      </vt:variant>
      <vt:variant>
        <vt:i4>0</vt:i4>
      </vt:variant>
      <vt:variant>
        <vt:i4>5</vt:i4>
      </vt:variant>
      <vt:variant>
        <vt:lpwstr/>
      </vt:variant>
      <vt:variant>
        <vt:lpwstr>_Toc153784436</vt:lpwstr>
      </vt:variant>
      <vt:variant>
        <vt:i4>1179710</vt:i4>
      </vt:variant>
      <vt:variant>
        <vt:i4>164</vt:i4>
      </vt:variant>
      <vt:variant>
        <vt:i4>0</vt:i4>
      </vt:variant>
      <vt:variant>
        <vt:i4>5</vt:i4>
      </vt:variant>
      <vt:variant>
        <vt:lpwstr/>
      </vt:variant>
      <vt:variant>
        <vt:lpwstr>_Toc153784435</vt:lpwstr>
      </vt:variant>
      <vt:variant>
        <vt:i4>1179710</vt:i4>
      </vt:variant>
      <vt:variant>
        <vt:i4>158</vt:i4>
      </vt:variant>
      <vt:variant>
        <vt:i4>0</vt:i4>
      </vt:variant>
      <vt:variant>
        <vt:i4>5</vt:i4>
      </vt:variant>
      <vt:variant>
        <vt:lpwstr/>
      </vt:variant>
      <vt:variant>
        <vt:lpwstr>_Toc153784434</vt:lpwstr>
      </vt:variant>
      <vt:variant>
        <vt:i4>1179710</vt:i4>
      </vt:variant>
      <vt:variant>
        <vt:i4>152</vt:i4>
      </vt:variant>
      <vt:variant>
        <vt:i4>0</vt:i4>
      </vt:variant>
      <vt:variant>
        <vt:i4>5</vt:i4>
      </vt:variant>
      <vt:variant>
        <vt:lpwstr/>
      </vt:variant>
      <vt:variant>
        <vt:lpwstr>_Toc153784433</vt:lpwstr>
      </vt:variant>
      <vt:variant>
        <vt:i4>1179710</vt:i4>
      </vt:variant>
      <vt:variant>
        <vt:i4>146</vt:i4>
      </vt:variant>
      <vt:variant>
        <vt:i4>0</vt:i4>
      </vt:variant>
      <vt:variant>
        <vt:i4>5</vt:i4>
      </vt:variant>
      <vt:variant>
        <vt:lpwstr/>
      </vt:variant>
      <vt:variant>
        <vt:lpwstr>_Toc153784432</vt:lpwstr>
      </vt:variant>
      <vt:variant>
        <vt:i4>1179710</vt:i4>
      </vt:variant>
      <vt:variant>
        <vt:i4>140</vt:i4>
      </vt:variant>
      <vt:variant>
        <vt:i4>0</vt:i4>
      </vt:variant>
      <vt:variant>
        <vt:i4>5</vt:i4>
      </vt:variant>
      <vt:variant>
        <vt:lpwstr/>
      </vt:variant>
      <vt:variant>
        <vt:lpwstr>_Toc153784431</vt:lpwstr>
      </vt:variant>
      <vt:variant>
        <vt:i4>1179710</vt:i4>
      </vt:variant>
      <vt:variant>
        <vt:i4>134</vt:i4>
      </vt:variant>
      <vt:variant>
        <vt:i4>0</vt:i4>
      </vt:variant>
      <vt:variant>
        <vt:i4>5</vt:i4>
      </vt:variant>
      <vt:variant>
        <vt:lpwstr/>
      </vt:variant>
      <vt:variant>
        <vt:lpwstr>_Toc153784430</vt:lpwstr>
      </vt:variant>
      <vt:variant>
        <vt:i4>1245246</vt:i4>
      </vt:variant>
      <vt:variant>
        <vt:i4>128</vt:i4>
      </vt:variant>
      <vt:variant>
        <vt:i4>0</vt:i4>
      </vt:variant>
      <vt:variant>
        <vt:i4>5</vt:i4>
      </vt:variant>
      <vt:variant>
        <vt:lpwstr/>
      </vt:variant>
      <vt:variant>
        <vt:lpwstr>_Toc153784429</vt:lpwstr>
      </vt:variant>
      <vt:variant>
        <vt:i4>1245246</vt:i4>
      </vt:variant>
      <vt:variant>
        <vt:i4>122</vt:i4>
      </vt:variant>
      <vt:variant>
        <vt:i4>0</vt:i4>
      </vt:variant>
      <vt:variant>
        <vt:i4>5</vt:i4>
      </vt:variant>
      <vt:variant>
        <vt:lpwstr/>
      </vt:variant>
      <vt:variant>
        <vt:lpwstr>_Toc153784428</vt:lpwstr>
      </vt:variant>
      <vt:variant>
        <vt:i4>1245246</vt:i4>
      </vt:variant>
      <vt:variant>
        <vt:i4>116</vt:i4>
      </vt:variant>
      <vt:variant>
        <vt:i4>0</vt:i4>
      </vt:variant>
      <vt:variant>
        <vt:i4>5</vt:i4>
      </vt:variant>
      <vt:variant>
        <vt:lpwstr/>
      </vt:variant>
      <vt:variant>
        <vt:lpwstr>_Toc153784427</vt:lpwstr>
      </vt:variant>
      <vt:variant>
        <vt:i4>1245246</vt:i4>
      </vt:variant>
      <vt:variant>
        <vt:i4>110</vt:i4>
      </vt:variant>
      <vt:variant>
        <vt:i4>0</vt:i4>
      </vt:variant>
      <vt:variant>
        <vt:i4>5</vt:i4>
      </vt:variant>
      <vt:variant>
        <vt:lpwstr/>
      </vt:variant>
      <vt:variant>
        <vt:lpwstr>_Toc153784426</vt:lpwstr>
      </vt:variant>
      <vt:variant>
        <vt:i4>1245246</vt:i4>
      </vt:variant>
      <vt:variant>
        <vt:i4>104</vt:i4>
      </vt:variant>
      <vt:variant>
        <vt:i4>0</vt:i4>
      </vt:variant>
      <vt:variant>
        <vt:i4>5</vt:i4>
      </vt:variant>
      <vt:variant>
        <vt:lpwstr/>
      </vt:variant>
      <vt:variant>
        <vt:lpwstr>_Toc153784425</vt:lpwstr>
      </vt:variant>
      <vt:variant>
        <vt:i4>1245246</vt:i4>
      </vt:variant>
      <vt:variant>
        <vt:i4>98</vt:i4>
      </vt:variant>
      <vt:variant>
        <vt:i4>0</vt:i4>
      </vt:variant>
      <vt:variant>
        <vt:i4>5</vt:i4>
      </vt:variant>
      <vt:variant>
        <vt:lpwstr/>
      </vt:variant>
      <vt:variant>
        <vt:lpwstr>_Toc153784424</vt:lpwstr>
      </vt:variant>
      <vt:variant>
        <vt:i4>1245246</vt:i4>
      </vt:variant>
      <vt:variant>
        <vt:i4>92</vt:i4>
      </vt:variant>
      <vt:variant>
        <vt:i4>0</vt:i4>
      </vt:variant>
      <vt:variant>
        <vt:i4>5</vt:i4>
      </vt:variant>
      <vt:variant>
        <vt:lpwstr/>
      </vt:variant>
      <vt:variant>
        <vt:lpwstr>_Toc153784423</vt:lpwstr>
      </vt:variant>
      <vt:variant>
        <vt:i4>1245246</vt:i4>
      </vt:variant>
      <vt:variant>
        <vt:i4>86</vt:i4>
      </vt:variant>
      <vt:variant>
        <vt:i4>0</vt:i4>
      </vt:variant>
      <vt:variant>
        <vt:i4>5</vt:i4>
      </vt:variant>
      <vt:variant>
        <vt:lpwstr/>
      </vt:variant>
      <vt:variant>
        <vt:lpwstr>_Toc153784422</vt:lpwstr>
      </vt:variant>
      <vt:variant>
        <vt:i4>1245246</vt:i4>
      </vt:variant>
      <vt:variant>
        <vt:i4>80</vt:i4>
      </vt:variant>
      <vt:variant>
        <vt:i4>0</vt:i4>
      </vt:variant>
      <vt:variant>
        <vt:i4>5</vt:i4>
      </vt:variant>
      <vt:variant>
        <vt:lpwstr/>
      </vt:variant>
      <vt:variant>
        <vt:lpwstr>_Toc153784421</vt:lpwstr>
      </vt:variant>
      <vt:variant>
        <vt:i4>1245246</vt:i4>
      </vt:variant>
      <vt:variant>
        <vt:i4>74</vt:i4>
      </vt:variant>
      <vt:variant>
        <vt:i4>0</vt:i4>
      </vt:variant>
      <vt:variant>
        <vt:i4>5</vt:i4>
      </vt:variant>
      <vt:variant>
        <vt:lpwstr/>
      </vt:variant>
      <vt:variant>
        <vt:lpwstr>_Toc153784420</vt:lpwstr>
      </vt:variant>
      <vt:variant>
        <vt:i4>1048638</vt:i4>
      </vt:variant>
      <vt:variant>
        <vt:i4>68</vt:i4>
      </vt:variant>
      <vt:variant>
        <vt:i4>0</vt:i4>
      </vt:variant>
      <vt:variant>
        <vt:i4>5</vt:i4>
      </vt:variant>
      <vt:variant>
        <vt:lpwstr/>
      </vt:variant>
      <vt:variant>
        <vt:lpwstr>_Toc153784419</vt:lpwstr>
      </vt:variant>
      <vt:variant>
        <vt:i4>1048638</vt:i4>
      </vt:variant>
      <vt:variant>
        <vt:i4>62</vt:i4>
      </vt:variant>
      <vt:variant>
        <vt:i4>0</vt:i4>
      </vt:variant>
      <vt:variant>
        <vt:i4>5</vt:i4>
      </vt:variant>
      <vt:variant>
        <vt:lpwstr/>
      </vt:variant>
      <vt:variant>
        <vt:lpwstr>_Toc153784418</vt:lpwstr>
      </vt:variant>
      <vt:variant>
        <vt:i4>1048638</vt:i4>
      </vt:variant>
      <vt:variant>
        <vt:i4>56</vt:i4>
      </vt:variant>
      <vt:variant>
        <vt:i4>0</vt:i4>
      </vt:variant>
      <vt:variant>
        <vt:i4>5</vt:i4>
      </vt:variant>
      <vt:variant>
        <vt:lpwstr/>
      </vt:variant>
      <vt:variant>
        <vt:lpwstr>_Toc153784417</vt:lpwstr>
      </vt:variant>
      <vt:variant>
        <vt:i4>1048638</vt:i4>
      </vt:variant>
      <vt:variant>
        <vt:i4>50</vt:i4>
      </vt:variant>
      <vt:variant>
        <vt:i4>0</vt:i4>
      </vt:variant>
      <vt:variant>
        <vt:i4>5</vt:i4>
      </vt:variant>
      <vt:variant>
        <vt:lpwstr/>
      </vt:variant>
      <vt:variant>
        <vt:lpwstr>_Toc153784416</vt:lpwstr>
      </vt:variant>
      <vt:variant>
        <vt:i4>1048638</vt:i4>
      </vt:variant>
      <vt:variant>
        <vt:i4>44</vt:i4>
      </vt:variant>
      <vt:variant>
        <vt:i4>0</vt:i4>
      </vt:variant>
      <vt:variant>
        <vt:i4>5</vt:i4>
      </vt:variant>
      <vt:variant>
        <vt:lpwstr/>
      </vt:variant>
      <vt:variant>
        <vt:lpwstr>_Toc153784415</vt:lpwstr>
      </vt:variant>
      <vt:variant>
        <vt:i4>1048638</vt:i4>
      </vt:variant>
      <vt:variant>
        <vt:i4>38</vt:i4>
      </vt:variant>
      <vt:variant>
        <vt:i4>0</vt:i4>
      </vt:variant>
      <vt:variant>
        <vt:i4>5</vt:i4>
      </vt:variant>
      <vt:variant>
        <vt:lpwstr/>
      </vt:variant>
      <vt:variant>
        <vt:lpwstr>_Toc153784414</vt:lpwstr>
      </vt:variant>
      <vt:variant>
        <vt:i4>1048638</vt:i4>
      </vt:variant>
      <vt:variant>
        <vt:i4>32</vt:i4>
      </vt:variant>
      <vt:variant>
        <vt:i4>0</vt:i4>
      </vt:variant>
      <vt:variant>
        <vt:i4>5</vt:i4>
      </vt:variant>
      <vt:variant>
        <vt:lpwstr/>
      </vt:variant>
      <vt:variant>
        <vt:lpwstr>_Toc153784413</vt:lpwstr>
      </vt:variant>
      <vt:variant>
        <vt:i4>1048638</vt:i4>
      </vt:variant>
      <vt:variant>
        <vt:i4>26</vt:i4>
      </vt:variant>
      <vt:variant>
        <vt:i4>0</vt:i4>
      </vt:variant>
      <vt:variant>
        <vt:i4>5</vt:i4>
      </vt:variant>
      <vt:variant>
        <vt:lpwstr/>
      </vt:variant>
      <vt:variant>
        <vt:lpwstr>_Toc153784412</vt:lpwstr>
      </vt:variant>
      <vt:variant>
        <vt:i4>1048638</vt:i4>
      </vt:variant>
      <vt:variant>
        <vt:i4>20</vt:i4>
      </vt:variant>
      <vt:variant>
        <vt:i4>0</vt:i4>
      </vt:variant>
      <vt:variant>
        <vt:i4>5</vt:i4>
      </vt:variant>
      <vt:variant>
        <vt:lpwstr/>
      </vt:variant>
      <vt:variant>
        <vt:lpwstr>_Toc153784411</vt:lpwstr>
      </vt:variant>
      <vt:variant>
        <vt:i4>1048638</vt:i4>
      </vt:variant>
      <vt:variant>
        <vt:i4>14</vt:i4>
      </vt:variant>
      <vt:variant>
        <vt:i4>0</vt:i4>
      </vt:variant>
      <vt:variant>
        <vt:i4>5</vt:i4>
      </vt:variant>
      <vt:variant>
        <vt:lpwstr/>
      </vt:variant>
      <vt:variant>
        <vt:lpwstr>_Toc153784410</vt:lpwstr>
      </vt:variant>
      <vt:variant>
        <vt:i4>1114174</vt:i4>
      </vt:variant>
      <vt:variant>
        <vt:i4>8</vt:i4>
      </vt:variant>
      <vt:variant>
        <vt:i4>0</vt:i4>
      </vt:variant>
      <vt:variant>
        <vt:i4>5</vt:i4>
      </vt:variant>
      <vt:variant>
        <vt:lpwstr/>
      </vt:variant>
      <vt:variant>
        <vt:lpwstr>_Toc153784409</vt:lpwstr>
      </vt:variant>
      <vt:variant>
        <vt:i4>1114174</vt:i4>
      </vt:variant>
      <vt:variant>
        <vt:i4>2</vt:i4>
      </vt:variant>
      <vt:variant>
        <vt:i4>0</vt:i4>
      </vt:variant>
      <vt:variant>
        <vt:i4>5</vt:i4>
      </vt:variant>
      <vt:variant>
        <vt:lpwstr/>
      </vt:variant>
      <vt:variant>
        <vt:lpwstr>_Toc153784408</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Cynthia Peña</dc:creator>
  <cp:keywords/>
  <dc:description/>
  <cp:lastModifiedBy>Johan Manuel Mercado</cp:lastModifiedBy>
  <cp:revision>1074</cp:revision>
  <cp:lastPrinted>2023-12-19T02:05:00Z</cp:lastPrinted>
  <dcterms:created xsi:type="dcterms:W3CDTF">2023-12-12T21:31:00Z</dcterms:created>
  <dcterms:modified xsi:type="dcterms:W3CDTF">2024-01-05T17:51:00Z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81f5a2da-7ac4-4e60-a27b-a125ee74514f_Enabled">
    <vt:lpwstr>true</vt:lpwstr>
  </property>
  <property fmtid="{D5CDD505-2E9C-101B-9397-08002B2CF9AE}" pid="3" name="MSIP_Label_81f5a2da-7ac4-4e60-a27b-a125ee74514f_SetDate">
    <vt:lpwstr>2022-12-27T18:32:21Z</vt:lpwstr>
  </property>
  <property fmtid="{D5CDD505-2E9C-101B-9397-08002B2CF9AE}" pid="4" name="MSIP_Label_81f5a2da-7ac4-4e60-a27b-a125ee74514f_Method">
    <vt:lpwstr>Privileged</vt:lpwstr>
  </property>
  <property fmtid="{D5CDD505-2E9C-101B-9397-08002B2CF9AE}" pid="5" name="MSIP_Label_81f5a2da-7ac4-4e60-a27b-a125ee74514f_Name">
    <vt:lpwstr>Publica - Visual Marking</vt:lpwstr>
  </property>
  <property fmtid="{D5CDD505-2E9C-101B-9397-08002B2CF9AE}" pid="6" name="MSIP_Label_81f5a2da-7ac4-4e60-a27b-a125ee74514f_SiteId">
    <vt:lpwstr>d994480d-72f7-4fe9-8095-21c86c20a5a3</vt:lpwstr>
  </property>
  <property fmtid="{D5CDD505-2E9C-101B-9397-08002B2CF9AE}" pid="7" name="MSIP_Label_81f5a2da-7ac4-4e60-a27b-a125ee74514f_ActionId">
    <vt:lpwstr>499e0fd7-3222-4aea-9d12-36cb78328536</vt:lpwstr>
  </property>
  <property fmtid="{D5CDD505-2E9C-101B-9397-08002B2CF9AE}" pid="8" name="MSIP_Label_81f5a2da-7ac4-4e60-a27b-a125ee74514f_ContentBits">
    <vt:lpwstr>0</vt:lpwstr>
  </property>
  <property fmtid="{D5CDD505-2E9C-101B-9397-08002B2CF9AE}" pid="9" name="ContentTypeId">
    <vt:lpwstr>0x01010059925D5DAF3E0A4893FDBB199FC9739D</vt:lpwstr>
  </property>
  <property fmtid="{D5CDD505-2E9C-101B-9397-08002B2CF9AE}" pid="10" name="MediaServiceImageTags">
    <vt:lpwstr/>
  </property>
</Properties>
</file>