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0AC91904" w:rsidR="008D7F4E" w:rsidRPr="006D0445" w:rsidRDefault="00DF0B54" w:rsidP="005E6948">
      <w:pPr>
        <w:rPr>
          <w:color w:val="767171"/>
        </w:rPr>
      </w:pPr>
      <w:bookmarkStart w:id="0" w:name="_Hlk139621302"/>
      <w:bookmarkEnd w:id="0"/>
      <w:r w:rsidRPr="006D0445">
        <w:rPr>
          <w:noProof/>
          <w:color w:val="767171"/>
        </w:rPr>
        <w:drawing>
          <wp:anchor distT="0" distB="0" distL="114300" distR="114300" simplePos="0" relativeHeight="251631616" behindDoc="0" locked="0" layoutInCell="1" allowOverlap="1" wp14:anchorId="3F0A51DA" wp14:editId="2A4CA430">
            <wp:simplePos x="0" y="0"/>
            <wp:positionH relativeFrom="column">
              <wp:posOffset>2240090</wp:posOffset>
            </wp:positionH>
            <wp:positionV relativeFrom="paragraph">
              <wp:posOffset>273050</wp:posOffset>
            </wp:positionV>
            <wp:extent cx="1472690" cy="1389413"/>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2690" cy="1389413"/>
                    </a:xfrm>
                    <a:prstGeom prst="rect">
                      <a:avLst/>
                    </a:prstGeom>
                  </pic:spPr>
                </pic:pic>
              </a:graphicData>
            </a:graphic>
            <wp14:sizeRelH relativeFrom="page">
              <wp14:pctWidth>0</wp14:pctWidth>
            </wp14:sizeRelH>
            <wp14:sizeRelV relativeFrom="page">
              <wp14:pctHeight>0</wp14:pctHeight>
            </wp14:sizeRelV>
          </wp:anchor>
        </w:drawing>
      </w:r>
    </w:p>
    <w:p w14:paraId="24A9A258" w14:textId="02E52DD6" w:rsidR="008D7F4E" w:rsidRPr="006D0445" w:rsidRDefault="008D7F4E" w:rsidP="005E6948">
      <w:pPr>
        <w:rPr>
          <w:color w:val="767171"/>
        </w:rPr>
      </w:pPr>
    </w:p>
    <w:p w14:paraId="1AC5E2C3" w14:textId="1D4A838E" w:rsidR="008D7F4E" w:rsidRPr="006D0445" w:rsidRDefault="008D7F4E" w:rsidP="005E6948">
      <w:pPr>
        <w:rPr>
          <w:color w:val="767171"/>
        </w:rPr>
      </w:pPr>
    </w:p>
    <w:p w14:paraId="34990FAF" w14:textId="651A219F" w:rsidR="008D7F4E" w:rsidRPr="006D0445" w:rsidRDefault="008D7F4E" w:rsidP="005E6948">
      <w:pPr>
        <w:rPr>
          <w:color w:val="767171"/>
        </w:rPr>
      </w:pPr>
      <w:bookmarkStart w:id="1" w:name="_Hlk86404256"/>
      <w:bookmarkEnd w:id="1"/>
    </w:p>
    <w:p w14:paraId="6EFB72EE" w14:textId="4302D79E" w:rsidR="008D7F4E" w:rsidRPr="006D0445" w:rsidRDefault="008D7F4E" w:rsidP="005E6948">
      <w:pPr>
        <w:rPr>
          <w:color w:val="767171"/>
        </w:rPr>
      </w:pPr>
    </w:p>
    <w:p w14:paraId="3F7503CE" w14:textId="31E79B9C" w:rsidR="008D7F4E" w:rsidRPr="006D0445" w:rsidRDefault="008D7F4E" w:rsidP="005E6948">
      <w:pPr>
        <w:rPr>
          <w:color w:val="767171"/>
        </w:rPr>
      </w:pPr>
    </w:p>
    <w:p w14:paraId="304D57FE" w14:textId="374C43D8" w:rsidR="0073425D" w:rsidRPr="006D0445" w:rsidRDefault="0073425D" w:rsidP="005E6948">
      <w:pPr>
        <w:rPr>
          <w:color w:val="767171"/>
        </w:rPr>
      </w:pPr>
    </w:p>
    <w:p w14:paraId="7A73DFF5" w14:textId="03D37B88" w:rsidR="00254721" w:rsidRPr="006D0445" w:rsidRDefault="00984DA3" w:rsidP="005E6948">
      <w:pPr>
        <w:rPr>
          <w:color w:val="767171"/>
        </w:rPr>
      </w:pPr>
      <w:r w:rsidRPr="006D0445">
        <w:rPr>
          <w:noProof/>
          <w:color w:val="767171"/>
        </w:rPr>
        <mc:AlternateContent>
          <mc:Choice Requires="wps">
            <w:drawing>
              <wp:anchor distT="0" distB="0" distL="114300" distR="114300" simplePos="0" relativeHeight="251696128" behindDoc="0" locked="0" layoutInCell="1" allowOverlap="1" wp14:anchorId="6E3C2FCA" wp14:editId="1EAA2FA9">
                <wp:simplePos x="0" y="0"/>
                <wp:positionH relativeFrom="column">
                  <wp:posOffset>155484</wp:posOffset>
                </wp:positionH>
                <wp:positionV relativeFrom="paragraph">
                  <wp:posOffset>245019</wp:posOffset>
                </wp:positionV>
                <wp:extent cx="5758815" cy="985651"/>
                <wp:effectExtent l="0" t="0" r="0" b="0"/>
                <wp:wrapNone/>
                <wp:docPr id="1141718676"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93A23D1" w14:textId="77777777" w:rsidR="00984DA3" w:rsidRDefault="00984DA3" w:rsidP="00984DA3">
                            <w:pPr>
                              <w:spacing w:after="0"/>
                              <w:jc w:val="center"/>
                              <w:rPr>
                                <w:b/>
                                <w:bCs/>
                                <w:color w:val="D5B788"/>
                                <w:spacing w:val="60"/>
                                <w:kern w:val="24"/>
                                <w:sz w:val="56"/>
                                <w:szCs w:val="56"/>
                              </w:rPr>
                            </w:pPr>
                            <w:r>
                              <w:rPr>
                                <w:b/>
                                <w:bCs/>
                                <w:color w:val="D5B788"/>
                                <w:spacing w:val="60"/>
                                <w:kern w:val="24"/>
                                <w:sz w:val="56"/>
                                <w:szCs w:val="56"/>
                              </w:rPr>
                              <w:t xml:space="preserve">MEMORIA </w:t>
                            </w:r>
                          </w:p>
                          <w:p w14:paraId="067CE790" w14:textId="77777777" w:rsidR="00984DA3" w:rsidRDefault="00984DA3" w:rsidP="00984DA3">
                            <w:pPr>
                              <w:spacing w:after="0"/>
                              <w:jc w:val="center"/>
                              <w:rPr>
                                <w:b/>
                                <w:bCs/>
                                <w:color w:val="D5B788"/>
                                <w:spacing w:val="60"/>
                                <w:kern w:val="24"/>
                                <w:sz w:val="56"/>
                                <w:szCs w:val="56"/>
                              </w:rPr>
                            </w:pPr>
                            <w:r>
                              <w:rPr>
                                <w:b/>
                                <w:bCs/>
                                <w:color w:val="D5B788"/>
                                <w:spacing w:val="60"/>
                                <w:kern w:val="24"/>
                                <w:sz w:val="56"/>
                                <w:szCs w:val="56"/>
                              </w:rPr>
                              <w:t>INSTITUCIONAL</w:t>
                            </w:r>
                          </w:p>
                          <w:p w14:paraId="00CC429A" w14:textId="77777777" w:rsidR="00984DA3" w:rsidRPr="008D7F4E" w:rsidRDefault="00984DA3" w:rsidP="00984DA3">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3C2FCA" id="_x0000_t202" coordsize="21600,21600" o:spt="202" path="m,l,21600r21600,l21600,xe">
                <v:stroke joinstyle="miter"/>
                <v:path gradientshapeok="t" o:connecttype="rect"/>
              </v:shapetype>
              <v:shape id="object 4" o:spid="_x0000_s1026" type="#_x0000_t202" style="position:absolute;left:0;text-align:left;margin-left:12.25pt;margin-top:19.3pt;width:453.45pt;height:7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" filled="f" stroked="f">
                <v:textbox inset="0,1.35pt,0,0">
                  <w:txbxContent>
                    <w:p w14:paraId="393A23D1" w14:textId="77777777" w:rsidR="00984DA3" w:rsidRDefault="00984DA3" w:rsidP="00984DA3">
                      <w:pPr>
                        <w:spacing w:after="0"/>
                        <w:jc w:val="center"/>
                        <w:rPr>
                          <w:b/>
                          <w:bCs/>
                          <w:color w:val="D5B788"/>
                          <w:spacing w:val="60"/>
                          <w:kern w:val="24"/>
                          <w:sz w:val="56"/>
                          <w:szCs w:val="56"/>
                        </w:rPr>
                      </w:pPr>
                      <w:r>
                        <w:rPr>
                          <w:b/>
                          <w:bCs/>
                          <w:color w:val="D5B788"/>
                          <w:spacing w:val="60"/>
                          <w:kern w:val="24"/>
                          <w:sz w:val="56"/>
                          <w:szCs w:val="56"/>
                        </w:rPr>
                        <w:t xml:space="preserve">MEMORIA </w:t>
                      </w:r>
                    </w:p>
                    <w:p w14:paraId="067CE790" w14:textId="77777777" w:rsidR="00984DA3" w:rsidRDefault="00984DA3" w:rsidP="00984DA3">
                      <w:pPr>
                        <w:spacing w:after="0"/>
                        <w:jc w:val="center"/>
                        <w:rPr>
                          <w:b/>
                          <w:bCs/>
                          <w:color w:val="D5B788"/>
                          <w:spacing w:val="60"/>
                          <w:kern w:val="24"/>
                          <w:sz w:val="56"/>
                          <w:szCs w:val="56"/>
                        </w:rPr>
                      </w:pPr>
                      <w:r>
                        <w:rPr>
                          <w:b/>
                          <w:bCs/>
                          <w:color w:val="D5B788"/>
                          <w:spacing w:val="60"/>
                          <w:kern w:val="24"/>
                          <w:sz w:val="56"/>
                          <w:szCs w:val="56"/>
                        </w:rPr>
                        <w:t>INSTITUCIONAL</w:t>
                      </w:r>
                    </w:p>
                    <w:p w14:paraId="00CC429A" w14:textId="77777777" w:rsidR="00984DA3" w:rsidRPr="008D7F4E" w:rsidRDefault="00984DA3" w:rsidP="00984DA3">
                      <w:pPr>
                        <w:spacing w:after="0"/>
                        <w:jc w:val="center"/>
                        <w:rPr>
                          <w:b/>
                          <w:bCs/>
                          <w:color w:val="D5B788"/>
                          <w:spacing w:val="60"/>
                          <w:kern w:val="24"/>
                          <w:sz w:val="56"/>
                          <w:szCs w:val="56"/>
                        </w:rPr>
                      </w:pPr>
                    </w:p>
                  </w:txbxContent>
                </v:textbox>
              </v:shape>
            </w:pict>
          </mc:Fallback>
        </mc:AlternateContent>
      </w:r>
    </w:p>
    <w:p w14:paraId="6FA62C84" w14:textId="4AD68341" w:rsidR="00254721" w:rsidRPr="006D0445" w:rsidRDefault="00254721" w:rsidP="005E6948">
      <w:pPr>
        <w:rPr>
          <w:color w:val="767171"/>
        </w:rPr>
      </w:pPr>
    </w:p>
    <w:p w14:paraId="64002FD5" w14:textId="2BF4DD66" w:rsidR="0073425D" w:rsidRPr="006D0445" w:rsidRDefault="0073425D" w:rsidP="005E6948">
      <w:pPr>
        <w:rPr>
          <w:color w:val="767171"/>
        </w:rPr>
      </w:pPr>
    </w:p>
    <w:p w14:paraId="2D2CEF61" w14:textId="0866BBE7" w:rsidR="0073425D" w:rsidRPr="006D0445" w:rsidRDefault="0073425D" w:rsidP="0073425D">
      <w:pPr>
        <w:jc w:val="center"/>
        <w:rPr>
          <w:color w:val="767171"/>
        </w:rPr>
      </w:pPr>
    </w:p>
    <w:p w14:paraId="071FCCAE" w14:textId="68435333" w:rsidR="008D7F4E" w:rsidRPr="006D0445" w:rsidRDefault="005D7F70" w:rsidP="005E6948">
      <w:pPr>
        <w:rPr>
          <w:color w:val="767171"/>
        </w:rPr>
      </w:pPr>
      <w:r w:rsidRPr="006D0445">
        <w:rPr>
          <w:noProof/>
          <w:color w:val="767171"/>
        </w:rPr>
        <mc:AlternateContent>
          <mc:Choice Requires="wps">
            <w:drawing>
              <wp:anchor distT="4294967295" distB="4294967295" distL="114300" distR="114300" simplePos="0" relativeHeight="251654144" behindDoc="0" locked="0" layoutInCell="1" allowOverlap="1" wp14:anchorId="761FA098" wp14:editId="3EFE1D88">
                <wp:simplePos x="0" y="0"/>
                <wp:positionH relativeFrom="margin">
                  <wp:posOffset>2724150</wp:posOffset>
                </wp:positionH>
                <wp:positionV relativeFrom="paragraph">
                  <wp:posOffset>177165</wp:posOffset>
                </wp:positionV>
                <wp:extent cx="463550" cy="0"/>
                <wp:effectExtent l="0" t="19050" r="31750" b="1905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FA38CA" id="Straight Connector 9"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3.95pt" to="25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" strokecolor="#c8b688" strokeweight="2.25pt">
                <v:stroke joinstyle="miter"/>
                <o:lock v:ext="edit" shapetype="f"/>
                <w10:wrap anchorx="margin"/>
              </v:line>
            </w:pict>
          </mc:Fallback>
        </mc:AlternateContent>
      </w:r>
    </w:p>
    <w:p w14:paraId="69FBF6B1" w14:textId="3FCC92BD" w:rsidR="008D7F4E" w:rsidRPr="006D0445" w:rsidRDefault="00254721" w:rsidP="005E6948">
      <w:pPr>
        <w:rPr>
          <w:color w:val="767171"/>
        </w:rPr>
      </w:pPr>
      <w:r w:rsidRPr="006D0445">
        <w:rPr>
          <w:noProof/>
          <w:color w:val="767171"/>
        </w:rPr>
        <mc:AlternateContent>
          <mc:Choice Requires="wps">
            <w:drawing>
              <wp:anchor distT="0" distB="0" distL="114300" distR="114300" simplePos="0" relativeHeight="251658240" behindDoc="0" locked="0" layoutInCell="1" allowOverlap="1" wp14:anchorId="42BD3E2D" wp14:editId="22E31FBA">
                <wp:simplePos x="0" y="0"/>
                <wp:positionH relativeFrom="margin">
                  <wp:align>center</wp:align>
                </wp:positionH>
                <wp:positionV relativeFrom="paragraph">
                  <wp:posOffset>29090</wp:posOffset>
                </wp:positionV>
                <wp:extent cx="1210945" cy="308610"/>
                <wp:effectExtent l="0" t="0" r="0" b="0"/>
                <wp:wrapNone/>
                <wp:docPr id="1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7E963589" w14:textId="53B8BC42" w:rsidR="00791379" w:rsidRPr="00F36012" w:rsidRDefault="00791379" w:rsidP="0073425D">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2650B">
                              <w:rPr>
                                <w:b/>
                                <w:bCs/>
                                <w:color w:val="D5B788"/>
                                <w:spacing w:val="2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BD3E2D" id="object 5" o:spid="_x0000_s1027" type="#_x0000_t202" style="position:absolute;left:0;text-align:left;margin-left:0;margin-top:2.3pt;width:95.35pt;height:24.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" filled="f" stroked="f">
                <v:textbox inset="0,1pt,0,0">
                  <w:txbxContent>
                    <w:p w14:paraId="7E963589" w14:textId="53B8BC42" w:rsidR="00791379" w:rsidRPr="00F36012" w:rsidRDefault="00791379" w:rsidP="0073425D">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2650B">
                        <w:rPr>
                          <w:b/>
                          <w:bCs/>
                          <w:color w:val="D5B788"/>
                          <w:spacing w:val="28"/>
                          <w:kern w:val="24"/>
                          <w:sz w:val="28"/>
                          <w:szCs w:val="28"/>
                        </w:rPr>
                        <w:t>4</w:t>
                      </w:r>
                      <w:r w:rsidRPr="00F36012">
                        <w:rPr>
                          <w:b/>
                          <w:bCs/>
                          <w:color w:val="D5B788"/>
                          <w:spacing w:val="-21"/>
                          <w:kern w:val="24"/>
                          <w:sz w:val="28"/>
                          <w:szCs w:val="28"/>
                        </w:rPr>
                        <w:t xml:space="preserve"> </w:t>
                      </w:r>
                    </w:p>
                  </w:txbxContent>
                </v:textbox>
                <w10:wrap anchorx="margin"/>
              </v:shape>
            </w:pict>
          </mc:Fallback>
        </mc:AlternateContent>
      </w:r>
    </w:p>
    <w:p w14:paraId="0233C915" w14:textId="38005337" w:rsidR="008D7F4E" w:rsidRPr="006D0445" w:rsidRDefault="008D7F4E" w:rsidP="005E6948">
      <w:pPr>
        <w:rPr>
          <w:color w:val="767171"/>
        </w:rPr>
      </w:pPr>
    </w:p>
    <w:p w14:paraId="48198B1B" w14:textId="321DA1C6" w:rsidR="00254721" w:rsidRPr="006D0445" w:rsidRDefault="00254721" w:rsidP="005E6948">
      <w:pPr>
        <w:rPr>
          <w:color w:val="767171"/>
        </w:rPr>
      </w:pPr>
      <w:r w:rsidRPr="006D0445">
        <w:rPr>
          <w:noProof/>
          <w:color w:val="767171"/>
        </w:rPr>
        <mc:AlternateContent>
          <mc:Choice Requires="wpg">
            <w:drawing>
              <wp:anchor distT="0" distB="0" distL="114300" distR="114300" simplePos="0" relativeHeight="251666432" behindDoc="0" locked="0" layoutInCell="1" allowOverlap="1" wp14:anchorId="33A8DE16" wp14:editId="1323417A">
                <wp:simplePos x="0" y="0"/>
                <wp:positionH relativeFrom="margin">
                  <wp:posOffset>28296</wp:posOffset>
                </wp:positionH>
                <wp:positionV relativeFrom="paragraph">
                  <wp:posOffset>2026920</wp:posOffset>
                </wp:positionV>
                <wp:extent cx="2536166" cy="1005840"/>
                <wp:effectExtent l="0" t="0" r="0" b="3810"/>
                <wp:wrapNone/>
                <wp:docPr id="29" name="Group 11"/>
                <wp:cNvGraphicFramePr/>
                <a:graphic xmlns:a="http://schemas.openxmlformats.org/drawingml/2006/main">
                  <a:graphicData uri="http://schemas.microsoft.com/office/word/2010/wordprocessingGroup">
                    <wpg:wgp>
                      <wpg:cNvGrpSpPr/>
                      <wpg:grpSpPr>
                        <a:xfrm>
                          <a:off x="0" y="0"/>
                          <a:ext cx="2536166" cy="1005840"/>
                          <a:chOff x="0" y="0"/>
                          <a:chExt cx="2267585" cy="1005840"/>
                        </a:xfrm>
                      </wpg:grpSpPr>
                      <wps:wsp>
                        <wps:cNvPr id="30" name="Text Box 34"/>
                        <wps:cNvSpPr txBox="1">
                          <a:spLocks/>
                        </wps:cNvSpPr>
                        <wps:spPr>
                          <a:xfrm>
                            <a:off x="0" y="600075"/>
                            <a:ext cx="2267585" cy="371475"/>
                          </a:xfrm>
                          <a:prstGeom prst="rect">
                            <a:avLst/>
                          </a:prstGeom>
                        </wps:spPr>
                        <wps:txbx>
                          <w:txbxContent>
                            <w:p w14:paraId="53D22E2E" w14:textId="77777777" w:rsidR="00791379" w:rsidRPr="003A00CC" w:rsidRDefault="00791379" w:rsidP="0025472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1427BBE" w14:textId="77777777" w:rsidR="00791379" w:rsidRDefault="00791379" w:rsidP="0025472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31" name="Group 10"/>
                        <wpg:cNvGrpSpPr/>
                        <wpg:grpSpPr>
                          <a:xfrm>
                            <a:off x="0" y="0"/>
                            <a:ext cx="612775" cy="1005840"/>
                            <a:chOff x="0" y="0"/>
                            <a:chExt cx="612775" cy="1005840"/>
                          </a:xfrm>
                        </wpg:grpSpPr>
                        <wps:wsp>
                          <wps:cNvPr id="32"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5"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33A8DE16" id="Group 11" o:spid="_x0000_s1028" style="position:absolute;left:0;text-align:left;margin-left:2.25pt;margin-top:159.6pt;width:199.7pt;height:79.2pt;z-index:251666432;mso-position-horizontal-relative:margin;mso-width-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">
                <v:shape id="Text Box 34" o:spid="_x0000_s1029"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53D22E2E" w14:textId="77777777" w:rsidR="00791379" w:rsidRPr="003A00CC" w:rsidRDefault="00791379" w:rsidP="00254721">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1427BBE" w14:textId="77777777" w:rsidR="00791379" w:rsidRDefault="00791379" w:rsidP="00254721">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0"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3" o:spid="_x0000_s1031"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0" o:title="Icon&#10;&#10;Description automatically generated"/>
                  </v:shape>
                </v:group>
                <w10:wrap anchorx="margin"/>
              </v:group>
            </w:pict>
          </mc:Fallback>
        </mc:AlternateContent>
      </w:r>
      <w:r w:rsidR="006160B6" w:rsidRPr="006D0445">
        <w:rPr>
          <w:noProof/>
          <w:color w:val="767171"/>
        </w:rPr>
        <mc:AlternateContent>
          <mc:Choice Requires="wps">
            <w:drawing>
              <wp:anchor distT="0" distB="0" distL="114300" distR="114300" simplePos="0" relativeHeight="251645952" behindDoc="0" locked="0" layoutInCell="1" allowOverlap="1" wp14:anchorId="4B9C2ACC" wp14:editId="4ADE3946">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5FBF2F" id="Freeform: Shape 44" o:spid="_x0000_s1026" style="position:absolute;margin-left:371.65pt;margin-top:699.75pt;width:42.75pt;height:4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Pr="006D0445">
        <w:rPr>
          <w:color w:val="767171"/>
        </w:rPr>
        <w:t xml:space="preserve"> </w:t>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Pr="006D0445">
        <w:rPr>
          <w:color w:val="767171"/>
        </w:rPr>
        <w:t xml:space="preserve">  </w:t>
      </w:r>
    </w:p>
    <w:p w14:paraId="00A91FF9" w14:textId="35D404B8" w:rsidR="00254721" w:rsidRPr="006D0445" w:rsidRDefault="00254721" w:rsidP="005E6948">
      <w:pPr>
        <w:rPr>
          <w:color w:val="767171"/>
        </w:rPr>
      </w:pPr>
      <w:r w:rsidRPr="006D0445">
        <w:rPr>
          <w:noProof/>
          <w:color w:val="767171"/>
        </w:rPr>
        <w:drawing>
          <wp:anchor distT="0" distB="0" distL="114300" distR="114300" simplePos="0" relativeHeight="251662336" behindDoc="0" locked="0" layoutInCell="1" allowOverlap="1" wp14:anchorId="34CF4A44" wp14:editId="0025FB7D">
            <wp:simplePos x="0" y="0"/>
            <wp:positionH relativeFrom="column">
              <wp:posOffset>3570884</wp:posOffset>
            </wp:positionH>
            <wp:positionV relativeFrom="paragraph">
              <wp:posOffset>93980</wp:posOffset>
            </wp:positionV>
            <wp:extent cx="2517775" cy="577850"/>
            <wp:effectExtent l="0" t="0" r="0" b="0"/>
            <wp:wrapNone/>
            <wp:docPr id="28" name="Imagen 28"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Pizarr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77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89B5C" w14:textId="77777777" w:rsidR="00254721" w:rsidRPr="006D0445" w:rsidRDefault="00254721" w:rsidP="005E6948">
      <w:pPr>
        <w:rPr>
          <w:color w:val="767171"/>
        </w:rPr>
      </w:pPr>
    </w:p>
    <w:p w14:paraId="4A693A68" w14:textId="5A19980E" w:rsidR="000A73B2" w:rsidRPr="006D0445" w:rsidRDefault="008D7F4E" w:rsidP="005E6948">
      <w:pPr>
        <w:rPr>
          <w:color w:val="767171"/>
        </w:rPr>
      </w:pPr>
      <w:r w:rsidRPr="006D0445">
        <w:rPr>
          <w:color w:val="767171"/>
        </w:rPr>
        <w:lastRenderedPageBreak/>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r w:rsidRPr="006D0445">
        <w:rPr>
          <w:color w:val="767171"/>
        </w:rPr>
        <w:tab/>
      </w:r>
    </w:p>
    <w:p w14:paraId="11C7C6E4" w14:textId="21674A43" w:rsidR="000A73B2" w:rsidRPr="006D0445" w:rsidRDefault="000A73B2" w:rsidP="005E6948">
      <w:pPr>
        <w:rPr>
          <w:color w:val="767171"/>
        </w:rPr>
      </w:pPr>
    </w:p>
    <w:p w14:paraId="1DB9B6E6" w14:textId="54B34785" w:rsidR="000A73B2" w:rsidRPr="006D0445" w:rsidRDefault="000A73B2" w:rsidP="005E6948">
      <w:pPr>
        <w:rPr>
          <w:color w:val="767171"/>
        </w:rPr>
      </w:pPr>
    </w:p>
    <w:p w14:paraId="274DCED8" w14:textId="6AA775A2" w:rsidR="004F2DD5" w:rsidRPr="006D0445" w:rsidRDefault="00E31658" w:rsidP="005E6948">
      <w:pPr>
        <w:rPr>
          <w:color w:val="767171"/>
        </w:rPr>
      </w:pPr>
      <w:r w:rsidRPr="006D0445">
        <w:rPr>
          <w:noProof/>
          <w:color w:val="767171"/>
        </w:rPr>
        <mc:AlternateContent>
          <mc:Choice Requires="wps">
            <w:drawing>
              <wp:anchor distT="0" distB="0" distL="114300" distR="114300" simplePos="0" relativeHeight="251699200" behindDoc="0" locked="0" layoutInCell="1" allowOverlap="1" wp14:anchorId="61AF96AE" wp14:editId="710E4D24">
                <wp:simplePos x="0" y="0"/>
                <wp:positionH relativeFrom="margin">
                  <wp:posOffset>2211070</wp:posOffset>
                </wp:positionH>
                <wp:positionV relativeFrom="paragraph">
                  <wp:posOffset>2642235</wp:posOffset>
                </wp:positionV>
                <wp:extent cx="1210945" cy="308610"/>
                <wp:effectExtent l="0" t="0" r="0" b="0"/>
                <wp:wrapNone/>
                <wp:docPr id="86105626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BA7B3B4" w14:textId="363A5E41" w:rsidR="008148C8" w:rsidRPr="00F36012" w:rsidRDefault="008148C8" w:rsidP="008148C8">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2650B">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AF96AE" id="_x0000_s1033" type="#_x0000_t202" style="position:absolute;left:0;text-align:left;margin-left:174.1pt;margin-top:208.05pt;width:95.35pt;height:24.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" filled="f" stroked="f">
                <v:textbox inset="0,1pt,0,0">
                  <w:txbxContent>
                    <w:p w14:paraId="5BA7B3B4" w14:textId="363A5E41" w:rsidR="008148C8" w:rsidRPr="00F36012" w:rsidRDefault="008148C8" w:rsidP="008148C8">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2650B">
                        <w:rPr>
                          <w:b/>
                          <w:bCs/>
                          <w:color w:val="D5B788"/>
                          <w:spacing w:val="68"/>
                          <w:kern w:val="24"/>
                          <w:sz w:val="28"/>
                          <w:szCs w:val="28"/>
                        </w:rPr>
                        <w:t>4</w:t>
                      </w:r>
                      <w:r w:rsidRPr="00F36012">
                        <w:rPr>
                          <w:b/>
                          <w:bCs/>
                          <w:color w:val="D5B788"/>
                          <w:spacing w:val="-21"/>
                          <w:kern w:val="24"/>
                          <w:sz w:val="28"/>
                          <w:szCs w:val="28"/>
                        </w:rPr>
                        <w:t xml:space="preserve"> </w:t>
                      </w:r>
                    </w:p>
                  </w:txbxContent>
                </v:textbox>
                <w10:wrap anchorx="margin"/>
              </v:shape>
            </w:pict>
          </mc:Fallback>
        </mc:AlternateContent>
      </w:r>
      <w:r w:rsidRPr="006D0445">
        <w:rPr>
          <w:noProof/>
          <w:color w:val="767171"/>
        </w:rPr>
        <mc:AlternateContent>
          <mc:Choice Requires="wps">
            <w:drawing>
              <wp:anchor distT="0" distB="0" distL="114300" distR="114300" simplePos="0" relativeHeight="251700224" behindDoc="0" locked="0" layoutInCell="1" allowOverlap="1" wp14:anchorId="01823ACA" wp14:editId="1F67ED7B">
                <wp:simplePos x="0" y="0"/>
                <wp:positionH relativeFrom="column">
                  <wp:posOffset>0</wp:posOffset>
                </wp:positionH>
                <wp:positionV relativeFrom="paragraph">
                  <wp:posOffset>1035685</wp:posOffset>
                </wp:positionV>
                <wp:extent cx="5758815" cy="985520"/>
                <wp:effectExtent l="0" t="0" r="0" b="0"/>
                <wp:wrapNone/>
                <wp:docPr id="379989227"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4BA5E159" w14:textId="77777777" w:rsidR="008148C8" w:rsidRDefault="008148C8" w:rsidP="008148C8">
                            <w:pPr>
                              <w:spacing w:after="0"/>
                              <w:jc w:val="center"/>
                              <w:rPr>
                                <w:b/>
                                <w:bCs/>
                                <w:color w:val="D5B788"/>
                                <w:spacing w:val="60"/>
                                <w:kern w:val="24"/>
                                <w:sz w:val="56"/>
                                <w:szCs w:val="56"/>
                              </w:rPr>
                            </w:pPr>
                            <w:r>
                              <w:rPr>
                                <w:b/>
                                <w:bCs/>
                                <w:color w:val="D5B788"/>
                                <w:spacing w:val="60"/>
                                <w:kern w:val="24"/>
                                <w:sz w:val="56"/>
                                <w:szCs w:val="56"/>
                              </w:rPr>
                              <w:t xml:space="preserve">MEMORIA </w:t>
                            </w:r>
                          </w:p>
                          <w:p w14:paraId="35C2EED2" w14:textId="77777777" w:rsidR="008148C8" w:rsidRDefault="008148C8" w:rsidP="008148C8">
                            <w:pPr>
                              <w:spacing w:after="0"/>
                              <w:jc w:val="center"/>
                              <w:rPr>
                                <w:b/>
                                <w:bCs/>
                                <w:color w:val="D5B788"/>
                                <w:spacing w:val="60"/>
                                <w:kern w:val="24"/>
                                <w:sz w:val="56"/>
                                <w:szCs w:val="56"/>
                              </w:rPr>
                            </w:pPr>
                            <w:r>
                              <w:rPr>
                                <w:b/>
                                <w:bCs/>
                                <w:color w:val="D5B788"/>
                                <w:spacing w:val="60"/>
                                <w:kern w:val="24"/>
                                <w:sz w:val="56"/>
                                <w:szCs w:val="56"/>
                              </w:rPr>
                              <w:t>INSTITUCIONAL</w:t>
                            </w:r>
                          </w:p>
                          <w:p w14:paraId="1250BFD0" w14:textId="77777777" w:rsidR="008148C8" w:rsidRPr="008D7F4E" w:rsidRDefault="008148C8" w:rsidP="008148C8">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1823ACA" id="_x0000_s1034" type="#_x0000_t202" style="position:absolute;left:0;text-align:left;margin-left:0;margin-top:81.55pt;width:453.45pt;height:7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" filled="f" stroked="f">
                <v:textbox inset="0,1.35pt,0,0">
                  <w:txbxContent>
                    <w:p w14:paraId="4BA5E159" w14:textId="77777777" w:rsidR="008148C8" w:rsidRDefault="008148C8" w:rsidP="008148C8">
                      <w:pPr>
                        <w:spacing w:after="0"/>
                        <w:jc w:val="center"/>
                        <w:rPr>
                          <w:b/>
                          <w:bCs/>
                          <w:color w:val="D5B788"/>
                          <w:spacing w:val="60"/>
                          <w:kern w:val="24"/>
                          <w:sz w:val="56"/>
                          <w:szCs w:val="56"/>
                        </w:rPr>
                      </w:pPr>
                      <w:r>
                        <w:rPr>
                          <w:b/>
                          <w:bCs/>
                          <w:color w:val="D5B788"/>
                          <w:spacing w:val="60"/>
                          <w:kern w:val="24"/>
                          <w:sz w:val="56"/>
                          <w:szCs w:val="56"/>
                        </w:rPr>
                        <w:t xml:space="preserve">MEMORIA </w:t>
                      </w:r>
                    </w:p>
                    <w:p w14:paraId="35C2EED2" w14:textId="77777777" w:rsidR="008148C8" w:rsidRDefault="008148C8" w:rsidP="008148C8">
                      <w:pPr>
                        <w:spacing w:after="0"/>
                        <w:jc w:val="center"/>
                        <w:rPr>
                          <w:b/>
                          <w:bCs/>
                          <w:color w:val="D5B788"/>
                          <w:spacing w:val="60"/>
                          <w:kern w:val="24"/>
                          <w:sz w:val="56"/>
                          <w:szCs w:val="56"/>
                        </w:rPr>
                      </w:pPr>
                      <w:r>
                        <w:rPr>
                          <w:b/>
                          <w:bCs/>
                          <w:color w:val="D5B788"/>
                          <w:spacing w:val="60"/>
                          <w:kern w:val="24"/>
                          <w:sz w:val="56"/>
                          <w:szCs w:val="56"/>
                        </w:rPr>
                        <w:t>INSTITUCIONAL</w:t>
                      </w:r>
                    </w:p>
                    <w:p w14:paraId="1250BFD0" w14:textId="77777777" w:rsidR="008148C8" w:rsidRPr="008D7F4E" w:rsidRDefault="008148C8" w:rsidP="008148C8">
                      <w:pPr>
                        <w:spacing w:after="0"/>
                        <w:jc w:val="center"/>
                        <w:rPr>
                          <w:b/>
                          <w:bCs/>
                          <w:color w:val="D5B788"/>
                          <w:spacing w:val="60"/>
                          <w:kern w:val="24"/>
                          <w:sz w:val="56"/>
                          <w:szCs w:val="56"/>
                        </w:rPr>
                      </w:pPr>
                    </w:p>
                  </w:txbxContent>
                </v:textbox>
              </v:shape>
            </w:pict>
          </mc:Fallback>
        </mc:AlternateContent>
      </w:r>
      <w:r w:rsidRPr="006D0445">
        <w:rPr>
          <w:noProof/>
          <w:color w:val="767171"/>
        </w:rPr>
        <mc:AlternateContent>
          <mc:Choice Requires="wps">
            <w:drawing>
              <wp:anchor distT="4294967295" distB="4294967295" distL="114300" distR="114300" simplePos="0" relativeHeight="251698176" behindDoc="0" locked="0" layoutInCell="1" allowOverlap="1" wp14:anchorId="001921ED" wp14:editId="482EEAE3">
                <wp:simplePos x="0" y="0"/>
                <wp:positionH relativeFrom="margin">
                  <wp:posOffset>2569210</wp:posOffset>
                </wp:positionH>
                <wp:positionV relativeFrom="paragraph">
                  <wp:posOffset>2445385</wp:posOffset>
                </wp:positionV>
                <wp:extent cx="463550" cy="0"/>
                <wp:effectExtent l="0" t="19050" r="31750" b="19050"/>
                <wp:wrapNone/>
                <wp:docPr id="21812787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A69F8A" id="Straight Connector 9" o:spid="_x0000_s1026" style="position:absolute;z-index:2516981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2.3pt,192.55pt" to="238.8pt,1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" strokecolor="#c8b688" strokeweight="2.25pt">
                <v:stroke joinstyle="miter"/>
                <o:lock v:ext="edit" shapetype="f"/>
                <w10:wrap anchorx="margin"/>
              </v:line>
            </w:pict>
          </mc:Fallback>
        </mc:AlternateContent>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r w:rsidR="004F2DD5" w:rsidRPr="006D0445">
        <w:rPr>
          <w:color w:val="767171"/>
        </w:rPr>
        <w:tab/>
      </w:r>
    </w:p>
    <w:p w14:paraId="59BD881C" w14:textId="52E82CA4" w:rsidR="00C6316D" w:rsidRPr="006D0445" w:rsidRDefault="00C6316D" w:rsidP="005E6948">
      <w:pPr>
        <w:rPr>
          <w:color w:val="767171"/>
        </w:rPr>
      </w:pPr>
    </w:p>
    <w:p w14:paraId="30057183" w14:textId="5BE07193" w:rsidR="00C6316D" w:rsidRPr="006D0445" w:rsidRDefault="00C6316D" w:rsidP="005E6948">
      <w:pPr>
        <w:rPr>
          <w:color w:val="767171"/>
        </w:rPr>
      </w:pPr>
    </w:p>
    <w:p w14:paraId="4C71FD14" w14:textId="4C06B897" w:rsidR="00C6316D" w:rsidRPr="006D0445" w:rsidRDefault="00C6316D" w:rsidP="005E6948">
      <w:pPr>
        <w:rPr>
          <w:color w:val="767171"/>
        </w:rPr>
      </w:pPr>
    </w:p>
    <w:p w14:paraId="38E447E8" w14:textId="28A75AF6" w:rsidR="00C6316D" w:rsidRPr="006D0445" w:rsidRDefault="00C6316D" w:rsidP="005E6948">
      <w:pPr>
        <w:rPr>
          <w:color w:val="767171"/>
        </w:rPr>
      </w:pPr>
    </w:p>
    <w:p w14:paraId="37595461" w14:textId="77777777" w:rsidR="00C6316D" w:rsidRPr="006D0445" w:rsidRDefault="00C6316D" w:rsidP="005E6948">
      <w:pPr>
        <w:rPr>
          <w:color w:val="767171"/>
        </w:rPr>
      </w:pPr>
    </w:p>
    <w:p w14:paraId="6F050B88" w14:textId="3D343E3A" w:rsidR="004F2DD5" w:rsidRPr="006D0445" w:rsidRDefault="004F2DD5" w:rsidP="005E6948">
      <w:pPr>
        <w:rPr>
          <w:color w:val="767171"/>
        </w:rPr>
      </w:pPr>
    </w:p>
    <w:p w14:paraId="17B5E9DF" w14:textId="53031EE3" w:rsidR="008D7F4E" w:rsidRPr="006D0445" w:rsidRDefault="00954A7C" w:rsidP="005E6948">
      <w:pPr>
        <w:rPr>
          <w:color w:val="767171"/>
        </w:rPr>
      </w:pPr>
      <w:r w:rsidRPr="006D0445">
        <w:rPr>
          <w:noProof/>
          <w:color w:val="767171"/>
        </w:rPr>
        <w:drawing>
          <wp:anchor distT="0" distB="0" distL="114300" distR="114300" simplePos="0" relativeHeight="251702272" behindDoc="0" locked="0" layoutInCell="1" allowOverlap="1" wp14:anchorId="6C4563A5" wp14:editId="5FA944AA">
            <wp:simplePos x="0" y="0"/>
            <wp:positionH relativeFrom="column">
              <wp:posOffset>3542665</wp:posOffset>
            </wp:positionH>
            <wp:positionV relativeFrom="paragraph">
              <wp:posOffset>442595</wp:posOffset>
            </wp:positionV>
            <wp:extent cx="2517775" cy="577850"/>
            <wp:effectExtent l="0" t="0" r="0" b="0"/>
            <wp:wrapNone/>
            <wp:docPr id="1639520232" name="Imagen 1639520232"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Pizarr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77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445">
        <w:rPr>
          <w:noProof/>
          <w:color w:val="767171"/>
        </w:rPr>
        <mc:AlternateContent>
          <mc:Choice Requires="wpg">
            <w:drawing>
              <wp:anchor distT="0" distB="0" distL="114300" distR="114300" simplePos="0" relativeHeight="251703296" behindDoc="0" locked="0" layoutInCell="1" allowOverlap="1" wp14:anchorId="2B22A81F" wp14:editId="0B89EF52">
                <wp:simplePos x="0" y="0"/>
                <wp:positionH relativeFrom="margin">
                  <wp:posOffset>0</wp:posOffset>
                </wp:positionH>
                <wp:positionV relativeFrom="paragraph">
                  <wp:posOffset>171729</wp:posOffset>
                </wp:positionV>
                <wp:extent cx="2535555" cy="1005840"/>
                <wp:effectExtent l="0" t="0" r="0" b="3810"/>
                <wp:wrapNone/>
                <wp:docPr id="643155627" name="Group 11"/>
                <wp:cNvGraphicFramePr/>
                <a:graphic xmlns:a="http://schemas.openxmlformats.org/drawingml/2006/main">
                  <a:graphicData uri="http://schemas.microsoft.com/office/word/2010/wordprocessingGroup">
                    <wpg:wgp>
                      <wpg:cNvGrpSpPr/>
                      <wpg:grpSpPr>
                        <a:xfrm>
                          <a:off x="0" y="0"/>
                          <a:ext cx="2535555" cy="1005840"/>
                          <a:chOff x="0" y="0"/>
                          <a:chExt cx="2267585" cy="1005840"/>
                        </a:xfrm>
                      </wpg:grpSpPr>
                      <wps:wsp>
                        <wps:cNvPr id="467784956" name="Text Box 34"/>
                        <wps:cNvSpPr txBox="1">
                          <a:spLocks/>
                        </wps:cNvSpPr>
                        <wps:spPr>
                          <a:xfrm>
                            <a:off x="0" y="600075"/>
                            <a:ext cx="2267585" cy="371475"/>
                          </a:xfrm>
                          <a:prstGeom prst="rect">
                            <a:avLst/>
                          </a:prstGeom>
                        </wps:spPr>
                        <wps:txbx>
                          <w:txbxContent>
                            <w:p w14:paraId="04CF7606" w14:textId="77777777" w:rsidR="00954A7C" w:rsidRPr="003A00CC" w:rsidRDefault="00954A7C" w:rsidP="00954A7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5EF8991" w14:textId="77777777" w:rsidR="00954A7C" w:rsidRDefault="00954A7C" w:rsidP="00954A7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901597991" name="Group 10"/>
                        <wpg:cNvGrpSpPr/>
                        <wpg:grpSpPr>
                          <a:xfrm>
                            <a:off x="0" y="0"/>
                            <a:ext cx="612775" cy="1005840"/>
                            <a:chOff x="0" y="0"/>
                            <a:chExt cx="612775" cy="1005840"/>
                          </a:xfrm>
                        </wpg:grpSpPr>
                        <wps:wsp>
                          <wps:cNvPr id="687375571"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74692313" name="Picture 35"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B22A81F" id="_x0000_s1035" style="position:absolute;left:0;text-align:left;margin-left:0;margin-top:13.5pt;width:199.65pt;height:79.2pt;z-index:251703296;mso-position-horizontal-relative:margin;mso-width-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">
                <v:shape id="Text Box 34" o:spid="_x0000_s1036"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" filled="f" stroked="f">
                  <v:textbox inset="0,1.2pt,0,0">
                    <w:txbxContent>
                      <w:p w14:paraId="04CF7606" w14:textId="77777777" w:rsidR="00954A7C" w:rsidRPr="003A00CC" w:rsidRDefault="00954A7C" w:rsidP="00954A7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5EF8991" w14:textId="77777777" w:rsidR="00954A7C" w:rsidRDefault="00954A7C" w:rsidP="00954A7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7"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">
                  <v:shape id="Freeform: Shape 33" o:spid="_x0000_s1038"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" path="m512457,l,,,24256r512457,l512457,xe" fillcolor="#d5b788" stroked="f">
                    <v:path arrowok="t"/>
                  </v:shape>
                  <v:shape id="Picture 35" o:spid="_x0000_s1039"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">
                    <v:imagedata r:id="rId10" o:title="Icon&#10;&#10;Description automatically generated"/>
                  </v:shape>
                </v:group>
                <w10:wrap anchorx="margin"/>
              </v:group>
            </w:pict>
          </mc:Fallback>
        </mc:AlternateContent>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r w:rsidR="008D7F4E" w:rsidRPr="006D0445">
        <w:rPr>
          <w:color w:val="767171"/>
        </w:rPr>
        <w:tab/>
      </w:r>
    </w:p>
    <w:p w14:paraId="38D9CF2E" w14:textId="3C77EBB5" w:rsidR="008D7F4E" w:rsidRPr="006D0445" w:rsidRDefault="008D7F4E" w:rsidP="005E6948">
      <w:pPr>
        <w:rPr>
          <w:color w:val="767171"/>
        </w:rPr>
      </w:pPr>
    </w:p>
    <w:p w14:paraId="16EDE6EA" w14:textId="51136D97" w:rsidR="008D7F4E" w:rsidRPr="006D0445" w:rsidRDefault="008D7F4E" w:rsidP="005E6948">
      <w:pPr>
        <w:rPr>
          <w:color w:val="767171"/>
        </w:rPr>
      </w:pPr>
    </w:p>
    <w:p w14:paraId="31E2FE32" w14:textId="10E8BE24" w:rsidR="00545797" w:rsidRPr="00B75B8B" w:rsidRDefault="00EB1014" w:rsidP="005569DE">
      <w:pPr>
        <w:jc w:val="center"/>
        <w:rPr>
          <w:color w:val="767171"/>
          <w:sz w:val="28"/>
          <w:szCs w:val="28"/>
        </w:rPr>
      </w:pPr>
      <w:r w:rsidRPr="00B75B8B">
        <w:rPr>
          <w:noProof/>
          <w:color w:val="767171"/>
          <w:sz w:val="28"/>
          <w:szCs w:val="28"/>
        </w:rPr>
        <mc:AlternateContent>
          <mc:Choice Requires="wps">
            <w:drawing>
              <wp:anchor distT="0" distB="0" distL="114300" distR="114300" simplePos="0" relativeHeight="251637760" behindDoc="0" locked="0" layoutInCell="1" allowOverlap="1" wp14:anchorId="1E07F231" wp14:editId="0786EB1B">
                <wp:simplePos x="0" y="0"/>
                <wp:positionH relativeFrom="margin">
                  <wp:posOffset>2743835</wp:posOffset>
                </wp:positionH>
                <wp:positionV relativeFrom="paragraph">
                  <wp:posOffset>280035</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221EF" id="Straight Connector 18"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22.05pt" to="252.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" strokecolor="#ee2a24" strokeweight="2.25pt">
                <v:stroke joinstyle="miter"/>
                <w10:wrap anchorx="margin"/>
              </v:line>
            </w:pict>
          </mc:Fallback>
        </mc:AlternateContent>
      </w:r>
      <w:r w:rsidR="006B67E1" w:rsidRPr="00B75B8B">
        <w:rPr>
          <w:color w:val="767171"/>
          <w:sz w:val="28"/>
          <w:szCs w:val="28"/>
        </w:rPr>
        <w:t>ÍNDICE</w:t>
      </w:r>
      <w:r w:rsidR="00545797" w:rsidRPr="00B75B8B">
        <w:rPr>
          <w:color w:val="767171"/>
          <w:sz w:val="28"/>
          <w:szCs w:val="28"/>
        </w:rPr>
        <w:t xml:space="preserve"> DE CONTENIDOS</w:t>
      </w:r>
    </w:p>
    <w:p w14:paraId="35D0C59C" w14:textId="5C670D3E" w:rsidR="00545797" w:rsidRPr="006D0445" w:rsidRDefault="00BE2BD1" w:rsidP="00EB1014">
      <w:pPr>
        <w:jc w:val="center"/>
        <w:rPr>
          <w:color w:val="767171"/>
        </w:rPr>
      </w:pPr>
      <w:r w:rsidRPr="006D0445">
        <w:rPr>
          <w:color w:val="767171"/>
        </w:rPr>
        <w:t>Memoria</w:t>
      </w:r>
      <w:r w:rsidR="00C64CEF" w:rsidRPr="006D0445">
        <w:rPr>
          <w:color w:val="767171"/>
        </w:rPr>
        <w:t xml:space="preserve"> </w:t>
      </w:r>
      <w:r w:rsidRPr="006D0445">
        <w:rPr>
          <w:color w:val="767171"/>
        </w:rPr>
        <w:t>Institucional</w:t>
      </w:r>
      <w:r w:rsidR="00545797" w:rsidRPr="006D0445">
        <w:rPr>
          <w:color w:val="767171"/>
        </w:rPr>
        <w:t xml:space="preserve"> </w:t>
      </w:r>
      <w:r w:rsidR="00F2650B" w:rsidRPr="006D0445">
        <w:rPr>
          <w:color w:val="767171"/>
        </w:rPr>
        <w:t>2024</w:t>
      </w:r>
    </w:p>
    <w:sdt>
      <w:sdtPr>
        <w:rPr>
          <w:color w:val="767171"/>
          <w:lang w:val="es-ES"/>
        </w:rPr>
        <w:id w:val="1056276090"/>
        <w:docPartObj>
          <w:docPartGallery w:val="Table of Contents"/>
          <w:docPartUnique/>
        </w:docPartObj>
      </w:sdtPr>
      <w:sdtEndPr>
        <w:rPr>
          <w:b/>
          <w:bCs/>
        </w:rPr>
      </w:sdtEndPr>
      <w:sdtContent>
        <w:p w14:paraId="6AFF5AAD" w14:textId="2136D33B" w:rsidR="000B1B78" w:rsidRDefault="00340CE1">
          <w:pPr>
            <w:pStyle w:val="TDC1"/>
            <w:rPr>
              <w:rFonts w:asciiTheme="minorHAnsi" w:eastAsiaTheme="minorEastAsia" w:hAnsiTheme="minorHAnsi" w:cstheme="minorBidi"/>
              <w:noProof/>
              <w:color w:val="auto"/>
              <w:kern w:val="2"/>
              <w14:ligatures w14:val="standardContextual"/>
            </w:rPr>
          </w:pPr>
          <w:r w:rsidRPr="006D0445">
            <w:rPr>
              <w:color w:val="767171"/>
              <w:sz w:val="22"/>
              <w:szCs w:val="22"/>
            </w:rPr>
            <w:fldChar w:fldCharType="begin"/>
          </w:r>
          <w:r w:rsidRPr="006D0445">
            <w:rPr>
              <w:color w:val="767171"/>
              <w:sz w:val="22"/>
              <w:szCs w:val="22"/>
            </w:rPr>
            <w:instrText xml:space="preserve"> TOC \o "1-3" \h \z \u </w:instrText>
          </w:r>
          <w:r w:rsidRPr="006D0445">
            <w:rPr>
              <w:color w:val="767171"/>
              <w:sz w:val="22"/>
              <w:szCs w:val="22"/>
            </w:rPr>
            <w:fldChar w:fldCharType="separate"/>
          </w:r>
          <w:hyperlink w:anchor="_Toc186147709" w:history="1">
            <w:r w:rsidR="000B1B78" w:rsidRPr="00C63640">
              <w:rPr>
                <w:rStyle w:val="Hipervnculo"/>
                <w:noProof/>
              </w:rPr>
              <w:t>I.</w:t>
            </w:r>
            <w:r w:rsidR="000B1B78">
              <w:rPr>
                <w:rFonts w:asciiTheme="minorHAnsi" w:eastAsiaTheme="minorEastAsia" w:hAnsiTheme="minorHAnsi" w:cstheme="minorBidi"/>
                <w:noProof/>
                <w:color w:val="auto"/>
                <w:kern w:val="2"/>
                <w14:ligatures w14:val="standardContextual"/>
              </w:rPr>
              <w:tab/>
            </w:r>
            <w:r w:rsidR="000B1B78" w:rsidRPr="00C63640">
              <w:rPr>
                <w:rStyle w:val="Hipervnculo"/>
                <w:noProof/>
              </w:rPr>
              <w:t>RESUMEN EJECUTIVO</w:t>
            </w:r>
            <w:r w:rsidR="000B1B78">
              <w:rPr>
                <w:noProof/>
                <w:webHidden/>
              </w:rPr>
              <w:tab/>
            </w:r>
            <w:r w:rsidR="000B1B78">
              <w:rPr>
                <w:noProof/>
                <w:webHidden/>
              </w:rPr>
              <w:fldChar w:fldCharType="begin"/>
            </w:r>
            <w:r w:rsidR="000B1B78">
              <w:rPr>
                <w:noProof/>
                <w:webHidden/>
              </w:rPr>
              <w:instrText xml:space="preserve"> PAGEREF _Toc186147709 \h </w:instrText>
            </w:r>
            <w:r w:rsidR="000B1B78">
              <w:rPr>
                <w:noProof/>
                <w:webHidden/>
              </w:rPr>
            </w:r>
            <w:r w:rsidR="000B1B78">
              <w:rPr>
                <w:noProof/>
                <w:webHidden/>
              </w:rPr>
              <w:fldChar w:fldCharType="separate"/>
            </w:r>
            <w:r w:rsidR="000B1B78">
              <w:rPr>
                <w:noProof/>
                <w:webHidden/>
              </w:rPr>
              <w:t>1</w:t>
            </w:r>
            <w:r w:rsidR="000B1B78">
              <w:rPr>
                <w:noProof/>
                <w:webHidden/>
              </w:rPr>
              <w:fldChar w:fldCharType="end"/>
            </w:r>
          </w:hyperlink>
        </w:p>
        <w:p w14:paraId="61467CBB" w14:textId="6E97127F" w:rsidR="000B1B78" w:rsidRDefault="000B1B78">
          <w:pPr>
            <w:pStyle w:val="TDC1"/>
            <w:rPr>
              <w:rFonts w:asciiTheme="minorHAnsi" w:eastAsiaTheme="minorEastAsia" w:hAnsiTheme="minorHAnsi" w:cstheme="minorBidi"/>
              <w:noProof/>
              <w:color w:val="auto"/>
              <w:kern w:val="2"/>
              <w14:ligatures w14:val="standardContextual"/>
            </w:rPr>
          </w:pPr>
          <w:hyperlink w:anchor="_Toc186147710" w:history="1">
            <w:r w:rsidRPr="00C63640">
              <w:rPr>
                <w:rStyle w:val="Hipervnculo"/>
                <w:noProof/>
              </w:rPr>
              <w:t>II.</w:t>
            </w:r>
            <w:r>
              <w:rPr>
                <w:rFonts w:asciiTheme="minorHAnsi" w:eastAsiaTheme="minorEastAsia" w:hAnsiTheme="minorHAnsi" w:cstheme="minorBidi"/>
                <w:noProof/>
                <w:color w:val="auto"/>
                <w:kern w:val="2"/>
                <w14:ligatures w14:val="standardContextual"/>
              </w:rPr>
              <w:tab/>
            </w:r>
            <w:r w:rsidRPr="00C63640">
              <w:rPr>
                <w:rStyle w:val="Hipervnculo"/>
                <w:noProof/>
              </w:rPr>
              <w:t>INFORMACIÓN INSTITUCIONAL</w:t>
            </w:r>
            <w:r>
              <w:rPr>
                <w:noProof/>
                <w:webHidden/>
              </w:rPr>
              <w:tab/>
            </w:r>
            <w:r>
              <w:rPr>
                <w:noProof/>
                <w:webHidden/>
              </w:rPr>
              <w:fldChar w:fldCharType="begin"/>
            </w:r>
            <w:r>
              <w:rPr>
                <w:noProof/>
                <w:webHidden/>
              </w:rPr>
              <w:instrText xml:space="preserve"> PAGEREF _Toc186147710 \h </w:instrText>
            </w:r>
            <w:r>
              <w:rPr>
                <w:noProof/>
                <w:webHidden/>
              </w:rPr>
            </w:r>
            <w:r>
              <w:rPr>
                <w:noProof/>
                <w:webHidden/>
              </w:rPr>
              <w:fldChar w:fldCharType="separate"/>
            </w:r>
            <w:r>
              <w:rPr>
                <w:noProof/>
                <w:webHidden/>
              </w:rPr>
              <w:t>6</w:t>
            </w:r>
            <w:r>
              <w:rPr>
                <w:noProof/>
                <w:webHidden/>
              </w:rPr>
              <w:fldChar w:fldCharType="end"/>
            </w:r>
          </w:hyperlink>
        </w:p>
        <w:p w14:paraId="682C02B3" w14:textId="1F9E4A95" w:rsidR="000B1B78" w:rsidRDefault="000B1B78">
          <w:pPr>
            <w:pStyle w:val="TDC2"/>
            <w:rPr>
              <w:rFonts w:asciiTheme="minorHAnsi" w:eastAsiaTheme="minorEastAsia" w:hAnsiTheme="minorHAnsi" w:cstheme="minorBidi"/>
              <w:noProof/>
              <w:color w:val="auto"/>
              <w:kern w:val="2"/>
              <w14:ligatures w14:val="standardContextual"/>
            </w:rPr>
          </w:pPr>
          <w:hyperlink w:anchor="_Toc186147711" w:history="1">
            <w:r w:rsidRPr="00C63640">
              <w:rPr>
                <w:rStyle w:val="Hipervnculo"/>
                <w:rFonts w:eastAsia="Calibri"/>
                <w:noProof/>
              </w:rPr>
              <w:t>2.1.</w:t>
            </w:r>
            <w:r>
              <w:rPr>
                <w:rFonts w:asciiTheme="minorHAnsi" w:eastAsiaTheme="minorEastAsia" w:hAnsiTheme="minorHAnsi" w:cstheme="minorBidi"/>
                <w:noProof/>
                <w:color w:val="auto"/>
                <w:kern w:val="2"/>
                <w14:ligatures w14:val="standardContextual"/>
              </w:rPr>
              <w:tab/>
            </w:r>
            <w:r w:rsidRPr="00C63640">
              <w:rPr>
                <w:rStyle w:val="Hipervnculo"/>
                <w:noProof/>
              </w:rPr>
              <w:t>Marco Filosófico Institucional</w:t>
            </w:r>
            <w:r>
              <w:rPr>
                <w:noProof/>
                <w:webHidden/>
              </w:rPr>
              <w:tab/>
            </w:r>
            <w:r>
              <w:rPr>
                <w:noProof/>
                <w:webHidden/>
              </w:rPr>
              <w:fldChar w:fldCharType="begin"/>
            </w:r>
            <w:r>
              <w:rPr>
                <w:noProof/>
                <w:webHidden/>
              </w:rPr>
              <w:instrText xml:space="preserve"> PAGEREF _Toc186147711 \h </w:instrText>
            </w:r>
            <w:r>
              <w:rPr>
                <w:noProof/>
                <w:webHidden/>
              </w:rPr>
            </w:r>
            <w:r>
              <w:rPr>
                <w:noProof/>
                <w:webHidden/>
              </w:rPr>
              <w:fldChar w:fldCharType="separate"/>
            </w:r>
            <w:r>
              <w:rPr>
                <w:noProof/>
                <w:webHidden/>
              </w:rPr>
              <w:t>6</w:t>
            </w:r>
            <w:r>
              <w:rPr>
                <w:noProof/>
                <w:webHidden/>
              </w:rPr>
              <w:fldChar w:fldCharType="end"/>
            </w:r>
          </w:hyperlink>
        </w:p>
        <w:p w14:paraId="7B707506" w14:textId="20D8045D" w:rsidR="000B1B78" w:rsidRDefault="000B1B78">
          <w:pPr>
            <w:pStyle w:val="TDC2"/>
            <w:rPr>
              <w:rFonts w:asciiTheme="minorHAnsi" w:eastAsiaTheme="minorEastAsia" w:hAnsiTheme="minorHAnsi" w:cstheme="minorBidi"/>
              <w:noProof/>
              <w:color w:val="auto"/>
              <w:kern w:val="2"/>
              <w14:ligatures w14:val="standardContextual"/>
            </w:rPr>
          </w:pPr>
          <w:hyperlink w:anchor="_Toc186147712" w:history="1">
            <w:r w:rsidRPr="00C63640">
              <w:rPr>
                <w:rStyle w:val="Hipervnculo"/>
                <w:noProof/>
              </w:rPr>
              <w:t>a.</w:t>
            </w:r>
            <w:r>
              <w:rPr>
                <w:rFonts w:asciiTheme="minorHAnsi" w:eastAsiaTheme="minorEastAsia" w:hAnsiTheme="minorHAnsi" w:cstheme="minorBidi"/>
                <w:noProof/>
                <w:color w:val="auto"/>
                <w:kern w:val="2"/>
                <w14:ligatures w14:val="standardContextual"/>
              </w:rPr>
              <w:tab/>
            </w:r>
            <w:r w:rsidRPr="00C63640">
              <w:rPr>
                <w:rStyle w:val="Hipervnculo"/>
                <w:noProof/>
              </w:rPr>
              <w:t>Misión</w:t>
            </w:r>
            <w:r>
              <w:rPr>
                <w:noProof/>
                <w:webHidden/>
              </w:rPr>
              <w:tab/>
            </w:r>
            <w:r>
              <w:rPr>
                <w:noProof/>
                <w:webHidden/>
              </w:rPr>
              <w:fldChar w:fldCharType="begin"/>
            </w:r>
            <w:r>
              <w:rPr>
                <w:noProof/>
                <w:webHidden/>
              </w:rPr>
              <w:instrText xml:space="preserve"> PAGEREF _Toc186147712 \h </w:instrText>
            </w:r>
            <w:r>
              <w:rPr>
                <w:noProof/>
                <w:webHidden/>
              </w:rPr>
            </w:r>
            <w:r>
              <w:rPr>
                <w:noProof/>
                <w:webHidden/>
              </w:rPr>
              <w:fldChar w:fldCharType="separate"/>
            </w:r>
            <w:r>
              <w:rPr>
                <w:noProof/>
                <w:webHidden/>
              </w:rPr>
              <w:t>6</w:t>
            </w:r>
            <w:r>
              <w:rPr>
                <w:noProof/>
                <w:webHidden/>
              </w:rPr>
              <w:fldChar w:fldCharType="end"/>
            </w:r>
          </w:hyperlink>
        </w:p>
        <w:p w14:paraId="24466BE1" w14:textId="441F00F9" w:rsidR="000B1B78" w:rsidRDefault="000B1B78">
          <w:pPr>
            <w:pStyle w:val="TDC2"/>
            <w:rPr>
              <w:rFonts w:asciiTheme="minorHAnsi" w:eastAsiaTheme="minorEastAsia" w:hAnsiTheme="minorHAnsi" w:cstheme="minorBidi"/>
              <w:noProof/>
              <w:color w:val="auto"/>
              <w:kern w:val="2"/>
              <w14:ligatures w14:val="standardContextual"/>
            </w:rPr>
          </w:pPr>
          <w:hyperlink w:anchor="_Toc186147713" w:history="1">
            <w:r w:rsidRPr="00C63640">
              <w:rPr>
                <w:rStyle w:val="Hipervnculo"/>
                <w:noProof/>
              </w:rPr>
              <w:t>b.</w:t>
            </w:r>
            <w:r>
              <w:rPr>
                <w:rFonts w:asciiTheme="minorHAnsi" w:eastAsiaTheme="minorEastAsia" w:hAnsiTheme="minorHAnsi" w:cstheme="minorBidi"/>
                <w:noProof/>
                <w:color w:val="auto"/>
                <w:kern w:val="2"/>
                <w14:ligatures w14:val="standardContextual"/>
              </w:rPr>
              <w:tab/>
            </w:r>
            <w:r w:rsidRPr="00C63640">
              <w:rPr>
                <w:rStyle w:val="Hipervnculo"/>
                <w:noProof/>
              </w:rPr>
              <w:t>Visión</w:t>
            </w:r>
            <w:r>
              <w:rPr>
                <w:noProof/>
                <w:webHidden/>
              </w:rPr>
              <w:tab/>
            </w:r>
            <w:r>
              <w:rPr>
                <w:noProof/>
                <w:webHidden/>
              </w:rPr>
              <w:fldChar w:fldCharType="begin"/>
            </w:r>
            <w:r>
              <w:rPr>
                <w:noProof/>
                <w:webHidden/>
              </w:rPr>
              <w:instrText xml:space="preserve"> PAGEREF _Toc186147713 \h </w:instrText>
            </w:r>
            <w:r>
              <w:rPr>
                <w:noProof/>
                <w:webHidden/>
              </w:rPr>
            </w:r>
            <w:r>
              <w:rPr>
                <w:noProof/>
                <w:webHidden/>
              </w:rPr>
              <w:fldChar w:fldCharType="separate"/>
            </w:r>
            <w:r>
              <w:rPr>
                <w:noProof/>
                <w:webHidden/>
              </w:rPr>
              <w:t>6</w:t>
            </w:r>
            <w:r>
              <w:rPr>
                <w:noProof/>
                <w:webHidden/>
              </w:rPr>
              <w:fldChar w:fldCharType="end"/>
            </w:r>
          </w:hyperlink>
        </w:p>
        <w:p w14:paraId="3CA56497" w14:textId="2D5EB0F8" w:rsidR="000B1B78" w:rsidRDefault="000B1B78">
          <w:pPr>
            <w:pStyle w:val="TDC2"/>
            <w:rPr>
              <w:rFonts w:asciiTheme="minorHAnsi" w:eastAsiaTheme="minorEastAsia" w:hAnsiTheme="minorHAnsi" w:cstheme="minorBidi"/>
              <w:noProof/>
              <w:color w:val="auto"/>
              <w:kern w:val="2"/>
              <w14:ligatures w14:val="standardContextual"/>
            </w:rPr>
          </w:pPr>
          <w:hyperlink w:anchor="_Toc186147714" w:history="1">
            <w:r w:rsidRPr="00C63640">
              <w:rPr>
                <w:rStyle w:val="Hipervnculo"/>
                <w:noProof/>
              </w:rPr>
              <w:t>c.</w:t>
            </w:r>
            <w:r>
              <w:rPr>
                <w:rFonts w:asciiTheme="minorHAnsi" w:eastAsiaTheme="minorEastAsia" w:hAnsiTheme="minorHAnsi" w:cstheme="minorBidi"/>
                <w:noProof/>
                <w:color w:val="auto"/>
                <w:kern w:val="2"/>
                <w14:ligatures w14:val="standardContextual"/>
              </w:rPr>
              <w:tab/>
            </w:r>
            <w:r w:rsidRPr="00C63640">
              <w:rPr>
                <w:rStyle w:val="Hipervnculo"/>
                <w:noProof/>
              </w:rPr>
              <w:t>Valores</w:t>
            </w:r>
            <w:r>
              <w:rPr>
                <w:noProof/>
                <w:webHidden/>
              </w:rPr>
              <w:tab/>
            </w:r>
            <w:r>
              <w:rPr>
                <w:noProof/>
                <w:webHidden/>
              </w:rPr>
              <w:fldChar w:fldCharType="begin"/>
            </w:r>
            <w:r>
              <w:rPr>
                <w:noProof/>
                <w:webHidden/>
              </w:rPr>
              <w:instrText xml:space="preserve"> PAGEREF _Toc186147714 \h </w:instrText>
            </w:r>
            <w:r>
              <w:rPr>
                <w:noProof/>
                <w:webHidden/>
              </w:rPr>
            </w:r>
            <w:r>
              <w:rPr>
                <w:noProof/>
                <w:webHidden/>
              </w:rPr>
              <w:fldChar w:fldCharType="separate"/>
            </w:r>
            <w:r>
              <w:rPr>
                <w:noProof/>
                <w:webHidden/>
              </w:rPr>
              <w:t>6</w:t>
            </w:r>
            <w:r>
              <w:rPr>
                <w:noProof/>
                <w:webHidden/>
              </w:rPr>
              <w:fldChar w:fldCharType="end"/>
            </w:r>
          </w:hyperlink>
        </w:p>
        <w:p w14:paraId="3010C422" w14:textId="2E4600CF" w:rsidR="000B1B78" w:rsidRDefault="000B1B78">
          <w:pPr>
            <w:pStyle w:val="TDC2"/>
            <w:rPr>
              <w:rFonts w:asciiTheme="minorHAnsi" w:eastAsiaTheme="minorEastAsia" w:hAnsiTheme="minorHAnsi" w:cstheme="minorBidi"/>
              <w:noProof/>
              <w:color w:val="auto"/>
              <w:kern w:val="2"/>
              <w14:ligatures w14:val="standardContextual"/>
            </w:rPr>
          </w:pPr>
          <w:hyperlink w:anchor="_Toc186147715" w:history="1">
            <w:r w:rsidRPr="00C63640">
              <w:rPr>
                <w:rStyle w:val="Hipervnculo"/>
                <w:rFonts w:eastAsia="Calibri"/>
                <w:noProof/>
              </w:rPr>
              <w:t>2.2.</w:t>
            </w:r>
            <w:r>
              <w:rPr>
                <w:rFonts w:asciiTheme="minorHAnsi" w:eastAsiaTheme="minorEastAsia" w:hAnsiTheme="minorHAnsi" w:cstheme="minorBidi"/>
                <w:noProof/>
                <w:color w:val="auto"/>
                <w:kern w:val="2"/>
                <w14:ligatures w14:val="standardContextual"/>
              </w:rPr>
              <w:tab/>
            </w:r>
            <w:r w:rsidRPr="00C63640">
              <w:rPr>
                <w:rStyle w:val="Hipervnculo"/>
                <w:noProof/>
              </w:rPr>
              <w:t>Base Legal</w:t>
            </w:r>
            <w:r>
              <w:rPr>
                <w:noProof/>
                <w:webHidden/>
              </w:rPr>
              <w:tab/>
            </w:r>
            <w:r>
              <w:rPr>
                <w:noProof/>
                <w:webHidden/>
              </w:rPr>
              <w:fldChar w:fldCharType="begin"/>
            </w:r>
            <w:r>
              <w:rPr>
                <w:noProof/>
                <w:webHidden/>
              </w:rPr>
              <w:instrText xml:space="preserve"> PAGEREF _Toc186147715 \h </w:instrText>
            </w:r>
            <w:r>
              <w:rPr>
                <w:noProof/>
                <w:webHidden/>
              </w:rPr>
            </w:r>
            <w:r>
              <w:rPr>
                <w:noProof/>
                <w:webHidden/>
              </w:rPr>
              <w:fldChar w:fldCharType="separate"/>
            </w:r>
            <w:r>
              <w:rPr>
                <w:noProof/>
                <w:webHidden/>
              </w:rPr>
              <w:t>7</w:t>
            </w:r>
            <w:r>
              <w:rPr>
                <w:noProof/>
                <w:webHidden/>
              </w:rPr>
              <w:fldChar w:fldCharType="end"/>
            </w:r>
          </w:hyperlink>
        </w:p>
        <w:p w14:paraId="0E410693" w14:textId="64767428" w:rsidR="000B1B78" w:rsidRDefault="000B1B78">
          <w:pPr>
            <w:pStyle w:val="TDC2"/>
            <w:rPr>
              <w:rFonts w:asciiTheme="minorHAnsi" w:eastAsiaTheme="minorEastAsia" w:hAnsiTheme="minorHAnsi" w:cstheme="minorBidi"/>
              <w:noProof/>
              <w:color w:val="auto"/>
              <w:kern w:val="2"/>
              <w14:ligatures w14:val="standardContextual"/>
            </w:rPr>
          </w:pPr>
          <w:hyperlink w:anchor="_Toc186147716" w:history="1">
            <w:r w:rsidRPr="00C63640">
              <w:rPr>
                <w:rStyle w:val="Hipervnculo"/>
                <w:rFonts w:eastAsia="Calibri"/>
                <w:noProof/>
              </w:rPr>
              <w:t>2.3.</w:t>
            </w:r>
            <w:r>
              <w:rPr>
                <w:rFonts w:asciiTheme="minorHAnsi" w:eastAsiaTheme="minorEastAsia" w:hAnsiTheme="minorHAnsi" w:cstheme="minorBidi"/>
                <w:noProof/>
                <w:color w:val="auto"/>
                <w:kern w:val="2"/>
                <w14:ligatures w14:val="standardContextual"/>
              </w:rPr>
              <w:tab/>
            </w:r>
            <w:r w:rsidRPr="00C63640">
              <w:rPr>
                <w:rStyle w:val="Hipervnculo"/>
                <w:noProof/>
              </w:rPr>
              <w:t>Estructura Organizativa</w:t>
            </w:r>
            <w:r>
              <w:rPr>
                <w:noProof/>
                <w:webHidden/>
              </w:rPr>
              <w:tab/>
            </w:r>
            <w:r>
              <w:rPr>
                <w:noProof/>
                <w:webHidden/>
              </w:rPr>
              <w:fldChar w:fldCharType="begin"/>
            </w:r>
            <w:r>
              <w:rPr>
                <w:noProof/>
                <w:webHidden/>
              </w:rPr>
              <w:instrText xml:space="preserve"> PAGEREF _Toc186147716 \h </w:instrText>
            </w:r>
            <w:r>
              <w:rPr>
                <w:noProof/>
                <w:webHidden/>
              </w:rPr>
            </w:r>
            <w:r>
              <w:rPr>
                <w:noProof/>
                <w:webHidden/>
              </w:rPr>
              <w:fldChar w:fldCharType="separate"/>
            </w:r>
            <w:r>
              <w:rPr>
                <w:noProof/>
                <w:webHidden/>
              </w:rPr>
              <w:t>9</w:t>
            </w:r>
            <w:r>
              <w:rPr>
                <w:noProof/>
                <w:webHidden/>
              </w:rPr>
              <w:fldChar w:fldCharType="end"/>
            </w:r>
          </w:hyperlink>
        </w:p>
        <w:p w14:paraId="6FA5EE0C" w14:textId="5DF2B380" w:rsidR="000B1B78" w:rsidRDefault="000B1B78">
          <w:pPr>
            <w:pStyle w:val="TDC2"/>
            <w:rPr>
              <w:rFonts w:asciiTheme="minorHAnsi" w:eastAsiaTheme="minorEastAsia" w:hAnsiTheme="minorHAnsi" w:cstheme="minorBidi"/>
              <w:noProof/>
              <w:color w:val="auto"/>
              <w:kern w:val="2"/>
              <w14:ligatures w14:val="standardContextual"/>
            </w:rPr>
          </w:pPr>
          <w:hyperlink w:anchor="_Toc186147717" w:history="1">
            <w:r w:rsidRPr="00C63640">
              <w:rPr>
                <w:rStyle w:val="Hipervnculo"/>
                <w:rFonts w:eastAsia="Calibri"/>
                <w:noProof/>
              </w:rPr>
              <w:t>2.4.</w:t>
            </w:r>
            <w:r>
              <w:rPr>
                <w:rFonts w:asciiTheme="minorHAnsi" w:eastAsiaTheme="minorEastAsia" w:hAnsiTheme="minorHAnsi" w:cstheme="minorBidi"/>
                <w:noProof/>
                <w:color w:val="auto"/>
                <w:kern w:val="2"/>
                <w14:ligatures w14:val="standardContextual"/>
              </w:rPr>
              <w:tab/>
            </w:r>
            <w:r w:rsidRPr="00C63640">
              <w:rPr>
                <w:rStyle w:val="Hipervnculo"/>
                <w:noProof/>
              </w:rPr>
              <w:t>Planificación Estratégica Institucional</w:t>
            </w:r>
            <w:r>
              <w:rPr>
                <w:noProof/>
                <w:webHidden/>
              </w:rPr>
              <w:tab/>
            </w:r>
            <w:r>
              <w:rPr>
                <w:noProof/>
                <w:webHidden/>
              </w:rPr>
              <w:fldChar w:fldCharType="begin"/>
            </w:r>
            <w:r>
              <w:rPr>
                <w:noProof/>
                <w:webHidden/>
              </w:rPr>
              <w:instrText xml:space="preserve"> PAGEREF _Toc186147717 \h </w:instrText>
            </w:r>
            <w:r>
              <w:rPr>
                <w:noProof/>
                <w:webHidden/>
              </w:rPr>
            </w:r>
            <w:r>
              <w:rPr>
                <w:noProof/>
                <w:webHidden/>
              </w:rPr>
              <w:fldChar w:fldCharType="separate"/>
            </w:r>
            <w:r>
              <w:rPr>
                <w:noProof/>
                <w:webHidden/>
              </w:rPr>
              <w:t>11</w:t>
            </w:r>
            <w:r>
              <w:rPr>
                <w:noProof/>
                <w:webHidden/>
              </w:rPr>
              <w:fldChar w:fldCharType="end"/>
            </w:r>
          </w:hyperlink>
        </w:p>
        <w:p w14:paraId="4BAA287C" w14:textId="29FA3F4F" w:rsidR="000B1B78" w:rsidRDefault="000B1B78">
          <w:pPr>
            <w:pStyle w:val="TDC1"/>
            <w:rPr>
              <w:rFonts w:asciiTheme="minorHAnsi" w:eastAsiaTheme="minorEastAsia" w:hAnsiTheme="minorHAnsi" w:cstheme="minorBidi"/>
              <w:noProof/>
              <w:color w:val="auto"/>
              <w:kern w:val="2"/>
              <w14:ligatures w14:val="standardContextual"/>
            </w:rPr>
          </w:pPr>
          <w:hyperlink w:anchor="_Toc186147718" w:history="1">
            <w:r w:rsidRPr="00C63640">
              <w:rPr>
                <w:rStyle w:val="Hipervnculo"/>
                <w:noProof/>
              </w:rPr>
              <w:t>III.</w:t>
            </w:r>
            <w:r>
              <w:rPr>
                <w:rFonts w:asciiTheme="minorHAnsi" w:eastAsiaTheme="minorEastAsia" w:hAnsiTheme="minorHAnsi" w:cstheme="minorBidi"/>
                <w:noProof/>
                <w:color w:val="auto"/>
                <w:kern w:val="2"/>
                <w14:ligatures w14:val="standardContextual"/>
              </w:rPr>
              <w:tab/>
            </w:r>
            <w:r w:rsidRPr="00C63640">
              <w:rPr>
                <w:rStyle w:val="Hipervnculo"/>
                <w:noProof/>
              </w:rPr>
              <w:t>RESULTADOS MISIONALES</w:t>
            </w:r>
            <w:r>
              <w:rPr>
                <w:noProof/>
                <w:webHidden/>
              </w:rPr>
              <w:tab/>
            </w:r>
            <w:r>
              <w:rPr>
                <w:noProof/>
                <w:webHidden/>
              </w:rPr>
              <w:fldChar w:fldCharType="begin"/>
            </w:r>
            <w:r>
              <w:rPr>
                <w:noProof/>
                <w:webHidden/>
              </w:rPr>
              <w:instrText xml:space="preserve"> PAGEREF _Toc186147718 \h </w:instrText>
            </w:r>
            <w:r>
              <w:rPr>
                <w:noProof/>
                <w:webHidden/>
              </w:rPr>
            </w:r>
            <w:r>
              <w:rPr>
                <w:noProof/>
                <w:webHidden/>
              </w:rPr>
              <w:fldChar w:fldCharType="separate"/>
            </w:r>
            <w:r>
              <w:rPr>
                <w:noProof/>
                <w:webHidden/>
              </w:rPr>
              <w:t>15</w:t>
            </w:r>
            <w:r>
              <w:rPr>
                <w:noProof/>
                <w:webHidden/>
              </w:rPr>
              <w:fldChar w:fldCharType="end"/>
            </w:r>
          </w:hyperlink>
        </w:p>
        <w:p w14:paraId="59E00D10" w14:textId="706725B7" w:rsidR="000B1B78" w:rsidRDefault="000B1B78">
          <w:pPr>
            <w:pStyle w:val="TDC1"/>
            <w:rPr>
              <w:rFonts w:asciiTheme="minorHAnsi" w:eastAsiaTheme="minorEastAsia" w:hAnsiTheme="minorHAnsi" w:cstheme="minorBidi"/>
              <w:noProof/>
              <w:color w:val="auto"/>
              <w:kern w:val="2"/>
              <w14:ligatures w14:val="standardContextual"/>
            </w:rPr>
          </w:pPr>
          <w:hyperlink w:anchor="_Toc186147719" w:history="1">
            <w:r w:rsidRPr="00C63640">
              <w:rPr>
                <w:rStyle w:val="Hipervnculo"/>
                <w:noProof/>
              </w:rPr>
              <w:t>IV.</w:t>
            </w:r>
            <w:r>
              <w:rPr>
                <w:rFonts w:asciiTheme="minorHAnsi" w:eastAsiaTheme="minorEastAsia" w:hAnsiTheme="minorHAnsi" w:cstheme="minorBidi"/>
                <w:noProof/>
                <w:color w:val="auto"/>
                <w:kern w:val="2"/>
                <w14:ligatures w14:val="standardContextual"/>
              </w:rPr>
              <w:tab/>
            </w:r>
            <w:r w:rsidRPr="00C63640">
              <w:rPr>
                <w:rStyle w:val="Hipervnculo"/>
                <w:noProof/>
              </w:rPr>
              <w:t>RESULTADOS ÁREAS TRANSVERSALES Y DE APOYO</w:t>
            </w:r>
            <w:r>
              <w:rPr>
                <w:noProof/>
                <w:webHidden/>
              </w:rPr>
              <w:tab/>
            </w:r>
            <w:r>
              <w:rPr>
                <w:noProof/>
                <w:webHidden/>
              </w:rPr>
              <w:fldChar w:fldCharType="begin"/>
            </w:r>
            <w:r>
              <w:rPr>
                <w:noProof/>
                <w:webHidden/>
              </w:rPr>
              <w:instrText xml:space="preserve"> PAGEREF _Toc186147719 \h </w:instrText>
            </w:r>
            <w:r>
              <w:rPr>
                <w:noProof/>
                <w:webHidden/>
              </w:rPr>
            </w:r>
            <w:r>
              <w:rPr>
                <w:noProof/>
                <w:webHidden/>
              </w:rPr>
              <w:fldChar w:fldCharType="separate"/>
            </w:r>
            <w:r>
              <w:rPr>
                <w:noProof/>
                <w:webHidden/>
              </w:rPr>
              <w:t>26</w:t>
            </w:r>
            <w:r>
              <w:rPr>
                <w:noProof/>
                <w:webHidden/>
              </w:rPr>
              <w:fldChar w:fldCharType="end"/>
            </w:r>
          </w:hyperlink>
        </w:p>
        <w:p w14:paraId="03620DDC" w14:textId="060D09B8" w:rsidR="000B1B78" w:rsidRDefault="000B1B78">
          <w:pPr>
            <w:pStyle w:val="TDC2"/>
            <w:rPr>
              <w:rFonts w:asciiTheme="minorHAnsi" w:eastAsiaTheme="minorEastAsia" w:hAnsiTheme="minorHAnsi" w:cstheme="minorBidi"/>
              <w:noProof/>
              <w:color w:val="auto"/>
              <w:kern w:val="2"/>
              <w14:ligatures w14:val="standardContextual"/>
            </w:rPr>
          </w:pPr>
          <w:hyperlink w:anchor="_Toc186147720" w:history="1">
            <w:r w:rsidRPr="00C63640">
              <w:rPr>
                <w:rStyle w:val="Hipervnculo"/>
                <w:rFonts w:eastAsia="Calibri"/>
                <w:noProof/>
              </w:rPr>
              <w:t>4.1.</w:t>
            </w:r>
            <w:r>
              <w:rPr>
                <w:rFonts w:asciiTheme="minorHAnsi" w:eastAsiaTheme="minorEastAsia" w:hAnsiTheme="minorHAnsi" w:cstheme="minorBidi"/>
                <w:noProof/>
                <w:color w:val="auto"/>
                <w:kern w:val="2"/>
                <w14:ligatures w14:val="standardContextual"/>
              </w:rPr>
              <w:tab/>
            </w:r>
            <w:r w:rsidRPr="00C63640">
              <w:rPr>
                <w:rStyle w:val="Hipervnculo"/>
                <w:noProof/>
              </w:rPr>
              <w:t>Desempeño Área Administrativa y Financiera</w:t>
            </w:r>
            <w:r>
              <w:rPr>
                <w:noProof/>
                <w:webHidden/>
              </w:rPr>
              <w:tab/>
            </w:r>
            <w:r>
              <w:rPr>
                <w:noProof/>
                <w:webHidden/>
              </w:rPr>
              <w:fldChar w:fldCharType="begin"/>
            </w:r>
            <w:r>
              <w:rPr>
                <w:noProof/>
                <w:webHidden/>
              </w:rPr>
              <w:instrText xml:space="preserve"> PAGEREF _Toc186147720 \h </w:instrText>
            </w:r>
            <w:r>
              <w:rPr>
                <w:noProof/>
                <w:webHidden/>
              </w:rPr>
            </w:r>
            <w:r>
              <w:rPr>
                <w:noProof/>
                <w:webHidden/>
              </w:rPr>
              <w:fldChar w:fldCharType="separate"/>
            </w:r>
            <w:r>
              <w:rPr>
                <w:noProof/>
                <w:webHidden/>
              </w:rPr>
              <w:t>26</w:t>
            </w:r>
            <w:r>
              <w:rPr>
                <w:noProof/>
                <w:webHidden/>
              </w:rPr>
              <w:fldChar w:fldCharType="end"/>
            </w:r>
          </w:hyperlink>
        </w:p>
        <w:p w14:paraId="63BA6BBD" w14:textId="2DD57A42" w:rsidR="000B1B78" w:rsidRDefault="000B1B78">
          <w:pPr>
            <w:pStyle w:val="TDC2"/>
            <w:rPr>
              <w:rFonts w:asciiTheme="minorHAnsi" w:eastAsiaTheme="minorEastAsia" w:hAnsiTheme="minorHAnsi" w:cstheme="minorBidi"/>
              <w:noProof/>
              <w:color w:val="auto"/>
              <w:kern w:val="2"/>
              <w14:ligatures w14:val="standardContextual"/>
            </w:rPr>
          </w:pPr>
          <w:hyperlink w:anchor="_Toc186147721" w:history="1">
            <w:r w:rsidRPr="00C63640">
              <w:rPr>
                <w:rStyle w:val="Hipervnculo"/>
                <w:rFonts w:eastAsia="Calibri"/>
                <w:noProof/>
              </w:rPr>
              <w:t>4.2.</w:t>
            </w:r>
            <w:r>
              <w:rPr>
                <w:rFonts w:asciiTheme="minorHAnsi" w:eastAsiaTheme="minorEastAsia" w:hAnsiTheme="minorHAnsi" w:cstheme="minorBidi"/>
                <w:noProof/>
                <w:color w:val="auto"/>
                <w:kern w:val="2"/>
                <w14:ligatures w14:val="standardContextual"/>
              </w:rPr>
              <w:tab/>
            </w:r>
            <w:r w:rsidRPr="00C63640">
              <w:rPr>
                <w:rStyle w:val="Hipervnculo"/>
                <w:noProof/>
              </w:rPr>
              <w:t>Desempeño de los Recursos Humanos</w:t>
            </w:r>
            <w:r>
              <w:rPr>
                <w:noProof/>
                <w:webHidden/>
              </w:rPr>
              <w:tab/>
            </w:r>
            <w:r>
              <w:rPr>
                <w:noProof/>
                <w:webHidden/>
              </w:rPr>
              <w:fldChar w:fldCharType="begin"/>
            </w:r>
            <w:r>
              <w:rPr>
                <w:noProof/>
                <w:webHidden/>
              </w:rPr>
              <w:instrText xml:space="preserve"> PAGEREF _Toc186147721 \h </w:instrText>
            </w:r>
            <w:r>
              <w:rPr>
                <w:noProof/>
                <w:webHidden/>
              </w:rPr>
            </w:r>
            <w:r>
              <w:rPr>
                <w:noProof/>
                <w:webHidden/>
              </w:rPr>
              <w:fldChar w:fldCharType="separate"/>
            </w:r>
            <w:r>
              <w:rPr>
                <w:noProof/>
                <w:webHidden/>
              </w:rPr>
              <w:t>28</w:t>
            </w:r>
            <w:r>
              <w:rPr>
                <w:noProof/>
                <w:webHidden/>
              </w:rPr>
              <w:fldChar w:fldCharType="end"/>
            </w:r>
          </w:hyperlink>
        </w:p>
        <w:p w14:paraId="01C4220F" w14:textId="0E9B27FF" w:rsidR="000B1B78" w:rsidRDefault="000B1B78">
          <w:pPr>
            <w:pStyle w:val="TDC2"/>
            <w:rPr>
              <w:rFonts w:asciiTheme="minorHAnsi" w:eastAsiaTheme="minorEastAsia" w:hAnsiTheme="minorHAnsi" w:cstheme="minorBidi"/>
              <w:noProof/>
              <w:color w:val="auto"/>
              <w:kern w:val="2"/>
              <w14:ligatures w14:val="standardContextual"/>
            </w:rPr>
          </w:pPr>
          <w:hyperlink w:anchor="_Toc186147722" w:history="1">
            <w:r w:rsidRPr="00C63640">
              <w:rPr>
                <w:rStyle w:val="Hipervnculo"/>
                <w:rFonts w:eastAsia="Calibri"/>
                <w:noProof/>
              </w:rPr>
              <w:t>4.3.</w:t>
            </w:r>
            <w:r>
              <w:rPr>
                <w:rFonts w:asciiTheme="minorHAnsi" w:eastAsiaTheme="minorEastAsia" w:hAnsiTheme="minorHAnsi" w:cstheme="minorBidi"/>
                <w:noProof/>
                <w:color w:val="auto"/>
                <w:kern w:val="2"/>
                <w14:ligatures w14:val="standardContextual"/>
              </w:rPr>
              <w:tab/>
            </w:r>
            <w:r w:rsidRPr="00C63640">
              <w:rPr>
                <w:rStyle w:val="Hipervnculo"/>
                <w:noProof/>
              </w:rPr>
              <w:t>Desempeño de los Procesos Jurídicos</w:t>
            </w:r>
            <w:r>
              <w:rPr>
                <w:noProof/>
                <w:webHidden/>
              </w:rPr>
              <w:tab/>
            </w:r>
            <w:r>
              <w:rPr>
                <w:noProof/>
                <w:webHidden/>
              </w:rPr>
              <w:fldChar w:fldCharType="begin"/>
            </w:r>
            <w:r>
              <w:rPr>
                <w:noProof/>
                <w:webHidden/>
              </w:rPr>
              <w:instrText xml:space="preserve"> PAGEREF _Toc186147722 \h </w:instrText>
            </w:r>
            <w:r>
              <w:rPr>
                <w:noProof/>
                <w:webHidden/>
              </w:rPr>
            </w:r>
            <w:r>
              <w:rPr>
                <w:noProof/>
                <w:webHidden/>
              </w:rPr>
              <w:fldChar w:fldCharType="separate"/>
            </w:r>
            <w:r>
              <w:rPr>
                <w:noProof/>
                <w:webHidden/>
              </w:rPr>
              <w:t>31</w:t>
            </w:r>
            <w:r>
              <w:rPr>
                <w:noProof/>
                <w:webHidden/>
              </w:rPr>
              <w:fldChar w:fldCharType="end"/>
            </w:r>
          </w:hyperlink>
        </w:p>
        <w:p w14:paraId="5C5B383E" w14:textId="247E4D3D" w:rsidR="000B1B78" w:rsidRDefault="000B1B78">
          <w:pPr>
            <w:pStyle w:val="TDC2"/>
            <w:rPr>
              <w:rFonts w:asciiTheme="minorHAnsi" w:eastAsiaTheme="minorEastAsia" w:hAnsiTheme="minorHAnsi" w:cstheme="minorBidi"/>
              <w:noProof/>
              <w:color w:val="auto"/>
              <w:kern w:val="2"/>
              <w14:ligatures w14:val="standardContextual"/>
            </w:rPr>
          </w:pPr>
          <w:hyperlink w:anchor="_Toc186147723" w:history="1">
            <w:r w:rsidRPr="00C63640">
              <w:rPr>
                <w:rStyle w:val="Hipervnculo"/>
                <w:rFonts w:eastAsia="Calibri"/>
                <w:noProof/>
              </w:rPr>
              <w:t>4.4.</w:t>
            </w:r>
            <w:r>
              <w:rPr>
                <w:rFonts w:asciiTheme="minorHAnsi" w:eastAsiaTheme="minorEastAsia" w:hAnsiTheme="minorHAnsi" w:cstheme="minorBidi"/>
                <w:noProof/>
                <w:color w:val="auto"/>
                <w:kern w:val="2"/>
                <w14:ligatures w14:val="standardContextual"/>
              </w:rPr>
              <w:tab/>
            </w:r>
            <w:r w:rsidRPr="00C63640">
              <w:rPr>
                <w:rStyle w:val="Hipervnculo"/>
                <w:noProof/>
              </w:rPr>
              <w:t>Desempeño de la Tecnología</w:t>
            </w:r>
            <w:r>
              <w:rPr>
                <w:noProof/>
                <w:webHidden/>
              </w:rPr>
              <w:tab/>
            </w:r>
            <w:r>
              <w:rPr>
                <w:noProof/>
                <w:webHidden/>
              </w:rPr>
              <w:fldChar w:fldCharType="begin"/>
            </w:r>
            <w:r>
              <w:rPr>
                <w:noProof/>
                <w:webHidden/>
              </w:rPr>
              <w:instrText xml:space="preserve"> PAGEREF _Toc186147723 \h </w:instrText>
            </w:r>
            <w:r>
              <w:rPr>
                <w:noProof/>
                <w:webHidden/>
              </w:rPr>
            </w:r>
            <w:r>
              <w:rPr>
                <w:noProof/>
                <w:webHidden/>
              </w:rPr>
              <w:fldChar w:fldCharType="separate"/>
            </w:r>
            <w:r>
              <w:rPr>
                <w:noProof/>
                <w:webHidden/>
              </w:rPr>
              <w:t>35</w:t>
            </w:r>
            <w:r>
              <w:rPr>
                <w:noProof/>
                <w:webHidden/>
              </w:rPr>
              <w:fldChar w:fldCharType="end"/>
            </w:r>
          </w:hyperlink>
        </w:p>
        <w:p w14:paraId="32899578" w14:textId="5DAA8FAB" w:rsidR="000B1B78" w:rsidRDefault="000B1B78">
          <w:pPr>
            <w:pStyle w:val="TDC2"/>
            <w:rPr>
              <w:rFonts w:asciiTheme="minorHAnsi" w:eastAsiaTheme="minorEastAsia" w:hAnsiTheme="minorHAnsi" w:cstheme="minorBidi"/>
              <w:noProof/>
              <w:color w:val="auto"/>
              <w:kern w:val="2"/>
              <w14:ligatures w14:val="standardContextual"/>
            </w:rPr>
          </w:pPr>
          <w:hyperlink w:anchor="_Toc186147724" w:history="1">
            <w:r w:rsidRPr="00C63640">
              <w:rPr>
                <w:rStyle w:val="Hipervnculo"/>
                <w:rFonts w:eastAsia="Calibri"/>
                <w:noProof/>
              </w:rPr>
              <w:t>4.5.</w:t>
            </w:r>
            <w:r>
              <w:rPr>
                <w:rFonts w:asciiTheme="minorHAnsi" w:eastAsiaTheme="minorEastAsia" w:hAnsiTheme="minorHAnsi" w:cstheme="minorBidi"/>
                <w:noProof/>
                <w:color w:val="auto"/>
                <w:kern w:val="2"/>
                <w14:ligatures w14:val="standardContextual"/>
              </w:rPr>
              <w:tab/>
            </w:r>
            <w:r w:rsidRPr="00C63640">
              <w:rPr>
                <w:rStyle w:val="Hipervnculo"/>
                <w:noProof/>
              </w:rPr>
              <w:t>Desempeño del Sistema de Planificación y Desarrollo Institucional</w:t>
            </w:r>
            <w:r>
              <w:rPr>
                <w:noProof/>
                <w:webHidden/>
              </w:rPr>
              <w:tab/>
            </w:r>
            <w:r>
              <w:rPr>
                <w:noProof/>
                <w:webHidden/>
              </w:rPr>
              <w:fldChar w:fldCharType="begin"/>
            </w:r>
            <w:r>
              <w:rPr>
                <w:noProof/>
                <w:webHidden/>
              </w:rPr>
              <w:instrText xml:space="preserve"> PAGEREF _Toc186147724 \h </w:instrText>
            </w:r>
            <w:r>
              <w:rPr>
                <w:noProof/>
                <w:webHidden/>
              </w:rPr>
            </w:r>
            <w:r>
              <w:rPr>
                <w:noProof/>
                <w:webHidden/>
              </w:rPr>
              <w:fldChar w:fldCharType="separate"/>
            </w:r>
            <w:r>
              <w:rPr>
                <w:noProof/>
                <w:webHidden/>
              </w:rPr>
              <w:t>41</w:t>
            </w:r>
            <w:r>
              <w:rPr>
                <w:noProof/>
                <w:webHidden/>
              </w:rPr>
              <w:fldChar w:fldCharType="end"/>
            </w:r>
          </w:hyperlink>
        </w:p>
        <w:p w14:paraId="6337D922" w14:textId="6DF9C61C" w:rsidR="000B1B78" w:rsidRDefault="000B1B78">
          <w:pPr>
            <w:pStyle w:val="TDC2"/>
            <w:rPr>
              <w:rFonts w:asciiTheme="minorHAnsi" w:eastAsiaTheme="minorEastAsia" w:hAnsiTheme="minorHAnsi" w:cstheme="minorBidi"/>
              <w:noProof/>
              <w:color w:val="auto"/>
              <w:kern w:val="2"/>
              <w14:ligatures w14:val="standardContextual"/>
            </w:rPr>
          </w:pPr>
          <w:hyperlink w:anchor="_Toc186147725" w:history="1">
            <w:r w:rsidRPr="00C63640">
              <w:rPr>
                <w:rStyle w:val="Hipervnculo"/>
                <w:rFonts w:eastAsia="Calibri"/>
                <w:noProof/>
              </w:rPr>
              <w:t>4.6.</w:t>
            </w:r>
            <w:r>
              <w:rPr>
                <w:rFonts w:asciiTheme="minorHAnsi" w:eastAsiaTheme="minorEastAsia" w:hAnsiTheme="minorHAnsi" w:cstheme="minorBidi"/>
                <w:noProof/>
                <w:color w:val="auto"/>
                <w:kern w:val="2"/>
                <w14:ligatures w14:val="standardContextual"/>
              </w:rPr>
              <w:tab/>
            </w:r>
            <w:r w:rsidRPr="00C63640">
              <w:rPr>
                <w:rStyle w:val="Hipervnculo"/>
                <w:noProof/>
              </w:rPr>
              <w:t>Desempeño del Área de Comunicaciones</w:t>
            </w:r>
            <w:r>
              <w:rPr>
                <w:noProof/>
                <w:webHidden/>
              </w:rPr>
              <w:tab/>
            </w:r>
            <w:r>
              <w:rPr>
                <w:noProof/>
                <w:webHidden/>
              </w:rPr>
              <w:fldChar w:fldCharType="begin"/>
            </w:r>
            <w:r>
              <w:rPr>
                <w:noProof/>
                <w:webHidden/>
              </w:rPr>
              <w:instrText xml:space="preserve"> PAGEREF _Toc186147725 \h </w:instrText>
            </w:r>
            <w:r>
              <w:rPr>
                <w:noProof/>
                <w:webHidden/>
              </w:rPr>
            </w:r>
            <w:r>
              <w:rPr>
                <w:noProof/>
                <w:webHidden/>
              </w:rPr>
              <w:fldChar w:fldCharType="separate"/>
            </w:r>
            <w:r>
              <w:rPr>
                <w:noProof/>
                <w:webHidden/>
              </w:rPr>
              <w:t>46</w:t>
            </w:r>
            <w:r>
              <w:rPr>
                <w:noProof/>
                <w:webHidden/>
              </w:rPr>
              <w:fldChar w:fldCharType="end"/>
            </w:r>
          </w:hyperlink>
        </w:p>
        <w:p w14:paraId="7091E48F" w14:textId="2CF5E84A" w:rsidR="000B1B78" w:rsidRDefault="000B1B78">
          <w:pPr>
            <w:pStyle w:val="TDC1"/>
            <w:rPr>
              <w:rFonts w:asciiTheme="minorHAnsi" w:eastAsiaTheme="minorEastAsia" w:hAnsiTheme="minorHAnsi" w:cstheme="minorBidi"/>
              <w:noProof/>
              <w:color w:val="auto"/>
              <w:kern w:val="2"/>
              <w14:ligatures w14:val="standardContextual"/>
            </w:rPr>
          </w:pPr>
          <w:hyperlink w:anchor="_Toc186147726" w:history="1">
            <w:r w:rsidRPr="00C63640">
              <w:rPr>
                <w:rStyle w:val="Hipervnculo"/>
                <w:noProof/>
                <w:lang w:eastAsia="es-ES"/>
              </w:rPr>
              <w:t>V.</w:t>
            </w:r>
            <w:r>
              <w:rPr>
                <w:rFonts w:asciiTheme="minorHAnsi" w:eastAsiaTheme="minorEastAsia" w:hAnsiTheme="minorHAnsi" w:cstheme="minorBidi"/>
                <w:noProof/>
                <w:color w:val="auto"/>
                <w:kern w:val="2"/>
                <w14:ligatures w14:val="standardContextual"/>
              </w:rPr>
              <w:tab/>
            </w:r>
            <w:r w:rsidRPr="00C63640">
              <w:rPr>
                <w:rStyle w:val="Hipervnculo"/>
                <w:noProof/>
                <w:lang w:eastAsia="es-ES"/>
              </w:rPr>
              <w:t>SERVICIO AL CIUDADANO Y TRANSPARENCIA INSTITUCIONAL</w:t>
            </w:r>
            <w:r>
              <w:rPr>
                <w:noProof/>
                <w:webHidden/>
              </w:rPr>
              <w:tab/>
            </w:r>
            <w:r>
              <w:rPr>
                <w:noProof/>
                <w:webHidden/>
              </w:rPr>
              <w:fldChar w:fldCharType="begin"/>
            </w:r>
            <w:r>
              <w:rPr>
                <w:noProof/>
                <w:webHidden/>
              </w:rPr>
              <w:instrText xml:space="preserve"> PAGEREF _Toc186147726 \h </w:instrText>
            </w:r>
            <w:r>
              <w:rPr>
                <w:noProof/>
                <w:webHidden/>
              </w:rPr>
            </w:r>
            <w:r>
              <w:rPr>
                <w:noProof/>
                <w:webHidden/>
              </w:rPr>
              <w:fldChar w:fldCharType="separate"/>
            </w:r>
            <w:r>
              <w:rPr>
                <w:noProof/>
                <w:webHidden/>
              </w:rPr>
              <w:t>50</w:t>
            </w:r>
            <w:r>
              <w:rPr>
                <w:noProof/>
                <w:webHidden/>
              </w:rPr>
              <w:fldChar w:fldCharType="end"/>
            </w:r>
          </w:hyperlink>
        </w:p>
        <w:p w14:paraId="27FA41C7" w14:textId="30357384" w:rsidR="000B1B78" w:rsidRDefault="000B1B78">
          <w:pPr>
            <w:pStyle w:val="TDC2"/>
            <w:rPr>
              <w:rFonts w:asciiTheme="minorHAnsi" w:eastAsiaTheme="minorEastAsia" w:hAnsiTheme="minorHAnsi" w:cstheme="minorBidi"/>
              <w:noProof/>
              <w:color w:val="auto"/>
              <w:kern w:val="2"/>
              <w14:ligatures w14:val="standardContextual"/>
            </w:rPr>
          </w:pPr>
          <w:hyperlink w:anchor="_Toc186147727" w:history="1">
            <w:r w:rsidRPr="00C63640">
              <w:rPr>
                <w:rStyle w:val="Hipervnculo"/>
                <w:rFonts w:eastAsia="Calibri"/>
                <w:noProof/>
              </w:rPr>
              <w:t>5.1.</w:t>
            </w:r>
            <w:r>
              <w:rPr>
                <w:rFonts w:asciiTheme="minorHAnsi" w:eastAsiaTheme="minorEastAsia" w:hAnsiTheme="minorHAnsi" w:cstheme="minorBidi"/>
                <w:noProof/>
                <w:color w:val="auto"/>
                <w:kern w:val="2"/>
                <w14:ligatures w14:val="standardContextual"/>
              </w:rPr>
              <w:tab/>
            </w:r>
            <w:r w:rsidRPr="00C63640">
              <w:rPr>
                <w:rStyle w:val="Hipervnculo"/>
                <w:noProof/>
              </w:rPr>
              <w:t>Nivel de la satisfacción con el servicio</w:t>
            </w:r>
            <w:r>
              <w:rPr>
                <w:noProof/>
                <w:webHidden/>
              </w:rPr>
              <w:tab/>
            </w:r>
            <w:r>
              <w:rPr>
                <w:noProof/>
                <w:webHidden/>
              </w:rPr>
              <w:fldChar w:fldCharType="begin"/>
            </w:r>
            <w:r>
              <w:rPr>
                <w:noProof/>
                <w:webHidden/>
              </w:rPr>
              <w:instrText xml:space="preserve"> PAGEREF _Toc186147727 \h </w:instrText>
            </w:r>
            <w:r>
              <w:rPr>
                <w:noProof/>
                <w:webHidden/>
              </w:rPr>
            </w:r>
            <w:r>
              <w:rPr>
                <w:noProof/>
                <w:webHidden/>
              </w:rPr>
              <w:fldChar w:fldCharType="separate"/>
            </w:r>
            <w:r>
              <w:rPr>
                <w:noProof/>
                <w:webHidden/>
              </w:rPr>
              <w:t>50</w:t>
            </w:r>
            <w:r>
              <w:rPr>
                <w:noProof/>
                <w:webHidden/>
              </w:rPr>
              <w:fldChar w:fldCharType="end"/>
            </w:r>
          </w:hyperlink>
        </w:p>
        <w:p w14:paraId="46BA44A3" w14:textId="386E3100" w:rsidR="000B1B78" w:rsidRDefault="000B1B78">
          <w:pPr>
            <w:pStyle w:val="TDC2"/>
            <w:rPr>
              <w:rFonts w:asciiTheme="minorHAnsi" w:eastAsiaTheme="minorEastAsia" w:hAnsiTheme="minorHAnsi" w:cstheme="minorBidi"/>
              <w:noProof/>
              <w:color w:val="auto"/>
              <w:kern w:val="2"/>
              <w14:ligatures w14:val="standardContextual"/>
            </w:rPr>
          </w:pPr>
          <w:hyperlink w:anchor="_Toc186147728" w:history="1">
            <w:r w:rsidRPr="00C63640">
              <w:rPr>
                <w:rStyle w:val="Hipervnculo"/>
                <w:rFonts w:eastAsia="Calibri"/>
                <w:noProof/>
              </w:rPr>
              <w:t>5.2.</w:t>
            </w:r>
            <w:r>
              <w:rPr>
                <w:rFonts w:asciiTheme="minorHAnsi" w:eastAsiaTheme="minorEastAsia" w:hAnsiTheme="minorHAnsi" w:cstheme="minorBidi"/>
                <w:noProof/>
                <w:color w:val="auto"/>
                <w:kern w:val="2"/>
                <w14:ligatures w14:val="standardContextual"/>
              </w:rPr>
              <w:tab/>
            </w:r>
            <w:r w:rsidRPr="00C63640">
              <w:rPr>
                <w:rStyle w:val="Hipervnculo"/>
                <w:noProof/>
              </w:rPr>
              <w:t>Nivel de cumplimiento acceso a la información</w:t>
            </w:r>
            <w:r>
              <w:rPr>
                <w:noProof/>
                <w:webHidden/>
              </w:rPr>
              <w:tab/>
            </w:r>
            <w:r>
              <w:rPr>
                <w:noProof/>
                <w:webHidden/>
              </w:rPr>
              <w:fldChar w:fldCharType="begin"/>
            </w:r>
            <w:r>
              <w:rPr>
                <w:noProof/>
                <w:webHidden/>
              </w:rPr>
              <w:instrText xml:space="preserve"> PAGEREF _Toc186147728 \h </w:instrText>
            </w:r>
            <w:r>
              <w:rPr>
                <w:noProof/>
                <w:webHidden/>
              </w:rPr>
            </w:r>
            <w:r>
              <w:rPr>
                <w:noProof/>
                <w:webHidden/>
              </w:rPr>
              <w:fldChar w:fldCharType="separate"/>
            </w:r>
            <w:r>
              <w:rPr>
                <w:noProof/>
                <w:webHidden/>
              </w:rPr>
              <w:t>51</w:t>
            </w:r>
            <w:r>
              <w:rPr>
                <w:noProof/>
                <w:webHidden/>
              </w:rPr>
              <w:fldChar w:fldCharType="end"/>
            </w:r>
          </w:hyperlink>
        </w:p>
        <w:p w14:paraId="72E7F6C8" w14:textId="695DF676" w:rsidR="000B1B78" w:rsidRDefault="000B1B78">
          <w:pPr>
            <w:pStyle w:val="TDC2"/>
            <w:rPr>
              <w:rFonts w:asciiTheme="minorHAnsi" w:eastAsiaTheme="minorEastAsia" w:hAnsiTheme="minorHAnsi" w:cstheme="minorBidi"/>
              <w:noProof/>
              <w:color w:val="auto"/>
              <w:kern w:val="2"/>
              <w14:ligatures w14:val="standardContextual"/>
            </w:rPr>
          </w:pPr>
          <w:hyperlink w:anchor="_Toc186147729" w:history="1">
            <w:r w:rsidRPr="00C63640">
              <w:rPr>
                <w:rStyle w:val="Hipervnculo"/>
                <w:rFonts w:eastAsia="Calibri"/>
                <w:noProof/>
              </w:rPr>
              <w:t>5.3.</w:t>
            </w:r>
            <w:r>
              <w:rPr>
                <w:rFonts w:asciiTheme="minorHAnsi" w:eastAsiaTheme="minorEastAsia" w:hAnsiTheme="minorHAnsi" w:cstheme="minorBidi"/>
                <w:noProof/>
                <w:color w:val="auto"/>
                <w:kern w:val="2"/>
                <w14:ligatures w14:val="standardContextual"/>
              </w:rPr>
              <w:tab/>
            </w:r>
            <w:r w:rsidRPr="00C63640">
              <w:rPr>
                <w:rStyle w:val="Hipervnculo"/>
                <w:noProof/>
              </w:rPr>
              <w:t>Resultados sistema de quejas, reclamos y sugerencias</w:t>
            </w:r>
            <w:r>
              <w:rPr>
                <w:noProof/>
                <w:webHidden/>
              </w:rPr>
              <w:tab/>
            </w:r>
            <w:r>
              <w:rPr>
                <w:noProof/>
                <w:webHidden/>
              </w:rPr>
              <w:fldChar w:fldCharType="begin"/>
            </w:r>
            <w:r>
              <w:rPr>
                <w:noProof/>
                <w:webHidden/>
              </w:rPr>
              <w:instrText xml:space="preserve"> PAGEREF _Toc186147729 \h </w:instrText>
            </w:r>
            <w:r>
              <w:rPr>
                <w:noProof/>
                <w:webHidden/>
              </w:rPr>
            </w:r>
            <w:r>
              <w:rPr>
                <w:noProof/>
                <w:webHidden/>
              </w:rPr>
              <w:fldChar w:fldCharType="separate"/>
            </w:r>
            <w:r>
              <w:rPr>
                <w:noProof/>
                <w:webHidden/>
              </w:rPr>
              <w:t>52</w:t>
            </w:r>
            <w:r>
              <w:rPr>
                <w:noProof/>
                <w:webHidden/>
              </w:rPr>
              <w:fldChar w:fldCharType="end"/>
            </w:r>
          </w:hyperlink>
        </w:p>
        <w:p w14:paraId="47F34121" w14:textId="72A01B48" w:rsidR="000B1B78" w:rsidRDefault="000B1B78">
          <w:pPr>
            <w:pStyle w:val="TDC2"/>
            <w:rPr>
              <w:rFonts w:asciiTheme="minorHAnsi" w:eastAsiaTheme="minorEastAsia" w:hAnsiTheme="minorHAnsi" w:cstheme="minorBidi"/>
              <w:noProof/>
              <w:color w:val="auto"/>
              <w:kern w:val="2"/>
              <w14:ligatures w14:val="standardContextual"/>
            </w:rPr>
          </w:pPr>
          <w:hyperlink w:anchor="_Toc186147730" w:history="1">
            <w:r w:rsidRPr="00C63640">
              <w:rPr>
                <w:rStyle w:val="Hipervnculo"/>
                <w:rFonts w:eastAsia="Calibri"/>
                <w:noProof/>
              </w:rPr>
              <w:t>5.4.</w:t>
            </w:r>
            <w:r>
              <w:rPr>
                <w:rFonts w:asciiTheme="minorHAnsi" w:eastAsiaTheme="minorEastAsia" w:hAnsiTheme="minorHAnsi" w:cstheme="minorBidi"/>
                <w:noProof/>
                <w:color w:val="auto"/>
                <w:kern w:val="2"/>
                <w14:ligatures w14:val="standardContextual"/>
              </w:rPr>
              <w:tab/>
            </w:r>
            <w:r w:rsidRPr="00C63640">
              <w:rPr>
                <w:rStyle w:val="Hipervnculo"/>
                <w:noProof/>
              </w:rPr>
              <w:t>Resultado mediaciones del portal de Transparencia</w:t>
            </w:r>
            <w:r>
              <w:rPr>
                <w:noProof/>
                <w:webHidden/>
              </w:rPr>
              <w:tab/>
            </w:r>
            <w:r>
              <w:rPr>
                <w:noProof/>
                <w:webHidden/>
              </w:rPr>
              <w:fldChar w:fldCharType="begin"/>
            </w:r>
            <w:r>
              <w:rPr>
                <w:noProof/>
                <w:webHidden/>
              </w:rPr>
              <w:instrText xml:space="preserve"> PAGEREF _Toc186147730 \h </w:instrText>
            </w:r>
            <w:r>
              <w:rPr>
                <w:noProof/>
                <w:webHidden/>
              </w:rPr>
            </w:r>
            <w:r>
              <w:rPr>
                <w:noProof/>
                <w:webHidden/>
              </w:rPr>
              <w:fldChar w:fldCharType="separate"/>
            </w:r>
            <w:r>
              <w:rPr>
                <w:noProof/>
                <w:webHidden/>
              </w:rPr>
              <w:t>53</w:t>
            </w:r>
            <w:r>
              <w:rPr>
                <w:noProof/>
                <w:webHidden/>
              </w:rPr>
              <w:fldChar w:fldCharType="end"/>
            </w:r>
          </w:hyperlink>
        </w:p>
        <w:p w14:paraId="5A166D2C" w14:textId="5E48936B" w:rsidR="000B1B78" w:rsidRDefault="000B1B78">
          <w:pPr>
            <w:pStyle w:val="TDC1"/>
            <w:rPr>
              <w:rFonts w:asciiTheme="minorHAnsi" w:eastAsiaTheme="minorEastAsia" w:hAnsiTheme="minorHAnsi" w:cstheme="minorBidi"/>
              <w:noProof/>
              <w:color w:val="auto"/>
              <w:kern w:val="2"/>
              <w14:ligatures w14:val="standardContextual"/>
            </w:rPr>
          </w:pPr>
          <w:hyperlink w:anchor="_Toc186147731" w:history="1">
            <w:r w:rsidRPr="00C63640">
              <w:rPr>
                <w:rStyle w:val="Hipervnculo"/>
                <w:noProof/>
              </w:rPr>
              <w:t>VI.</w:t>
            </w:r>
            <w:r>
              <w:rPr>
                <w:rFonts w:asciiTheme="minorHAnsi" w:eastAsiaTheme="minorEastAsia" w:hAnsiTheme="minorHAnsi" w:cstheme="minorBidi"/>
                <w:noProof/>
                <w:color w:val="auto"/>
                <w:kern w:val="2"/>
                <w14:ligatures w14:val="standardContextual"/>
              </w:rPr>
              <w:tab/>
            </w:r>
            <w:r w:rsidRPr="00C63640">
              <w:rPr>
                <w:rStyle w:val="Hipervnculo"/>
                <w:noProof/>
              </w:rPr>
              <w:t>PROYECCIONES AL PRÓXIMO AÑO</w:t>
            </w:r>
            <w:r>
              <w:rPr>
                <w:noProof/>
                <w:webHidden/>
              </w:rPr>
              <w:tab/>
            </w:r>
            <w:r>
              <w:rPr>
                <w:noProof/>
                <w:webHidden/>
              </w:rPr>
              <w:fldChar w:fldCharType="begin"/>
            </w:r>
            <w:r>
              <w:rPr>
                <w:noProof/>
                <w:webHidden/>
              </w:rPr>
              <w:instrText xml:space="preserve"> PAGEREF _Toc186147731 \h </w:instrText>
            </w:r>
            <w:r>
              <w:rPr>
                <w:noProof/>
                <w:webHidden/>
              </w:rPr>
            </w:r>
            <w:r>
              <w:rPr>
                <w:noProof/>
                <w:webHidden/>
              </w:rPr>
              <w:fldChar w:fldCharType="separate"/>
            </w:r>
            <w:r>
              <w:rPr>
                <w:noProof/>
                <w:webHidden/>
              </w:rPr>
              <w:t>54</w:t>
            </w:r>
            <w:r>
              <w:rPr>
                <w:noProof/>
                <w:webHidden/>
              </w:rPr>
              <w:fldChar w:fldCharType="end"/>
            </w:r>
          </w:hyperlink>
        </w:p>
        <w:p w14:paraId="29671730" w14:textId="5D22015D" w:rsidR="000B1B78" w:rsidRDefault="000B1B78">
          <w:pPr>
            <w:pStyle w:val="TDC1"/>
            <w:rPr>
              <w:rFonts w:asciiTheme="minorHAnsi" w:eastAsiaTheme="minorEastAsia" w:hAnsiTheme="minorHAnsi" w:cstheme="minorBidi"/>
              <w:noProof/>
              <w:color w:val="auto"/>
              <w:kern w:val="2"/>
              <w14:ligatures w14:val="standardContextual"/>
            </w:rPr>
          </w:pPr>
          <w:hyperlink w:anchor="_Toc186147732" w:history="1">
            <w:r w:rsidRPr="00C63640">
              <w:rPr>
                <w:rStyle w:val="Hipervnculo"/>
                <w:noProof/>
              </w:rPr>
              <w:t>VII.</w:t>
            </w:r>
            <w:r>
              <w:rPr>
                <w:rFonts w:asciiTheme="minorHAnsi" w:eastAsiaTheme="minorEastAsia" w:hAnsiTheme="minorHAnsi" w:cstheme="minorBidi"/>
                <w:noProof/>
                <w:color w:val="auto"/>
                <w:kern w:val="2"/>
                <w14:ligatures w14:val="standardContextual"/>
              </w:rPr>
              <w:tab/>
            </w:r>
            <w:r w:rsidRPr="00C63640">
              <w:rPr>
                <w:rStyle w:val="Hipervnculo"/>
                <w:noProof/>
              </w:rPr>
              <w:t>ANEXOS</w:t>
            </w:r>
            <w:r>
              <w:rPr>
                <w:noProof/>
                <w:webHidden/>
              </w:rPr>
              <w:tab/>
            </w:r>
            <w:r>
              <w:rPr>
                <w:noProof/>
                <w:webHidden/>
              </w:rPr>
              <w:fldChar w:fldCharType="begin"/>
            </w:r>
            <w:r>
              <w:rPr>
                <w:noProof/>
                <w:webHidden/>
              </w:rPr>
              <w:instrText xml:space="preserve"> PAGEREF _Toc186147732 \h </w:instrText>
            </w:r>
            <w:r>
              <w:rPr>
                <w:noProof/>
                <w:webHidden/>
              </w:rPr>
            </w:r>
            <w:r>
              <w:rPr>
                <w:noProof/>
                <w:webHidden/>
              </w:rPr>
              <w:fldChar w:fldCharType="separate"/>
            </w:r>
            <w:r>
              <w:rPr>
                <w:noProof/>
                <w:webHidden/>
              </w:rPr>
              <w:t>55</w:t>
            </w:r>
            <w:r>
              <w:rPr>
                <w:noProof/>
                <w:webHidden/>
              </w:rPr>
              <w:fldChar w:fldCharType="end"/>
            </w:r>
          </w:hyperlink>
        </w:p>
        <w:p w14:paraId="72F15CFC" w14:textId="4D679C5A" w:rsidR="000B1B78" w:rsidRDefault="000B1B78">
          <w:pPr>
            <w:pStyle w:val="TDC3"/>
            <w:rPr>
              <w:rFonts w:asciiTheme="minorHAnsi" w:eastAsiaTheme="minorEastAsia" w:hAnsiTheme="minorHAnsi" w:cstheme="minorBidi"/>
              <w:noProof/>
              <w:color w:val="auto"/>
              <w:kern w:val="2"/>
              <w14:ligatures w14:val="standardContextual"/>
            </w:rPr>
          </w:pPr>
          <w:hyperlink w:anchor="_Toc186147733" w:history="1">
            <w:r w:rsidRPr="00C63640">
              <w:rPr>
                <w:rStyle w:val="Hipervnculo"/>
                <w:noProof/>
              </w:rPr>
              <w:t>a.</w:t>
            </w:r>
            <w:r>
              <w:rPr>
                <w:rFonts w:asciiTheme="minorHAnsi" w:eastAsiaTheme="minorEastAsia" w:hAnsiTheme="minorHAnsi" w:cstheme="minorBidi"/>
                <w:noProof/>
                <w:color w:val="auto"/>
                <w:kern w:val="2"/>
                <w14:ligatures w14:val="standardContextual"/>
              </w:rPr>
              <w:tab/>
            </w:r>
            <w:r w:rsidRPr="00C63640">
              <w:rPr>
                <w:rStyle w:val="Hipervnculo"/>
                <w:noProof/>
              </w:rPr>
              <w:t>Matriz de logros relevantes</w:t>
            </w:r>
            <w:r>
              <w:rPr>
                <w:noProof/>
                <w:webHidden/>
              </w:rPr>
              <w:tab/>
            </w:r>
            <w:r>
              <w:rPr>
                <w:noProof/>
                <w:webHidden/>
              </w:rPr>
              <w:fldChar w:fldCharType="begin"/>
            </w:r>
            <w:r>
              <w:rPr>
                <w:noProof/>
                <w:webHidden/>
              </w:rPr>
              <w:instrText xml:space="preserve"> PAGEREF _Toc186147733 \h </w:instrText>
            </w:r>
            <w:r>
              <w:rPr>
                <w:noProof/>
                <w:webHidden/>
              </w:rPr>
            </w:r>
            <w:r>
              <w:rPr>
                <w:noProof/>
                <w:webHidden/>
              </w:rPr>
              <w:fldChar w:fldCharType="separate"/>
            </w:r>
            <w:r>
              <w:rPr>
                <w:noProof/>
                <w:webHidden/>
              </w:rPr>
              <w:t>55</w:t>
            </w:r>
            <w:r>
              <w:rPr>
                <w:noProof/>
                <w:webHidden/>
              </w:rPr>
              <w:fldChar w:fldCharType="end"/>
            </w:r>
          </w:hyperlink>
        </w:p>
        <w:p w14:paraId="30891381" w14:textId="2F8D0DA0" w:rsidR="000B1B78" w:rsidRDefault="000B1B78">
          <w:pPr>
            <w:pStyle w:val="TDC3"/>
            <w:rPr>
              <w:rFonts w:asciiTheme="minorHAnsi" w:eastAsiaTheme="minorEastAsia" w:hAnsiTheme="minorHAnsi" w:cstheme="minorBidi"/>
              <w:noProof/>
              <w:color w:val="auto"/>
              <w:kern w:val="2"/>
              <w14:ligatures w14:val="standardContextual"/>
            </w:rPr>
          </w:pPr>
          <w:hyperlink w:anchor="_Toc186147734" w:history="1">
            <w:r w:rsidRPr="00C63640">
              <w:rPr>
                <w:rStyle w:val="Hipervnculo"/>
                <w:noProof/>
              </w:rPr>
              <w:t>b.</w:t>
            </w:r>
            <w:r>
              <w:rPr>
                <w:rFonts w:asciiTheme="minorHAnsi" w:eastAsiaTheme="minorEastAsia" w:hAnsiTheme="minorHAnsi" w:cstheme="minorBidi"/>
                <w:noProof/>
                <w:color w:val="auto"/>
                <w:kern w:val="2"/>
                <w14:ligatures w14:val="standardContextual"/>
              </w:rPr>
              <w:tab/>
            </w:r>
            <w:r w:rsidRPr="00C63640">
              <w:rPr>
                <w:rStyle w:val="Hipervnculo"/>
                <w:noProof/>
              </w:rPr>
              <w:t>Matriz de Ejecución Presupuestaria Anual</w:t>
            </w:r>
            <w:r>
              <w:rPr>
                <w:noProof/>
                <w:webHidden/>
              </w:rPr>
              <w:tab/>
            </w:r>
            <w:r>
              <w:rPr>
                <w:noProof/>
                <w:webHidden/>
              </w:rPr>
              <w:fldChar w:fldCharType="begin"/>
            </w:r>
            <w:r>
              <w:rPr>
                <w:noProof/>
                <w:webHidden/>
              </w:rPr>
              <w:instrText xml:space="preserve"> PAGEREF _Toc186147734 \h </w:instrText>
            </w:r>
            <w:r>
              <w:rPr>
                <w:noProof/>
                <w:webHidden/>
              </w:rPr>
            </w:r>
            <w:r>
              <w:rPr>
                <w:noProof/>
                <w:webHidden/>
              </w:rPr>
              <w:fldChar w:fldCharType="separate"/>
            </w:r>
            <w:r>
              <w:rPr>
                <w:noProof/>
                <w:webHidden/>
              </w:rPr>
              <w:t>56</w:t>
            </w:r>
            <w:r>
              <w:rPr>
                <w:noProof/>
                <w:webHidden/>
              </w:rPr>
              <w:fldChar w:fldCharType="end"/>
            </w:r>
          </w:hyperlink>
        </w:p>
        <w:p w14:paraId="15BDFB55" w14:textId="7C84F79C" w:rsidR="000B1B78" w:rsidRDefault="000B1B78">
          <w:pPr>
            <w:pStyle w:val="TDC3"/>
            <w:rPr>
              <w:rFonts w:asciiTheme="minorHAnsi" w:eastAsiaTheme="minorEastAsia" w:hAnsiTheme="minorHAnsi" w:cstheme="minorBidi"/>
              <w:noProof/>
              <w:color w:val="auto"/>
              <w:kern w:val="2"/>
              <w14:ligatures w14:val="standardContextual"/>
            </w:rPr>
          </w:pPr>
          <w:hyperlink w:anchor="_Toc186147735" w:history="1">
            <w:r w:rsidRPr="00C63640">
              <w:rPr>
                <w:rStyle w:val="Hipervnculo"/>
                <w:noProof/>
              </w:rPr>
              <w:t>c.</w:t>
            </w:r>
            <w:r>
              <w:rPr>
                <w:rFonts w:asciiTheme="minorHAnsi" w:eastAsiaTheme="minorEastAsia" w:hAnsiTheme="minorHAnsi" w:cstheme="minorBidi"/>
                <w:noProof/>
                <w:color w:val="auto"/>
                <w:kern w:val="2"/>
                <w14:ligatures w14:val="standardContextual"/>
              </w:rPr>
              <w:tab/>
            </w:r>
            <w:r w:rsidRPr="00C63640">
              <w:rPr>
                <w:rStyle w:val="Hipervnculo"/>
                <w:noProof/>
              </w:rPr>
              <w:t>Matriz de Principales Indicadores del Plan Operativo Anual (POA)</w:t>
            </w:r>
            <w:r>
              <w:rPr>
                <w:noProof/>
                <w:webHidden/>
              </w:rPr>
              <w:tab/>
            </w:r>
            <w:r>
              <w:rPr>
                <w:noProof/>
                <w:webHidden/>
              </w:rPr>
              <w:fldChar w:fldCharType="begin"/>
            </w:r>
            <w:r>
              <w:rPr>
                <w:noProof/>
                <w:webHidden/>
              </w:rPr>
              <w:instrText xml:space="preserve"> PAGEREF _Toc186147735 \h </w:instrText>
            </w:r>
            <w:r>
              <w:rPr>
                <w:noProof/>
                <w:webHidden/>
              </w:rPr>
            </w:r>
            <w:r>
              <w:rPr>
                <w:noProof/>
                <w:webHidden/>
              </w:rPr>
              <w:fldChar w:fldCharType="separate"/>
            </w:r>
            <w:r>
              <w:rPr>
                <w:noProof/>
                <w:webHidden/>
              </w:rPr>
              <w:t>57</w:t>
            </w:r>
            <w:r>
              <w:rPr>
                <w:noProof/>
                <w:webHidden/>
              </w:rPr>
              <w:fldChar w:fldCharType="end"/>
            </w:r>
          </w:hyperlink>
        </w:p>
        <w:p w14:paraId="345F9996" w14:textId="15102BC1" w:rsidR="000B1B78" w:rsidRDefault="000B1B78">
          <w:pPr>
            <w:pStyle w:val="TDC3"/>
            <w:rPr>
              <w:rFonts w:asciiTheme="minorHAnsi" w:eastAsiaTheme="minorEastAsia" w:hAnsiTheme="minorHAnsi" w:cstheme="minorBidi"/>
              <w:noProof/>
              <w:color w:val="auto"/>
              <w:kern w:val="2"/>
              <w14:ligatures w14:val="standardContextual"/>
            </w:rPr>
          </w:pPr>
          <w:hyperlink w:anchor="_Toc186147736" w:history="1">
            <w:r w:rsidRPr="00C63640">
              <w:rPr>
                <w:rStyle w:val="Hipervnculo"/>
                <w:noProof/>
              </w:rPr>
              <w:t>d.</w:t>
            </w:r>
            <w:r>
              <w:rPr>
                <w:rFonts w:asciiTheme="minorHAnsi" w:eastAsiaTheme="minorEastAsia" w:hAnsiTheme="minorHAnsi" w:cstheme="minorBidi"/>
                <w:noProof/>
                <w:color w:val="auto"/>
                <w:kern w:val="2"/>
                <w14:ligatures w14:val="standardContextual"/>
              </w:rPr>
              <w:tab/>
            </w:r>
            <w:r w:rsidRPr="00C63640">
              <w:rPr>
                <w:rStyle w:val="Hipervnculo"/>
                <w:noProof/>
              </w:rPr>
              <w:t>Resumen del Plan de Compras</w:t>
            </w:r>
            <w:r>
              <w:rPr>
                <w:noProof/>
                <w:webHidden/>
              </w:rPr>
              <w:tab/>
            </w:r>
            <w:r>
              <w:rPr>
                <w:noProof/>
                <w:webHidden/>
              </w:rPr>
              <w:fldChar w:fldCharType="begin"/>
            </w:r>
            <w:r>
              <w:rPr>
                <w:noProof/>
                <w:webHidden/>
              </w:rPr>
              <w:instrText xml:space="preserve"> PAGEREF _Toc186147736 \h </w:instrText>
            </w:r>
            <w:r>
              <w:rPr>
                <w:noProof/>
                <w:webHidden/>
              </w:rPr>
            </w:r>
            <w:r>
              <w:rPr>
                <w:noProof/>
                <w:webHidden/>
              </w:rPr>
              <w:fldChar w:fldCharType="separate"/>
            </w:r>
            <w:r>
              <w:rPr>
                <w:noProof/>
                <w:webHidden/>
              </w:rPr>
              <w:t>67</w:t>
            </w:r>
            <w:r>
              <w:rPr>
                <w:noProof/>
                <w:webHidden/>
              </w:rPr>
              <w:fldChar w:fldCharType="end"/>
            </w:r>
          </w:hyperlink>
        </w:p>
        <w:p w14:paraId="1DBDA006" w14:textId="5293E1B0" w:rsidR="005569DE" w:rsidRPr="006D0445" w:rsidRDefault="00340CE1" w:rsidP="007D43C5">
          <w:pPr>
            <w:rPr>
              <w:color w:val="767171"/>
            </w:rPr>
            <w:sectPr w:rsidR="005569DE" w:rsidRPr="006D0445" w:rsidSect="009904DB">
              <w:footerReference w:type="first" r:id="rId12"/>
              <w:pgSz w:w="12240" w:h="15840"/>
              <w:pgMar w:top="1440" w:right="1440" w:bottom="1440" w:left="1440" w:header="720" w:footer="720" w:gutter="0"/>
              <w:cols w:space="720"/>
              <w:docGrid w:linePitch="360"/>
            </w:sectPr>
          </w:pPr>
          <w:r w:rsidRPr="006D0445">
            <w:rPr>
              <w:b/>
              <w:bCs/>
              <w:color w:val="767171"/>
              <w:sz w:val="22"/>
              <w:szCs w:val="22"/>
              <w:lang w:val="es-ES"/>
            </w:rPr>
            <w:fldChar w:fldCharType="end"/>
          </w:r>
        </w:p>
      </w:sdtContent>
    </w:sdt>
    <w:p w14:paraId="649D29AD" w14:textId="513BCDF6" w:rsidR="001240D0" w:rsidRPr="006D0445" w:rsidRDefault="004D35D0" w:rsidP="006B3671">
      <w:pPr>
        <w:pStyle w:val="Ttulo1"/>
      </w:pPr>
      <w:bookmarkStart w:id="2" w:name="_Hlk86403204"/>
      <w:bookmarkStart w:id="3" w:name="_Toc186147709"/>
      <w:r w:rsidRPr="006D0445">
        <w:lastRenderedPageBreak/>
        <w:t>RESUMEN EJECUTIVO</w:t>
      </w:r>
      <w:bookmarkEnd w:id="3"/>
    </w:p>
    <w:p w14:paraId="7C54AF21" w14:textId="56546507" w:rsidR="001240D0" w:rsidRPr="006D0445" w:rsidRDefault="00125D46" w:rsidP="005E6948">
      <w:pPr>
        <w:rPr>
          <w:color w:val="767171"/>
        </w:rPr>
      </w:pPr>
      <w:r w:rsidRPr="006D0445">
        <w:rPr>
          <w:noProof/>
          <w:color w:val="767171"/>
        </w:rPr>
        <mc:AlternateContent>
          <mc:Choice Requires="wps">
            <w:drawing>
              <wp:anchor distT="0" distB="0" distL="114300" distR="114300" simplePos="0" relativeHeight="251641856" behindDoc="0" locked="0" layoutInCell="1" allowOverlap="1" wp14:anchorId="5383067F" wp14:editId="701F7652">
                <wp:simplePos x="0" y="0"/>
                <wp:positionH relativeFrom="margin">
                  <wp:posOffset>2254250</wp:posOffset>
                </wp:positionH>
                <wp:positionV relativeFrom="paragraph">
                  <wp:posOffset>36830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17414" id="Straight Connector 21"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" strokecolor="#ee2a24" strokeweight="2.25pt">
                <v:stroke joinstyle="miter"/>
                <w10:wrap anchorx="margin"/>
              </v:line>
            </w:pict>
          </mc:Fallback>
        </mc:AlternateContent>
      </w:r>
    </w:p>
    <w:p w14:paraId="30EA9CBF" w14:textId="36C0104F" w:rsidR="00BC3A95" w:rsidRPr="00161FBC" w:rsidRDefault="00BC3A95" w:rsidP="005E6948">
      <w:pPr>
        <w:rPr>
          <w:color w:val="767171"/>
        </w:rPr>
      </w:pPr>
      <w:r w:rsidRPr="00161FBC">
        <w:rPr>
          <w:color w:val="767171"/>
        </w:rPr>
        <w:t>La Superintendencia de Electricidad (SIE) es el ente regulador del subsector eléctrico dominicano y tiene</w:t>
      </w:r>
      <w:r w:rsidR="00A959CD" w:rsidRPr="00161FBC">
        <w:rPr>
          <w:color w:val="767171"/>
        </w:rPr>
        <w:t xml:space="preserve"> entre sus</w:t>
      </w:r>
      <w:r w:rsidRPr="00161FBC">
        <w:rPr>
          <w:color w:val="767171"/>
        </w:rPr>
        <w:t xml:space="preserve"> responsabilidad</w:t>
      </w:r>
      <w:r w:rsidR="00A959CD" w:rsidRPr="00161FBC">
        <w:rPr>
          <w:color w:val="767171"/>
        </w:rPr>
        <w:t>es la</w:t>
      </w:r>
      <w:r w:rsidRPr="00161FBC">
        <w:rPr>
          <w:color w:val="767171"/>
        </w:rPr>
        <w:t xml:space="preserve"> </w:t>
      </w:r>
      <w:r w:rsidR="00D34A97" w:rsidRPr="00161FBC">
        <w:rPr>
          <w:color w:val="767171"/>
        </w:rPr>
        <w:t>fiscalización</w:t>
      </w:r>
      <w:r w:rsidRPr="00161FBC">
        <w:rPr>
          <w:color w:val="767171"/>
        </w:rPr>
        <w:t xml:space="preserve"> de las disposiciones legales</w:t>
      </w:r>
      <w:r w:rsidR="00A959CD" w:rsidRPr="00161FBC">
        <w:rPr>
          <w:color w:val="767171"/>
        </w:rPr>
        <w:t>,</w:t>
      </w:r>
      <w:r w:rsidRPr="00161FBC">
        <w:rPr>
          <w:color w:val="767171"/>
        </w:rPr>
        <w:t xml:space="preserve"> reglamentarias</w:t>
      </w:r>
      <w:r w:rsidR="00A959CD" w:rsidRPr="00161FBC">
        <w:rPr>
          <w:color w:val="767171"/>
        </w:rPr>
        <w:t xml:space="preserve"> y </w:t>
      </w:r>
      <w:r w:rsidR="00D34A97" w:rsidRPr="00161FBC">
        <w:rPr>
          <w:color w:val="767171"/>
        </w:rPr>
        <w:t>técnicas</w:t>
      </w:r>
      <w:r w:rsidRPr="00161FBC">
        <w:rPr>
          <w:color w:val="767171"/>
        </w:rPr>
        <w:t xml:space="preserve"> </w:t>
      </w:r>
      <w:r w:rsidR="00D34A97" w:rsidRPr="00161FBC">
        <w:rPr>
          <w:color w:val="767171"/>
        </w:rPr>
        <w:t>aplicables, así</w:t>
      </w:r>
      <w:r w:rsidR="00A959CD" w:rsidRPr="00161FBC">
        <w:rPr>
          <w:color w:val="767171"/>
        </w:rPr>
        <w:t xml:space="preserve"> como la</w:t>
      </w:r>
      <w:r w:rsidRPr="00161FBC">
        <w:rPr>
          <w:color w:val="767171"/>
        </w:rPr>
        <w:t xml:space="preserve"> protección </w:t>
      </w:r>
      <w:r w:rsidR="00A959CD" w:rsidRPr="00161FBC">
        <w:rPr>
          <w:color w:val="767171"/>
        </w:rPr>
        <w:t xml:space="preserve">de </w:t>
      </w:r>
      <w:r w:rsidRPr="00161FBC">
        <w:rPr>
          <w:color w:val="767171"/>
        </w:rPr>
        <w:t>los</w:t>
      </w:r>
      <w:r w:rsidR="00A959CD" w:rsidRPr="00161FBC">
        <w:rPr>
          <w:color w:val="767171"/>
        </w:rPr>
        <w:t xml:space="preserve"> derechos de los</w:t>
      </w:r>
      <w:r w:rsidRPr="00161FBC">
        <w:rPr>
          <w:color w:val="767171"/>
        </w:rPr>
        <w:t xml:space="preserve"> distintos agentes del mercado eléctrico. </w:t>
      </w:r>
    </w:p>
    <w:p w14:paraId="1F74045A" w14:textId="26D5FC13" w:rsidR="00A70107" w:rsidRDefault="00A70107" w:rsidP="00D41CE2">
      <w:pPr>
        <w:rPr>
          <w:color w:val="767171"/>
        </w:rPr>
      </w:pPr>
      <w:r w:rsidRPr="00161FBC">
        <w:rPr>
          <w:color w:val="767171"/>
        </w:rPr>
        <w:t xml:space="preserve">A continuación, se presentan las principales acciones relevantes y logros alcanzados por la SIE en este año </w:t>
      </w:r>
      <w:r w:rsidR="00F2650B" w:rsidRPr="00161FBC">
        <w:rPr>
          <w:color w:val="767171"/>
        </w:rPr>
        <w:t>2024</w:t>
      </w:r>
      <w:r w:rsidR="00DB177B">
        <w:rPr>
          <w:color w:val="767171"/>
        </w:rPr>
        <w:t xml:space="preserve"> de carácter regulatorio</w:t>
      </w:r>
      <w:r w:rsidR="00326965">
        <w:rPr>
          <w:color w:val="767171"/>
        </w:rPr>
        <w:t xml:space="preserve"> con impacto directo en la ciudadanía</w:t>
      </w:r>
      <w:r w:rsidRPr="00161FBC">
        <w:rPr>
          <w:color w:val="767171"/>
        </w:rPr>
        <w:t>:</w:t>
      </w:r>
    </w:p>
    <w:p w14:paraId="7D27C12D" w14:textId="1722798E" w:rsidR="00366D6F" w:rsidRDefault="00366D6F" w:rsidP="00C43673">
      <w:pPr>
        <w:pStyle w:val="Prrafodelista"/>
        <w:numPr>
          <w:ilvl w:val="0"/>
          <w:numId w:val="18"/>
        </w:numPr>
        <w:rPr>
          <w:color w:val="767171"/>
        </w:rPr>
      </w:pPr>
      <w:bookmarkStart w:id="4" w:name="_Hlk153362062"/>
      <w:r w:rsidRPr="00C43673">
        <w:rPr>
          <w:color w:val="767171"/>
        </w:rPr>
        <w:t>Emisión de Reglamento de aplicación para la prestación de los servicios auxiliares de regulación de frecuencia, la cual tiene como objeto establecer los aspectos técnicos y el régimen de remuneración económica para la prestación de servicios auxiliares de regulación de frecuencia</w:t>
      </w:r>
      <w:r w:rsidR="00C43673" w:rsidRPr="00C43673">
        <w:rPr>
          <w:color w:val="767171"/>
        </w:rPr>
        <w:t>, pieza clave para el desarrollo de un sistema eléctrico más moderno y robusto, que permita la optimización de los recursos energéticos disponibles. De esta manera, no solo se mejora la calidad del servicio de Regulación de Frecuencia, sino que también se favorece un modelo energético más sostenible y eficiente, con la integración del Sistema de Almacenamiento de Energía con Baterías</w:t>
      </w:r>
      <w:r w:rsidR="00C43673">
        <w:rPr>
          <w:color w:val="767171"/>
        </w:rPr>
        <w:t>.</w:t>
      </w:r>
    </w:p>
    <w:p w14:paraId="792AE031" w14:textId="77777777" w:rsidR="00366D6F" w:rsidRPr="00161FBC" w:rsidRDefault="00366D6F" w:rsidP="00C43673">
      <w:pPr>
        <w:pStyle w:val="Prrafodelista"/>
        <w:numPr>
          <w:ilvl w:val="0"/>
          <w:numId w:val="18"/>
        </w:numPr>
        <w:rPr>
          <w:color w:val="767171"/>
        </w:rPr>
      </w:pPr>
      <w:r w:rsidRPr="00161FBC">
        <w:rPr>
          <w:color w:val="767171"/>
        </w:rPr>
        <w:t>Actualización de Resolución SIE-123-2024-Sobre modificación de mecanismo de compensación por desviaciones del programa diario de operación del mercado eléctrico mayorista.</w:t>
      </w:r>
    </w:p>
    <w:p w14:paraId="7CE7B9F3" w14:textId="77777777" w:rsidR="00366D6F" w:rsidRDefault="00366D6F" w:rsidP="00C43673">
      <w:pPr>
        <w:pStyle w:val="Prrafodelista"/>
        <w:numPr>
          <w:ilvl w:val="0"/>
          <w:numId w:val="18"/>
        </w:numPr>
        <w:rPr>
          <w:color w:val="767171"/>
        </w:rPr>
      </w:pPr>
      <w:r w:rsidRPr="00161FBC">
        <w:rPr>
          <w:color w:val="767171"/>
        </w:rPr>
        <w:t>Emisión de Resolución SIE-118-2024-MEM. Procedimiento para la aplicación de limitación de generación por razones de seguridad en el sistema eléctrico nacional interconectado (</w:t>
      </w:r>
      <w:proofErr w:type="spellStart"/>
      <w:r w:rsidRPr="00161FBC">
        <w:rPr>
          <w:color w:val="767171"/>
        </w:rPr>
        <w:t>SENI</w:t>
      </w:r>
      <w:proofErr w:type="spellEnd"/>
      <w:r w:rsidRPr="00161FBC">
        <w:rPr>
          <w:color w:val="767171"/>
        </w:rPr>
        <w:t>).</w:t>
      </w:r>
    </w:p>
    <w:p w14:paraId="7A04B0F4" w14:textId="77777777" w:rsidR="00B75B8B" w:rsidRDefault="00B75B8B" w:rsidP="00B75B8B">
      <w:pPr>
        <w:pStyle w:val="Prrafodelista"/>
        <w:numPr>
          <w:ilvl w:val="0"/>
          <w:numId w:val="18"/>
        </w:numPr>
        <w:rPr>
          <w:color w:val="767171"/>
        </w:rPr>
      </w:pPr>
      <w:r w:rsidRPr="00161FBC">
        <w:rPr>
          <w:color w:val="767171"/>
        </w:rPr>
        <w:t>Actualización de Resolución SIE-107-2024-ADM Aprueba el Reglamento para la celebración de Consultas y audiencias públicas de la Superintendencia de Electricidad.</w:t>
      </w:r>
    </w:p>
    <w:p w14:paraId="3CC280F4" w14:textId="408BD23C" w:rsidR="000B1B78" w:rsidRPr="000B1B78" w:rsidRDefault="000B1B78" w:rsidP="000B1B78">
      <w:pPr>
        <w:pStyle w:val="Prrafodelista"/>
        <w:numPr>
          <w:ilvl w:val="0"/>
          <w:numId w:val="18"/>
        </w:numPr>
        <w:rPr>
          <w:color w:val="767171"/>
        </w:rPr>
      </w:pPr>
      <w:r>
        <w:rPr>
          <w:color w:val="767171"/>
        </w:rPr>
        <w:t>Se emitió el R</w:t>
      </w:r>
      <w:r w:rsidRPr="00161FBC">
        <w:rPr>
          <w:color w:val="767171"/>
        </w:rPr>
        <w:t>eglamento de servicios administrativos y trámites digitales de la SIE</w:t>
      </w:r>
      <w:r>
        <w:rPr>
          <w:color w:val="767171"/>
        </w:rPr>
        <w:t>.</w:t>
      </w:r>
    </w:p>
    <w:p w14:paraId="21056DE3" w14:textId="77777777" w:rsidR="00B75B8B" w:rsidRDefault="00B75B8B" w:rsidP="00B75B8B">
      <w:pPr>
        <w:pStyle w:val="Prrafodelista"/>
        <w:numPr>
          <w:ilvl w:val="0"/>
          <w:numId w:val="18"/>
        </w:numPr>
        <w:ind w:left="284" w:hanging="294"/>
        <w:rPr>
          <w:color w:val="767171"/>
        </w:rPr>
      </w:pPr>
      <w:r w:rsidRPr="00161FBC">
        <w:rPr>
          <w:color w:val="767171"/>
        </w:rPr>
        <w:lastRenderedPageBreak/>
        <w:t>Se emitieron Cuarenta (40) Resoluciones de Tarifas a ser aplicadas a los usuarios regulados del servicio público de distribución de electricidad</w:t>
      </w:r>
      <w:r>
        <w:rPr>
          <w:color w:val="767171"/>
        </w:rPr>
        <w:t xml:space="preserve"> y cuatro</w:t>
      </w:r>
      <w:r w:rsidRPr="00E607B6">
        <w:rPr>
          <w:color w:val="767171"/>
        </w:rPr>
        <w:t xml:space="preserve"> (4) Resoluciones de Tarifas Aplicables a las Estaciones de Recarga de Vehículos Eléctricos.</w:t>
      </w:r>
    </w:p>
    <w:p w14:paraId="68557102" w14:textId="77777777" w:rsidR="00B75B8B" w:rsidRPr="00B75B8B" w:rsidRDefault="00B75B8B" w:rsidP="00B75B8B">
      <w:pPr>
        <w:pStyle w:val="Prrafodelista"/>
        <w:numPr>
          <w:ilvl w:val="0"/>
          <w:numId w:val="18"/>
        </w:numPr>
        <w:ind w:left="284"/>
        <w:rPr>
          <w:color w:val="767171"/>
        </w:rPr>
      </w:pPr>
      <w:r w:rsidRPr="00161FBC">
        <w:rPr>
          <w:color w:val="767171"/>
        </w:rPr>
        <w:t xml:space="preserve">Conclusión de consultoría sobre “Determinación Peajes Distribución y Tarifas Suministro Energía Eléctrica” a Clientes Regulados para las Concesiones de Distribución de: Consorcio Energético Punta Cana – Macao; Compañía de Electricidad de </w:t>
      </w:r>
      <w:proofErr w:type="spellStart"/>
      <w:r w:rsidRPr="00161FBC">
        <w:rPr>
          <w:color w:val="767171"/>
        </w:rPr>
        <w:t>Bayahíbe</w:t>
      </w:r>
      <w:proofErr w:type="spellEnd"/>
      <w:r w:rsidRPr="00161FBC">
        <w:rPr>
          <w:color w:val="767171"/>
        </w:rPr>
        <w:t xml:space="preserve">; Corporación Turística y Servicios Punta Cana; </w:t>
      </w:r>
      <w:proofErr w:type="spellStart"/>
      <w:r w:rsidRPr="00161FBC">
        <w:rPr>
          <w:color w:val="767171"/>
        </w:rPr>
        <w:t>Cap</w:t>
      </w:r>
      <w:proofErr w:type="spellEnd"/>
      <w:r w:rsidRPr="00161FBC">
        <w:rPr>
          <w:color w:val="767171"/>
        </w:rPr>
        <w:t xml:space="preserve"> Cana Caribe; y </w:t>
      </w:r>
      <w:proofErr w:type="spellStart"/>
      <w:r w:rsidRPr="00161FBC">
        <w:rPr>
          <w:color w:val="767171"/>
        </w:rPr>
        <w:t>Costasur</w:t>
      </w:r>
      <w:proofErr w:type="spellEnd"/>
      <w:r w:rsidRPr="00161FBC">
        <w:rPr>
          <w:color w:val="767171"/>
        </w:rPr>
        <w:t xml:space="preserve"> </w:t>
      </w:r>
      <w:proofErr w:type="gramStart"/>
      <w:r w:rsidRPr="00161FBC">
        <w:rPr>
          <w:color w:val="767171"/>
        </w:rPr>
        <w:t>Dominicana</w:t>
      </w:r>
      <w:proofErr w:type="gramEnd"/>
      <w:r w:rsidRPr="00161FBC">
        <w:rPr>
          <w:color w:val="767171"/>
        </w:rPr>
        <w:t>”.</w:t>
      </w:r>
    </w:p>
    <w:p w14:paraId="30DD47DF" w14:textId="77777777" w:rsidR="00B75B8B" w:rsidRDefault="00B75B8B" w:rsidP="00B75B8B">
      <w:pPr>
        <w:pStyle w:val="Prrafodelista"/>
        <w:numPr>
          <w:ilvl w:val="0"/>
          <w:numId w:val="18"/>
        </w:numPr>
        <w:ind w:left="284"/>
        <w:rPr>
          <w:color w:val="767171"/>
        </w:rPr>
      </w:pPr>
      <w:r w:rsidRPr="00161FBC">
        <w:rPr>
          <w:color w:val="767171"/>
        </w:rPr>
        <w:t>Desarrollo de la metodología de cálculo de tarifas de peaje para usuarios no regulados (</w:t>
      </w:r>
      <w:proofErr w:type="spellStart"/>
      <w:r w:rsidRPr="00161FBC">
        <w:rPr>
          <w:color w:val="767171"/>
        </w:rPr>
        <w:t>UNR</w:t>
      </w:r>
      <w:proofErr w:type="spellEnd"/>
      <w:r w:rsidRPr="00161FBC">
        <w:rPr>
          <w:color w:val="767171"/>
        </w:rPr>
        <w:t>).</w:t>
      </w:r>
    </w:p>
    <w:p w14:paraId="28D9145E" w14:textId="77777777" w:rsidR="002435CD" w:rsidRPr="00161FBC" w:rsidRDefault="002435CD" w:rsidP="002435CD">
      <w:pPr>
        <w:pStyle w:val="Prrafodelista"/>
        <w:numPr>
          <w:ilvl w:val="0"/>
          <w:numId w:val="18"/>
        </w:numPr>
        <w:ind w:left="284" w:hanging="294"/>
        <w:rPr>
          <w:color w:val="767171"/>
        </w:rPr>
      </w:pPr>
      <w:r w:rsidRPr="00161FBC">
        <w:rPr>
          <w:rFonts w:eastAsia="Calibri"/>
          <w:noProof/>
          <w:color w:val="767171"/>
        </w:rPr>
        <w:t>Como parte del acuerdo interinstitucional firmado con el SIUBEN, la SIE aportó las informaciones necesarias para la mejora en la implementación del subsidio BONOLUZ. Además, se brindó el soporte funcional a las decisiones que toma SUPÉRATE junto al CUEDES en el mejoramiento de los procesos del BONOLUZ. Igualmente, como asistencia a las políticas públicas dictadas para este sector, formamos parte de la mesa interinstitucional que trabaja con la finalidad de ampliar el subsidio BONOLUZ a sistemas aislados.</w:t>
      </w:r>
    </w:p>
    <w:p w14:paraId="10CA4D89" w14:textId="77777777" w:rsidR="002435CD" w:rsidRDefault="002435CD" w:rsidP="002435CD">
      <w:pPr>
        <w:pStyle w:val="Prrafodelista"/>
        <w:numPr>
          <w:ilvl w:val="0"/>
          <w:numId w:val="18"/>
        </w:numPr>
        <w:ind w:left="284" w:hanging="294"/>
        <w:rPr>
          <w:color w:val="767171"/>
        </w:rPr>
      </w:pPr>
      <w:r w:rsidRPr="00161FBC">
        <w:rPr>
          <w:color w:val="767171"/>
        </w:rPr>
        <w:t>Tras la firma del Pacto Eléctrico en febrero del 2021, de los ciento cincuenta y cinco (155) atributos y compromisos establecidos, cincuenta y cuatro (54) han sido identificados como responsabilidad directa de la SIE; Al año 2024 el Pacto se encuentra en un 76% de grado de cumplimiento de todos los compromisos.</w:t>
      </w:r>
    </w:p>
    <w:p w14:paraId="1F9817E3" w14:textId="36D68FB9" w:rsidR="002435CD" w:rsidRPr="002435CD" w:rsidRDefault="002435CD" w:rsidP="002435CD">
      <w:pPr>
        <w:pStyle w:val="Prrafodelista"/>
        <w:numPr>
          <w:ilvl w:val="0"/>
          <w:numId w:val="18"/>
        </w:numPr>
        <w:spacing w:after="200"/>
        <w:ind w:left="426"/>
        <w:rPr>
          <w:color w:val="767171"/>
        </w:rPr>
      </w:pPr>
      <w:r w:rsidRPr="00161FBC">
        <w:rPr>
          <w:color w:val="767171"/>
        </w:rPr>
        <w:t>Elaboración Términos de referencia para el estudio Estrategia de Redes Inteligentes en la República Dominicana.</w:t>
      </w:r>
    </w:p>
    <w:p w14:paraId="47AF3C6D" w14:textId="3CEB43A6" w:rsidR="00DB177B" w:rsidRPr="00DB177B" w:rsidRDefault="00DB177B" w:rsidP="00DB177B">
      <w:pPr>
        <w:rPr>
          <w:color w:val="767171"/>
        </w:rPr>
      </w:pPr>
      <w:r w:rsidRPr="00DB177B">
        <w:rPr>
          <w:color w:val="767171"/>
        </w:rPr>
        <w:t xml:space="preserve">A continuación, se presentan las principales acciones relevantes y logros alcanzados por la SIE en este año 2024 </w:t>
      </w:r>
      <w:r>
        <w:rPr>
          <w:color w:val="767171"/>
        </w:rPr>
        <w:t>relacionado a los servicios prestados</w:t>
      </w:r>
      <w:r w:rsidRPr="00DB177B">
        <w:rPr>
          <w:color w:val="767171"/>
        </w:rPr>
        <w:t>:</w:t>
      </w:r>
    </w:p>
    <w:p w14:paraId="787C82AD" w14:textId="30587E1F" w:rsidR="00C43673" w:rsidRPr="00C43673" w:rsidRDefault="00C43673" w:rsidP="00C43673">
      <w:pPr>
        <w:pStyle w:val="Prrafodelista"/>
        <w:numPr>
          <w:ilvl w:val="0"/>
          <w:numId w:val="18"/>
        </w:numPr>
        <w:ind w:left="284" w:hanging="294"/>
        <w:rPr>
          <w:color w:val="767171"/>
        </w:rPr>
      </w:pPr>
      <w:r w:rsidRPr="00161FBC">
        <w:rPr>
          <w:color w:val="767171"/>
        </w:rPr>
        <w:t xml:space="preserve">Se emitieron veintitrés </w:t>
      </w:r>
      <w:r w:rsidR="00B75B8B">
        <w:rPr>
          <w:color w:val="767171"/>
        </w:rPr>
        <w:t>(</w:t>
      </w:r>
      <w:r w:rsidRPr="00161FBC">
        <w:rPr>
          <w:color w:val="767171"/>
        </w:rPr>
        <w:t>23</w:t>
      </w:r>
      <w:r w:rsidR="00B75B8B">
        <w:rPr>
          <w:color w:val="767171"/>
        </w:rPr>
        <w:t>)</w:t>
      </w:r>
      <w:r w:rsidRPr="00161FBC">
        <w:rPr>
          <w:color w:val="767171"/>
        </w:rPr>
        <w:t xml:space="preserve"> Recomendaciones de Concesiones Definitivas para explotación de Obras Eléctricas Convencionales y No Convencionales con una capacidad de 2,132.4 MW: veinte (20) de Fuentes Renovables con una </w:t>
      </w:r>
      <w:r w:rsidRPr="00161FBC">
        <w:rPr>
          <w:color w:val="767171"/>
        </w:rPr>
        <w:lastRenderedPageBreak/>
        <w:t>capacidad de 1258.4 MW y tres (3) de Fuentes Termoeléctricas con una capacidad de 874 MW.</w:t>
      </w:r>
    </w:p>
    <w:p w14:paraId="59D89907" w14:textId="77777777" w:rsidR="00C43673" w:rsidRPr="00161FBC" w:rsidRDefault="00C43673" w:rsidP="00C43673">
      <w:pPr>
        <w:pStyle w:val="Prrafodelista"/>
        <w:numPr>
          <w:ilvl w:val="0"/>
          <w:numId w:val="18"/>
        </w:numPr>
        <w:ind w:left="284" w:hanging="294"/>
        <w:rPr>
          <w:color w:val="767171"/>
        </w:rPr>
      </w:pPr>
      <w:r w:rsidRPr="00161FBC">
        <w:rPr>
          <w:color w:val="767171"/>
        </w:rPr>
        <w:t>Se autorizaron las Puestas en Servicio de cinco (5) centrales de generación eléctrica, de las cuales fueron tres (3) renovables que sumaron 97 MW y dos (2) termoeléctricos que sumaron 216.6 MW, aportando al sistema eléctrico nacional interconectado 313.6 MW. Adicional se autorizó la puesta en servicio una (1) subestaciones y una (1) batería de almacenamiento para la regulación de frecuencia.</w:t>
      </w:r>
    </w:p>
    <w:p w14:paraId="581FDFC6" w14:textId="0912DC37" w:rsidR="00C43673" w:rsidRDefault="00C43673" w:rsidP="00C43673">
      <w:pPr>
        <w:pStyle w:val="Prrafodelista"/>
        <w:numPr>
          <w:ilvl w:val="0"/>
          <w:numId w:val="18"/>
        </w:numPr>
        <w:ind w:left="284" w:hanging="294"/>
        <w:rPr>
          <w:color w:val="767171"/>
        </w:rPr>
      </w:pPr>
      <w:r w:rsidRPr="00161FBC">
        <w:rPr>
          <w:color w:val="767171"/>
        </w:rPr>
        <w:t xml:space="preserve">Se emitieron veintidós (22) permisos de interconexión provisional de obras eléctricas al </w:t>
      </w:r>
      <w:proofErr w:type="spellStart"/>
      <w:r w:rsidRPr="00161FBC">
        <w:rPr>
          <w:color w:val="767171"/>
        </w:rPr>
        <w:t>SENI</w:t>
      </w:r>
      <w:proofErr w:type="spellEnd"/>
      <w:r w:rsidRPr="00161FBC">
        <w:rPr>
          <w:color w:val="767171"/>
        </w:rPr>
        <w:t xml:space="preserve"> para la realización de pruebas operativas.</w:t>
      </w:r>
    </w:p>
    <w:p w14:paraId="0DD7214E" w14:textId="1F7C919E" w:rsidR="00B75B8B" w:rsidRDefault="00E607B6" w:rsidP="00E607B6">
      <w:pPr>
        <w:pStyle w:val="Prrafodelista"/>
        <w:numPr>
          <w:ilvl w:val="0"/>
          <w:numId w:val="18"/>
        </w:numPr>
        <w:ind w:left="284" w:hanging="294"/>
        <w:rPr>
          <w:color w:val="767171"/>
        </w:rPr>
      </w:pPr>
      <w:r w:rsidRPr="00161FBC">
        <w:rPr>
          <w:color w:val="767171"/>
        </w:rPr>
        <w:t>La Ley General de Electricidad (</w:t>
      </w:r>
      <w:proofErr w:type="spellStart"/>
      <w:r w:rsidRPr="00161FBC">
        <w:rPr>
          <w:color w:val="767171"/>
        </w:rPr>
        <w:t>LGE</w:t>
      </w:r>
      <w:proofErr w:type="spellEnd"/>
      <w:r w:rsidRPr="00161FBC">
        <w:rPr>
          <w:color w:val="767171"/>
        </w:rPr>
        <w:t>) 125-01 establece como responsabilidad de la SIE autorizar como Usuarios No Regulados (UNR) aquellos que alcanzan la demanda requerida de 1 MW; Para este año 2024 se emitieron un total de diez (10) autorizaciones para ejercer la condición de Usuario No Regulado (</w:t>
      </w:r>
      <w:proofErr w:type="spellStart"/>
      <w:r w:rsidRPr="00161FBC">
        <w:rPr>
          <w:color w:val="767171"/>
        </w:rPr>
        <w:t>UNR</w:t>
      </w:r>
      <w:proofErr w:type="spellEnd"/>
      <w:r w:rsidRPr="00161FBC">
        <w:rPr>
          <w:color w:val="767171"/>
        </w:rPr>
        <w:t>).</w:t>
      </w:r>
    </w:p>
    <w:p w14:paraId="7D1D426D" w14:textId="77777777" w:rsidR="00DB177B" w:rsidRDefault="00DB177B" w:rsidP="00DB177B">
      <w:pPr>
        <w:pStyle w:val="Prrafodelista"/>
        <w:numPr>
          <w:ilvl w:val="0"/>
          <w:numId w:val="18"/>
        </w:numPr>
        <w:ind w:left="284" w:hanging="294"/>
        <w:rPr>
          <w:color w:val="767171"/>
        </w:rPr>
      </w:pPr>
      <w:r w:rsidRPr="00161FBC">
        <w:rPr>
          <w:color w:val="767171"/>
        </w:rPr>
        <w:t xml:space="preserve">A través de las oficinas de PROTECOM, se realizaron un total de sesenta y nueve mil cuatrocientos veinte y nueve (69,429) reclamaciones y se han atendido un total de sesenta y un mil ciento setenta y cinco (61,175); de las cuales veintisiete mil ochocientos cuarenta y ocho (27,848) resultaron procedentes a favor del usuario, lo que representa un cuarenta y seis (46%) y treinta y tres mil trescientos veintisiete (33,327) resultaron improcedentes, equivalente a un cincuenta y cuatro (54%) </w:t>
      </w:r>
      <w:r w:rsidRPr="00161FBC">
        <w:rPr>
          <w:rFonts w:eastAsia="Calibri"/>
          <w:color w:val="767171"/>
        </w:rPr>
        <w:t>del total de decisiones emitidas</w:t>
      </w:r>
      <w:r w:rsidRPr="00161FBC">
        <w:rPr>
          <w:color w:val="767171"/>
        </w:rPr>
        <w:t>.</w:t>
      </w:r>
    </w:p>
    <w:p w14:paraId="668A5B56" w14:textId="77777777" w:rsidR="00DB177B" w:rsidRDefault="00DB177B" w:rsidP="00DB177B">
      <w:pPr>
        <w:pStyle w:val="Prrafodelista"/>
        <w:numPr>
          <w:ilvl w:val="0"/>
          <w:numId w:val="18"/>
        </w:numPr>
        <w:ind w:left="284" w:hanging="294"/>
        <w:rPr>
          <w:color w:val="767171"/>
        </w:rPr>
      </w:pPr>
      <w:r w:rsidRPr="00161FBC">
        <w:rPr>
          <w:color w:val="767171"/>
        </w:rPr>
        <w:t>En cuanto al sometimiento de los Recursos Jerárquicos y Contenciosos Administrativos interpuestos contra decisiones del PROTECOM, se emitieron un total de cuatro mil seiscientos cuarenta y ocho (</w:t>
      </w:r>
      <w:r w:rsidRPr="00161FBC">
        <w:rPr>
          <w:rFonts w:eastAsia="Calibri"/>
          <w:color w:val="767171"/>
        </w:rPr>
        <w:t>4,648) resoluciones</w:t>
      </w:r>
      <w:r w:rsidRPr="00161FBC">
        <w:rPr>
          <w:color w:val="767171"/>
        </w:rPr>
        <w:t>.</w:t>
      </w:r>
    </w:p>
    <w:p w14:paraId="64DEE94D" w14:textId="77777777" w:rsidR="00DB177B" w:rsidRDefault="00DB177B" w:rsidP="00DB177B">
      <w:pPr>
        <w:pStyle w:val="Prrafodelista"/>
        <w:numPr>
          <w:ilvl w:val="0"/>
          <w:numId w:val="18"/>
        </w:numPr>
        <w:ind w:left="284" w:hanging="294"/>
        <w:rPr>
          <w:color w:val="767171"/>
        </w:rPr>
      </w:pPr>
      <w:r w:rsidRPr="00161FBC">
        <w:rPr>
          <w:color w:val="767171"/>
        </w:rPr>
        <w:t>A través del servicio de Emisión de Licencias Eléctricas, La SIE certifica que el solicitante cuente con la debida autorización y cumplimiento de los requisitos técnicos y legales para ejercer el oficio de Técnico Electricista autorizado. En este año se han entregado un total de mil cuatrocientos diecinueve (1,419) certificaciones a empleados de empresas contratistas, de las Distribuidoras y técnicos independientes.</w:t>
      </w:r>
    </w:p>
    <w:p w14:paraId="00D97AB9" w14:textId="6D43905B" w:rsidR="00DB177B" w:rsidRPr="00DB177B" w:rsidRDefault="00DB177B" w:rsidP="00DB177B">
      <w:pPr>
        <w:rPr>
          <w:color w:val="767171"/>
        </w:rPr>
      </w:pPr>
      <w:r w:rsidRPr="00DB177B">
        <w:rPr>
          <w:color w:val="767171"/>
        </w:rPr>
        <w:lastRenderedPageBreak/>
        <w:t xml:space="preserve">A continuación, se presentan las principales acciones relevantes y logros alcanzados por la SIE en este año 2024 relacionado </w:t>
      </w:r>
      <w:r>
        <w:rPr>
          <w:color w:val="767171"/>
        </w:rPr>
        <w:t>a las fiscalizaciones realizadas</w:t>
      </w:r>
      <w:r w:rsidR="00326965">
        <w:rPr>
          <w:color w:val="767171"/>
        </w:rPr>
        <w:t xml:space="preserve"> con impacto directo al gobierno</w:t>
      </w:r>
      <w:r w:rsidRPr="00DB177B">
        <w:rPr>
          <w:color w:val="767171"/>
        </w:rPr>
        <w:t>:</w:t>
      </w:r>
    </w:p>
    <w:p w14:paraId="11256A68" w14:textId="5B5277D4" w:rsidR="00E607B6" w:rsidRPr="00161FBC" w:rsidRDefault="00E607B6" w:rsidP="00E607B6">
      <w:pPr>
        <w:pStyle w:val="Prrafodelista"/>
        <w:numPr>
          <w:ilvl w:val="0"/>
          <w:numId w:val="18"/>
        </w:numPr>
        <w:ind w:left="284" w:hanging="294"/>
        <w:rPr>
          <w:color w:val="767171"/>
        </w:rPr>
      </w:pPr>
      <w:r w:rsidRPr="00161FBC">
        <w:rPr>
          <w:color w:val="767171"/>
        </w:rPr>
        <w:t>La SIE en conjunto con el Ministerio de Hacienda, Ministerio de Industria Comercio y MiPymes participó en 18 inspecciones a 16 empresas, dando como resultado la emisión de las respectivas resoluciones de Exención Impositiva a los Combustibles de Generación por cada empresa fiscalizada.</w:t>
      </w:r>
    </w:p>
    <w:p w14:paraId="636FCCAE" w14:textId="77777777" w:rsidR="00E607B6" w:rsidRPr="00161FBC" w:rsidRDefault="00E607B6" w:rsidP="00E607B6">
      <w:pPr>
        <w:pStyle w:val="Prrafodelista"/>
        <w:numPr>
          <w:ilvl w:val="0"/>
          <w:numId w:val="18"/>
        </w:numPr>
        <w:ind w:left="284" w:hanging="294"/>
        <w:rPr>
          <w:color w:val="767171"/>
        </w:rPr>
      </w:pPr>
      <w:r w:rsidRPr="00161FBC">
        <w:rPr>
          <w:color w:val="767171"/>
        </w:rPr>
        <w:t>Se realizaron ciento catorce (114) fiscalizaciones que garantizan que las empresas distribuidoras operen de acuerdo con las regulaciones de carácter técnico y comercial, protegiendo a los consumidores y fomentando la transparencia en el sector.</w:t>
      </w:r>
    </w:p>
    <w:p w14:paraId="530C1231" w14:textId="77777777" w:rsidR="00E607B6" w:rsidRPr="00161FBC" w:rsidRDefault="00E607B6" w:rsidP="00E607B6">
      <w:pPr>
        <w:pStyle w:val="Prrafodelista"/>
        <w:numPr>
          <w:ilvl w:val="0"/>
          <w:numId w:val="18"/>
        </w:numPr>
        <w:ind w:left="284" w:hanging="294"/>
        <w:rPr>
          <w:color w:val="767171"/>
        </w:rPr>
      </w:pPr>
      <w:r w:rsidRPr="00161FBC">
        <w:rPr>
          <w:color w:val="767171"/>
        </w:rPr>
        <w:t>Se emitieron ciento diecinueve (119) certificaciones que aseguran la legalidad y la propiedad de las instalaciones eléctricas, lo que facilita transacciones legales y el desarrollo de procesos judiciales.</w:t>
      </w:r>
    </w:p>
    <w:p w14:paraId="1122B99F" w14:textId="77777777" w:rsidR="00E607B6" w:rsidRPr="00161FBC" w:rsidRDefault="00E607B6" w:rsidP="00E607B6">
      <w:pPr>
        <w:pStyle w:val="Prrafodelista"/>
        <w:numPr>
          <w:ilvl w:val="0"/>
          <w:numId w:val="18"/>
        </w:numPr>
        <w:ind w:left="284" w:hanging="294"/>
        <w:rPr>
          <w:color w:val="767171"/>
        </w:rPr>
      </w:pPr>
      <w:r w:rsidRPr="00161FBC">
        <w:rPr>
          <w:color w:val="767171"/>
        </w:rPr>
        <w:t>Se gestionaron cincuenta y nueve (59) respuestas a casos foráneos, atendiendo tanto consultas externas como internas con el objetivo de resolver problemas y proporcionar claridad en asuntos regulatorios y técnicos, garantizando el cumplimiento de procedimientos establecidos.</w:t>
      </w:r>
    </w:p>
    <w:p w14:paraId="2ACA8EC9" w14:textId="1DC1F812" w:rsidR="00E607B6" w:rsidRPr="00E607B6" w:rsidRDefault="00E607B6" w:rsidP="00E607B6">
      <w:pPr>
        <w:pStyle w:val="Prrafodelista"/>
        <w:numPr>
          <w:ilvl w:val="0"/>
          <w:numId w:val="18"/>
        </w:numPr>
        <w:ind w:left="284" w:hanging="294"/>
        <w:rPr>
          <w:color w:val="767171"/>
        </w:rPr>
      </w:pPr>
      <w:r w:rsidRPr="00161FBC">
        <w:rPr>
          <w:color w:val="767171"/>
        </w:rPr>
        <w:t>La SIE en calidad de cuerpo técnico de apoyo en la investigación de las denuncias y levantamiento de Actas de Fraude Eléctrico en conjunto con la Procuraduría General Adjunta para el Sistema Eléctrico (</w:t>
      </w:r>
      <w:proofErr w:type="spellStart"/>
      <w:r w:rsidRPr="00161FBC">
        <w:rPr>
          <w:color w:val="767171"/>
        </w:rPr>
        <w:t>PGASE</w:t>
      </w:r>
      <w:proofErr w:type="spellEnd"/>
      <w:r w:rsidRPr="00161FBC">
        <w:rPr>
          <w:color w:val="767171"/>
        </w:rPr>
        <w:t>), se levantaron un total de mil doscientos treinta y siete (1,237) denuncias de fraude eléctrico, de las cuales mil veinte (1,020) fueron presentados por las empresas distribuidoras estatales y doscientos diecisiete (217) por clientes contra terceros u otros concesionarios. Como resultado del proceso de revisión técnica y legal, se elaboraron y remitieron cuatrocientos cinco (405) actas a la Procuraduría General Adjunta para el Sistema Eléctrico (</w:t>
      </w:r>
      <w:proofErr w:type="spellStart"/>
      <w:r w:rsidRPr="00161FBC">
        <w:rPr>
          <w:color w:val="767171"/>
        </w:rPr>
        <w:t>PGASE</w:t>
      </w:r>
      <w:proofErr w:type="spellEnd"/>
      <w:r w:rsidRPr="00161FBC">
        <w:rPr>
          <w:color w:val="767171"/>
        </w:rPr>
        <w:t>). Estas acciones permitieron la recuperación de 13,895,883 kWh de energía equivalentes a RD$ 147,001,794.07, aportando beneficios directos al sector eléctrico.</w:t>
      </w:r>
    </w:p>
    <w:p w14:paraId="2E3BF564" w14:textId="77777777" w:rsidR="002435CD" w:rsidRPr="00161FBC" w:rsidRDefault="002435CD" w:rsidP="002435CD">
      <w:pPr>
        <w:pStyle w:val="Prrafodelista"/>
        <w:numPr>
          <w:ilvl w:val="0"/>
          <w:numId w:val="18"/>
        </w:numPr>
        <w:ind w:left="284" w:hanging="294"/>
        <w:rPr>
          <w:color w:val="767171"/>
        </w:rPr>
      </w:pPr>
      <w:r w:rsidRPr="00161FBC">
        <w:rPr>
          <w:color w:val="767171"/>
        </w:rPr>
        <w:lastRenderedPageBreak/>
        <w:t>Se reubicaron las oficinas de Cotuí, Las Terrenas u Valverde Mao a lugares más accesibles para los usuarios, mejorando el servicio brindado a los usuarios del servicio eléctrico.</w:t>
      </w:r>
    </w:p>
    <w:p w14:paraId="3A59C836" w14:textId="77777777" w:rsidR="00C43673" w:rsidRPr="00C43673" w:rsidRDefault="00C43673" w:rsidP="00C43673">
      <w:pPr>
        <w:pStyle w:val="Prrafodelista"/>
        <w:ind w:left="360"/>
        <w:rPr>
          <w:color w:val="767171"/>
        </w:rPr>
      </w:pPr>
    </w:p>
    <w:p w14:paraId="0EC3A94D" w14:textId="679C514F" w:rsidR="008E3ADA" w:rsidRPr="00161FBC" w:rsidRDefault="00B81D5F" w:rsidP="00B81D5F">
      <w:pPr>
        <w:spacing w:line="259" w:lineRule="auto"/>
        <w:jc w:val="left"/>
        <w:rPr>
          <w:color w:val="767171"/>
        </w:rPr>
      </w:pPr>
      <w:r w:rsidRPr="00161FBC">
        <w:rPr>
          <w:color w:val="767171"/>
        </w:rPr>
        <w:br w:type="page"/>
      </w:r>
      <w:bookmarkEnd w:id="4"/>
    </w:p>
    <w:p w14:paraId="0234713A" w14:textId="3F840873" w:rsidR="00AE21C2" w:rsidRPr="00161FBC" w:rsidRDefault="004D35D0" w:rsidP="00641DAE">
      <w:pPr>
        <w:pStyle w:val="Ttulo1"/>
        <w:rPr>
          <w:szCs w:val="28"/>
        </w:rPr>
      </w:pPr>
      <w:bookmarkStart w:id="5" w:name="_Toc186147710"/>
      <w:bookmarkEnd w:id="2"/>
      <w:r w:rsidRPr="00161FBC">
        <w:rPr>
          <w:szCs w:val="28"/>
        </w:rPr>
        <w:lastRenderedPageBreak/>
        <w:t>INFORMACIÓN INSTITUCIONAL</w:t>
      </w:r>
      <w:bookmarkEnd w:id="5"/>
    </w:p>
    <w:p w14:paraId="5594ADBE" w14:textId="501E67F0" w:rsidR="00AE21C2" w:rsidRPr="00161FBC" w:rsidRDefault="000A4CBC" w:rsidP="008A1A95">
      <w:pPr>
        <w:pStyle w:val="Ttulo2"/>
        <w:rPr>
          <w:szCs w:val="24"/>
        </w:rPr>
      </w:pPr>
      <w:bookmarkStart w:id="6" w:name="_Toc186147711"/>
      <w:r w:rsidRPr="00161FBC">
        <w:rPr>
          <w:szCs w:val="24"/>
        </w:rPr>
        <w:t>Marco Filosófico Institucional</w:t>
      </w:r>
      <w:bookmarkEnd w:id="6"/>
    </w:p>
    <w:p w14:paraId="7BF05C4B" w14:textId="70CCF2E8" w:rsidR="0064746B" w:rsidRPr="00161FBC" w:rsidRDefault="0064746B" w:rsidP="008A1A95">
      <w:pPr>
        <w:rPr>
          <w:color w:val="767171"/>
        </w:rPr>
      </w:pPr>
      <w:r w:rsidRPr="00161FBC">
        <w:rPr>
          <w:color w:val="767171"/>
        </w:rPr>
        <w:t>La SIE constituye el ente regulador del subsector eléctrico dominicano y está llamada a fiscalizar y supervisar el cumplimiento de las disposiciones legales, reglamentarias y la norma técnica aplicable en dicho subsector, en relación con el desarrollo de las actividades de generación, transmisión, distribución y comercialización de electricidad, así como establecer las tarifas y peajes sujetos a regulación de precios</w:t>
      </w:r>
    </w:p>
    <w:p w14:paraId="60785B9D" w14:textId="3DE2D13F" w:rsidR="0064746B" w:rsidRPr="00161FBC" w:rsidRDefault="000A4CBC" w:rsidP="008A1A95">
      <w:pPr>
        <w:pStyle w:val="Ttulo2"/>
        <w:numPr>
          <w:ilvl w:val="0"/>
          <w:numId w:val="3"/>
        </w:numPr>
        <w:spacing w:after="100"/>
        <w:ind w:left="1208" w:hanging="357"/>
        <w:rPr>
          <w:szCs w:val="24"/>
        </w:rPr>
      </w:pPr>
      <w:bookmarkStart w:id="7" w:name="_Toc186147712"/>
      <w:r w:rsidRPr="00161FBC">
        <w:rPr>
          <w:szCs w:val="24"/>
        </w:rPr>
        <w:t>Misión</w:t>
      </w:r>
      <w:bookmarkEnd w:id="7"/>
    </w:p>
    <w:p w14:paraId="3CA92058" w14:textId="261D0980" w:rsidR="0064746B" w:rsidRPr="00161FBC" w:rsidRDefault="0064746B" w:rsidP="008A1A95">
      <w:pPr>
        <w:spacing w:after="100"/>
        <w:rPr>
          <w:color w:val="767171"/>
        </w:rPr>
      </w:pPr>
      <w:r w:rsidRPr="00161FBC">
        <w:rPr>
          <w:color w:val="767171"/>
        </w:rPr>
        <w:t>Regular con transparencia e independencia el sector eléctrico dominicano, garantizando el cumplimiento de la normativa vigente, el balance en el sector y la protección de los derechos de sus agentes con estándares de excelencia.</w:t>
      </w:r>
    </w:p>
    <w:p w14:paraId="43519B47" w14:textId="714DA796" w:rsidR="000A4CBC" w:rsidRPr="00161FBC" w:rsidRDefault="000A4CBC" w:rsidP="008A1A95">
      <w:pPr>
        <w:pStyle w:val="Ttulo2"/>
        <w:numPr>
          <w:ilvl w:val="0"/>
          <w:numId w:val="3"/>
        </w:numPr>
        <w:spacing w:after="100"/>
        <w:ind w:left="1208" w:hanging="357"/>
        <w:rPr>
          <w:szCs w:val="24"/>
        </w:rPr>
      </w:pPr>
      <w:bookmarkStart w:id="8" w:name="_Toc186147713"/>
      <w:r w:rsidRPr="00161FBC">
        <w:rPr>
          <w:szCs w:val="24"/>
        </w:rPr>
        <w:t>Visión</w:t>
      </w:r>
      <w:bookmarkEnd w:id="8"/>
    </w:p>
    <w:p w14:paraId="027C3018" w14:textId="6A542168" w:rsidR="0064746B" w:rsidRPr="00161FBC" w:rsidRDefault="0064746B" w:rsidP="008A1A95">
      <w:pPr>
        <w:spacing w:after="100"/>
        <w:rPr>
          <w:color w:val="767171"/>
        </w:rPr>
      </w:pPr>
      <w:r w:rsidRPr="00161FBC">
        <w:rPr>
          <w:color w:val="767171"/>
        </w:rPr>
        <w:t>Ser un ente independiente que garantice la adaptabilidad de las normativas a los avances tecnológicos, la competitividad y la sostenibilidad del sector eléctrico dominicano.</w:t>
      </w:r>
    </w:p>
    <w:p w14:paraId="10562341" w14:textId="5393204C" w:rsidR="0064746B" w:rsidRPr="00161FBC" w:rsidRDefault="000A4CBC" w:rsidP="008A1A95">
      <w:pPr>
        <w:pStyle w:val="Ttulo2"/>
        <w:numPr>
          <w:ilvl w:val="0"/>
          <w:numId w:val="3"/>
        </w:numPr>
        <w:tabs>
          <w:tab w:val="left" w:pos="2708"/>
        </w:tabs>
        <w:spacing w:after="100"/>
        <w:ind w:left="1208" w:hanging="357"/>
        <w:rPr>
          <w:szCs w:val="24"/>
        </w:rPr>
      </w:pPr>
      <w:bookmarkStart w:id="9" w:name="_Toc186147714"/>
      <w:r w:rsidRPr="00161FBC">
        <w:rPr>
          <w:szCs w:val="24"/>
        </w:rPr>
        <w:t>Valores</w:t>
      </w:r>
      <w:bookmarkEnd w:id="9"/>
    </w:p>
    <w:p w14:paraId="0D49926E" w14:textId="77777777" w:rsidR="0064746B" w:rsidRPr="00161FBC" w:rsidRDefault="0064746B" w:rsidP="008A1A95">
      <w:pPr>
        <w:spacing w:after="80"/>
        <w:rPr>
          <w:color w:val="767171"/>
        </w:rPr>
      </w:pPr>
      <w:r w:rsidRPr="00161FBC">
        <w:rPr>
          <w:b/>
          <w:bCs/>
          <w:color w:val="767171"/>
        </w:rPr>
        <w:t>Independencia:</w:t>
      </w:r>
      <w:r w:rsidRPr="00161FBC">
        <w:rPr>
          <w:color w:val="767171"/>
        </w:rPr>
        <w:t xml:space="preserve"> Autonomía económica y regulatoria que garanticen la imparcialidad institucional y el correcto funcionamiento del subsector eléctrico dominicano. </w:t>
      </w:r>
    </w:p>
    <w:p w14:paraId="5A83505D" w14:textId="77777777" w:rsidR="0064746B" w:rsidRPr="00161FBC" w:rsidRDefault="0064746B" w:rsidP="008A1A95">
      <w:pPr>
        <w:spacing w:after="80"/>
        <w:rPr>
          <w:color w:val="767171"/>
        </w:rPr>
      </w:pPr>
      <w:r w:rsidRPr="00161FBC">
        <w:rPr>
          <w:b/>
          <w:bCs/>
          <w:color w:val="767171"/>
        </w:rPr>
        <w:t>Transparencia:</w:t>
      </w:r>
      <w:r w:rsidRPr="00161FBC">
        <w:rPr>
          <w:color w:val="767171"/>
        </w:rPr>
        <w:t xml:space="preserve"> Honestidad en las regulaciones y acciones que se llevan a cabo en la institución, garantizando la accesibilidad a las informaciones públicas, sin preferencias ni diferenciación. </w:t>
      </w:r>
    </w:p>
    <w:p w14:paraId="7AAEE7C8" w14:textId="77777777" w:rsidR="0064746B" w:rsidRPr="00161FBC" w:rsidRDefault="0064746B" w:rsidP="008A1A95">
      <w:pPr>
        <w:rPr>
          <w:color w:val="767171"/>
        </w:rPr>
      </w:pPr>
      <w:r w:rsidRPr="00161FBC">
        <w:rPr>
          <w:b/>
          <w:bCs/>
          <w:color w:val="767171"/>
        </w:rPr>
        <w:t>Compromiso:</w:t>
      </w:r>
      <w:r w:rsidRPr="00161FBC">
        <w:rPr>
          <w:color w:val="767171"/>
        </w:rPr>
        <w:t xml:space="preserve"> Entrega total hacia este direccionamiento estratégico y con la excelencia en el servicio, conscientes del impacto que se obtendrá en el subsector y en la ciudadanía con este accionar. </w:t>
      </w:r>
    </w:p>
    <w:p w14:paraId="7EB5E2F7" w14:textId="3258F980" w:rsidR="0064746B" w:rsidRPr="00161FBC" w:rsidRDefault="0064746B" w:rsidP="008A1A95">
      <w:pPr>
        <w:rPr>
          <w:color w:val="767171"/>
        </w:rPr>
      </w:pPr>
      <w:r w:rsidRPr="00161FBC">
        <w:rPr>
          <w:b/>
          <w:bCs/>
          <w:color w:val="767171"/>
        </w:rPr>
        <w:t>Eficiencia:</w:t>
      </w:r>
      <w:r w:rsidRPr="00161FBC">
        <w:rPr>
          <w:color w:val="767171"/>
        </w:rPr>
        <w:t xml:space="preserve"> Alcance de los objetivos y las responsabilidades dentro de los plazos establecidos, haciendo un uso racional de los recursos</w:t>
      </w:r>
      <w:r w:rsidR="005E1699" w:rsidRPr="00161FBC">
        <w:rPr>
          <w:color w:val="767171"/>
        </w:rPr>
        <w:t>.</w:t>
      </w:r>
      <w:r w:rsidRPr="00161FBC">
        <w:rPr>
          <w:color w:val="767171"/>
        </w:rPr>
        <w:tab/>
      </w:r>
    </w:p>
    <w:p w14:paraId="2EB2CA0B" w14:textId="5283EA4C" w:rsidR="000A4CBC" w:rsidRPr="00161FBC" w:rsidRDefault="002A5F0C" w:rsidP="008A1A95">
      <w:pPr>
        <w:pStyle w:val="Ttulo2"/>
      </w:pPr>
      <w:bookmarkStart w:id="10" w:name="_Hlk151635830"/>
      <w:bookmarkStart w:id="11" w:name="_Toc186147715"/>
      <w:r w:rsidRPr="00161FBC">
        <w:lastRenderedPageBreak/>
        <w:t>Base Legal</w:t>
      </w:r>
      <w:bookmarkEnd w:id="11"/>
    </w:p>
    <w:p w14:paraId="40932EEB" w14:textId="77777777" w:rsidR="009058C0" w:rsidRPr="00161FBC" w:rsidRDefault="007459F5" w:rsidP="008A1A95">
      <w:pPr>
        <w:rPr>
          <w:color w:val="767171"/>
        </w:rPr>
      </w:pPr>
      <w:r w:rsidRPr="00161FBC">
        <w:rPr>
          <w:color w:val="767171"/>
        </w:rPr>
        <w:t xml:space="preserve">La </w:t>
      </w:r>
      <w:r w:rsidR="00C724D1" w:rsidRPr="00161FBC">
        <w:rPr>
          <w:color w:val="767171"/>
        </w:rPr>
        <w:t>Superintendencia de Electricidad (</w:t>
      </w:r>
      <w:r w:rsidRPr="00161FBC">
        <w:rPr>
          <w:color w:val="767171"/>
        </w:rPr>
        <w:t>SIE</w:t>
      </w:r>
      <w:r w:rsidR="00C724D1" w:rsidRPr="00161FBC">
        <w:rPr>
          <w:color w:val="767171"/>
        </w:rPr>
        <w:t>)</w:t>
      </w:r>
      <w:r w:rsidRPr="00161FBC">
        <w:rPr>
          <w:color w:val="767171"/>
        </w:rPr>
        <w:t xml:space="preserve"> constituye el ente regulador del subsector eléctrico dominicano y está llamada a fiscalizar y supervisar el cumplimiento de las disposiciones legales, reglamentarias y la norma técnica aplicable en dicho subsector, en relación con el desarrollo de las actividades de generación, transmisión, distribución y comercialización de electricidad, así como establecer las tarifas y peajes sujetos a regulación de precios. </w:t>
      </w:r>
    </w:p>
    <w:p w14:paraId="1FDA3FB0" w14:textId="77777777" w:rsidR="009058C0" w:rsidRPr="00161FBC" w:rsidRDefault="007459F5" w:rsidP="008A1A95">
      <w:pPr>
        <w:rPr>
          <w:color w:val="767171"/>
        </w:rPr>
      </w:pPr>
      <w:r w:rsidRPr="00161FBC">
        <w:rPr>
          <w:color w:val="767171"/>
        </w:rPr>
        <w:t>Producto de la transformación del sector eléctrico dominicano, iniciada por la Ley General de Reforma de la Empresa Pública No. 141-97 promulgada en fecha 24 de junio del 1997, se llevó a cabo un proceso de privatización y capitalización de la Corporación Dominicana de Electricidad (</w:t>
      </w:r>
      <w:proofErr w:type="spellStart"/>
      <w:r w:rsidRPr="00161FBC">
        <w:rPr>
          <w:color w:val="767171"/>
        </w:rPr>
        <w:t>CDE</w:t>
      </w:r>
      <w:proofErr w:type="spellEnd"/>
      <w:r w:rsidRPr="00161FBC">
        <w:rPr>
          <w:color w:val="767171"/>
        </w:rPr>
        <w:t>), entre otras instituciones estatales.</w:t>
      </w:r>
      <w:r w:rsidR="009058C0" w:rsidRPr="00161FBC">
        <w:rPr>
          <w:color w:val="767171"/>
        </w:rPr>
        <w:t xml:space="preserve"> </w:t>
      </w:r>
      <w:r w:rsidRPr="00161FBC">
        <w:rPr>
          <w:color w:val="767171"/>
        </w:rPr>
        <w:t xml:space="preserve">Como parte de las operaciones realizadas, se transfirieron los derechos de la </w:t>
      </w:r>
      <w:proofErr w:type="spellStart"/>
      <w:r w:rsidRPr="00161FBC">
        <w:rPr>
          <w:color w:val="767171"/>
        </w:rPr>
        <w:t>CDE</w:t>
      </w:r>
      <w:proofErr w:type="spellEnd"/>
      <w:r w:rsidRPr="00161FBC">
        <w:rPr>
          <w:color w:val="767171"/>
        </w:rPr>
        <w:t xml:space="preserve"> sobre la explotación de obras eléctricas de generación, distribución y comercialización de electricidad en la República Dominicana a sociedades de derecho privado y capital mixto que resultaron adjudicatarias de los procesos de licitación efectuados, y se liberalizó el segmento de generación de electricidad, tornándose imperativa la necesidad de una entidad que regulase el sector eléctrico para fiscalizar y supervisar el cumplimiento de las normas técnicas y legales aplicables a dicho subsector. </w:t>
      </w:r>
    </w:p>
    <w:p w14:paraId="0010F3ED" w14:textId="2668C2A3" w:rsidR="008A1A95" w:rsidRPr="00161FBC" w:rsidRDefault="007459F5" w:rsidP="008A1A95">
      <w:pPr>
        <w:rPr>
          <w:color w:val="767171"/>
        </w:rPr>
      </w:pPr>
      <w:r w:rsidRPr="00161FBC">
        <w:rPr>
          <w:color w:val="767171"/>
        </w:rPr>
        <w:t>Por este motivo, el 16 de marzo de 1998, fue dictado el Decreto No. 118-98, que crea la Superintendencia de Electricidad (SIE) como un órgano descentralizado, dependiente de la Secretaría de Estado de Industria y Comercio (</w:t>
      </w:r>
      <w:proofErr w:type="spellStart"/>
      <w:r w:rsidRPr="00161FBC">
        <w:rPr>
          <w:color w:val="767171"/>
        </w:rPr>
        <w:t>SEIC</w:t>
      </w:r>
      <w:proofErr w:type="spellEnd"/>
      <w:r w:rsidRPr="00161FBC">
        <w:rPr>
          <w:color w:val="767171"/>
        </w:rPr>
        <w:t xml:space="preserve">), cuya finalidad, en términos generales, consistía en funciones normativas, promotoras, reguladoras y fiscalizadoras del subsector eléctrico en la República Dominicana. </w:t>
      </w:r>
      <w:r w:rsidR="008A1A95" w:rsidRPr="00161FBC">
        <w:rPr>
          <w:color w:val="767171"/>
        </w:rPr>
        <w:br w:type="page"/>
      </w:r>
    </w:p>
    <w:p w14:paraId="3EA4F802" w14:textId="77777777" w:rsidR="00B553F2" w:rsidRPr="00161FBC" w:rsidRDefault="007459F5" w:rsidP="008A1A95">
      <w:pPr>
        <w:rPr>
          <w:color w:val="767171"/>
        </w:rPr>
      </w:pPr>
      <w:r w:rsidRPr="00161FBC">
        <w:rPr>
          <w:color w:val="767171"/>
        </w:rPr>
        <w:lastRenderedPageBreak/>
        <w:t xml:space="preserve">Posteriormente, con la reforma sectorial que conllevó la entrada en vigor de la Ley General de Electricidad No. 125-01, promulgada el 26 de julio del 2001, la SIE pasó a convertirse en una institución descentralizada del Estado Dominicano con personalidad jurídica de derecho público, con patrimonio propio y capacidad para adquirir bienes, ejercer derechos y contraer obligaciones, al amparo de las disposiciones del Artículo 8 de la citada ley. </w:t>
      </w:r>
    </w:p>
    <w:p w14:paraId="6C352D31" w14:textId="39AD0BA8" w:rsidR="009058C0" w:rsidRPr="00161FBC" w:rsidRDefault="007459F5" w:rsidP="008A1A95">
      <w:pPr>
        <w:rPr>
          <w:color w:val="767171"/>
        </w:rPr>
      </w:pPr>
      <w:r w:rsidRPr="00161FBC">
        <w:rPr>
          <w:color w:val="767171"/>
        </w:rPr>
        <w:t xml:space="preserve">Más adelante, en fecha 30 de julio de 2013, entra en vigor la Ley No. 100-13 que crea el Ministerio de Energía y Minas, como órgano dependiente del Poder Ejecutivo, encargado de la formulación y administración de la política energética y de minería metálica y no metálica de la República Dominicana. Dicha normativa modifica el Artículo 16 de la Ley 125- 01, que integra la Comisión Nacional de Energía, para que en lo adelante sea presidida por el(la) ministro(a) de Energía y Minas e integrada por el(la) ministro(a) de Economía, Planificación y Desarrollo, el(la) ministro(a) de Hacienda, el(la) ministro(a) de Industria, Comercio y Pymes y el(la) ministro(a) de Medio Ambiente y Recursos Naturales. </w:t>
      </w:r>
    </w:p>
    <w:p w14:paraId="762E4D5C" w14:textId="12CA0BD9" w:rsidR="007459F5" w:rsidRPr="00161FBC" w:rsidRDefault="007459F5" w:rsidP="008A1A95">
      <w:pPr>
        <w:rPr>
          <w:color w:val="767171"/>
        </w:rPr>
      </w:pPr>
      <w:r w:rsidRPr="00161FBC">
        <w:rPr>
          <w:color w:val="767171"/>
        </w:rPr>
        <w:t>En virtud de lo anterior, de conformidad con la Ley Orgánica de la Administración Pública, que ordena que los organismos descentralizados se encuentren adscritos al Ministerio más afín a sus cometidos institucionales, quedaron adscritas al Ministerio de Energía y Minas: la Comisión Nacional de Energía, la Corporación Dominicana de Empresas Eléctricas Estatales (</w:t>
      </w:r>
      <w:proofErr w:type="spellStart"/>
      <w:r w:rsidRPr="00161FBC">
        <w:rPr>
          <w:color w:val="767171"/>
        </w:rPr>
        <w:t>CDEEE</w:t>
      </w:r>
      <w:proofErr w:type="spellEnd"/>
      <w:r w:rsidRPr="00161FBC">
        <w:rPr>
          <w:color w:val="767171"/>
        </w:rPr>
        <w:t>), la Superintendencia de Electricidad (SIE), la Dirección General de Minería, el Servicio Geológico Nacional (</w:t>
      </w:r>
      <w:proofErr w:type="spellStart"/>
      <w:r w:rsidRPr="00161FBC">
        <w:rPr>
          <w:color w:val="767171"/>
        </w:rPr>
        <w:t>SGN</w:t>
      </w:r>
      <w:proofErr w:type="spellEnd"/>
      <w:r w:rsidRPr="00161FBC">
        <w:rPr>
          <w:color w:val="767171"/>
        </w:rPr>
        <w:t>), así como cualquier organismo descentralizado creado, o por crear, con incidencia en el sector de energía y minas.</w:t>
      </w:r>
      <w:bookmarkEnd w:id="10"/>
    </w:p>
    <w:p w14:paraId="54261BBA" w14:textId="114753FB" w:rsidR="00B81D5F" w:rsidRPr="00161FBC" w:rsidRDefault="00B81D5F" w:rsidP="008A1A95">
      <w:pPr>
        <w:jc w:val="left"/>
        <w:rPr>
          <w:color w:val="767171"/>
        </w:rPr>
      </w:pPr>
      <w:r w:rsidRPr="00161FBC">
        <w:rPr>
          <w:color w:val="767171"/>
        </w:rPr>
        <w:br w:type="page"/>
      </w:r>
    </w:p>
    <w:p w14:paraId="47254554" w14:textId="0D4B101D" w:rsidR="00436041" w:rsidRPr="00161FBC" w:rsidRDefault="002A5F0C" w:rsidP="008A1A95">
      <w:pPr>
        <w:pStyle w:val="Ttulo2"/>
      </w:pPr>
      <w:bookmarkStart w:id="12" w:name="_Toc186147716"/>
      <w:r w:rsidRPr="00161FBC">
        <w:lastRenderedPageBreak/>
        <w:t>Estructura Organizativa</w:t>
      </w:r>
      <w:bookmarkEnd w:id="12"/>
    </w:p>
    <w:p w14:paraId="1D71F9AF" w14:textId="11B34B8C" w:rsidR="00367D6B" w:rsidRPr="00161FBC" w:rsidRDefault="00367D6B" w:rsidP="008A1A95">
      <w:pPr>
        <w:rPr>
          <w:color w:val="767171"/>
        </w:rPr>
      </w:pPr>
      <w:r w:rsidRPr="00161FBC">
        <w:rPr>
          <w:color w:val="767171"/>
        </w:rPr>
        <w:t xml:space="preserve">La Estructura Organizativa de la Superintendencia de Electricidad (SIE), </w:t>
      </w:r>
      <w:r w:rsidR="007219DF" w:rsidRPr="00161FBC">
        <w:rPr>
          <w:color w:val="767171"/>
        </w:rPr>
        <w:t>está</w:t>
      </w:r>
      <w:r w:rsidRPr="00161FBC">
        <w:rPr>
          <w:color w:val="767171"/>
        </w:rPr>
        <w:t xml:space="preserve"> con</w:t>
      </w:r>
      <w:r w:rsidR="007219DF" w:rsidRPr="00161FBC">
        <w:rPr>
          <w:color w:val="767171"/>
        </w:rPr>
        <w:t>stituida por un Consejo (Compuesto por tres miembros), cinco</w:t>
      </w:r>
      <w:r w:rsidRPr="00161FBC">
        <w:rPr>
          <w:color w:val="767171"/>
        </w:rPr>
        <w:t xml:space="preserve"> (5) Direcciones de Procesos Centrales (Misionales), tres (3) Direcciones de Procesos de Soporte (Apoyo) y cuatro (4) Direc</w:t>
      </w:r>
      <w:r w:rsidR="00CB2972" w:rsidRPr="00161FBC">
        <w:rPr>
          <w:color w:val="767171"/>
        </w:rPr>
        <w:t xml:space="preserve">ciones </w:t>
      </w:r>
      <w:r w:rsidR="006D5567" w:rsidRPr="00161FBC">
        <w:rPr>
          <w:color w:val="767171"/>
        </w:rPr>
        <w:t>D</w:t>
      </w:r>
      <w:r w:rsidR="00CB2972" w:rsidRPr="00161FBC">
        <w:rPr>
          <w:color w:val="767171"/>
        </w:rPr>
        <w:t>ependientes del Consejo SIE</w:t>
      </w:r>
      <w:r w:rsidR="007219DF" w:rsidRPr="00161FBC">
        <w:rPr>
          <w:color w:val="767171"/>
        </w:rPr>
        <w:t>.</w:t>
      </w:r>
      <w:r w:rsidRPr="00161FBC">
        <w:rPr>
          <w:color w:val="767171"/>
        </w:rPr>
        <w:t xml:space="preserve"> </w:t>
      </w:r>
    </w:p>
    <w:p w14:paraId="71F56945" w14:textId="2743E9BE" w:rsidR="007219DF" w:rsidRPr="00FA32E5" w:rsidRDefault="007219DF" w:rsidP="00EF14C2">
      <w:pPr>
        <w:rPr>
          <w:b/>
          <w:bCs/>
          <w:color w:val="767171"/>
        </w:rPr>
      </w:pPr>
      <w:r w:rsidRPr="00FA32E5">
        <w:rPr>
          <w:b/>
          <w:bCs/>
          <w:color w:val="767171"/>
        </w:rPr>
        <w:t>Consejo SIE</w:t>
      </w:r>
    </w:p>
    <w:p w14:paraId="1685B33F" w14:textId="289457EA" w:rsidR="007219DF" w:rsidRPr="00161FBC" w:rsidRDefault="007219DF" w:rsidP="008A1A95">
      <w:pPr>
        <w:pStyle w:val="Prrafodelista"/>
        <w:numPr>
          <w:ilvl w:val="0"/>
          <w:numId w:val="8"/>
        </w:numPr>
        <w:shd w:val="clear" w:color="auto" w:fill="FFFFFF"/>
        <w:rPr>
          <w:rFonts w:eastAsia="Calibri"/>
          <w:noProof/>
          <w:color w:val="767171"/>
        </w:rPr>
      </w:pPr>
      <w:r w:rsidRPr="00161FBC">
        <w:rPr>
          <w:rFonts w:eastAsia="Calibri"/>
          <w:noProof/>
          <w:color w:val="767171"/>
        </w:rPr>
        <w:t xml:space="preserve">Superintendente de Electricidad </w:t>
      </w:r>
      <w:r w:rsidRPr="00161FBC">
        <w:rPr>
          <w:rFonts w:eastAsia="Calibri"/>
          <w:noProof/>
          <w:color w:val="767171"/>
        </w:rPr>
        <w:tab/>
      </w:r>
      <w:r w:rsidRPr="00161FBC">
        <w:rPr>
          <w:rFonts w:eastAsia="Calibri"/>
          <w:noProof/>
          <w:color w:val="767171"/>
        </w:rPr>
        <w:tab/>
      </w:r>
      <w:r w:rsidRPr="00161FBC">
        <w:rPr>
          <w:rFonts w:eastAsia="Calibri"/>
          <w:noProof/>
          <w:color w:val="767171"/>
        </w:rPr>
        <w:tab/>
      </w:r>
      <w:r w:rsidR="008C2036" w:rsidRPr="00161FBC">
        <w:rPr>
          <w:rFonts w:eastAsia="Calibri"/>
          <w:noProof/>
          <w:color w:val="767171"/>
        </w:rPr>
        <w:t xml:space="preserve"> </w:t>
      </w:r>
      <w:r w:rsidRPr="00161FBC">
        <w:rPr>
          <w:rFonts w:eastAsia="Calibri"/>
          <w:noProof/>
          <w:color w:val="767171"/>
        </w:rPr>
        <w:t>Andrés Astacio</w:t>
      </w:r>
    </w:p>
    <w:p w14:paraId="6BE9F0AE" w14:textId="5DFD85B2" w:rsidR="007219DF" w:rsidRPr="00161FBC" w:rsidRDefault="007219DF" w:rsidP="008A1A95">
      <w:pPr>
        <w:pStyle w:val="Prrafodelista"/>
        <w:numPr>
          <w:ilvl w:val="0"/>
          <w:numId w:val="8"/>
        </w:numPr>
        <w:shd w:val="clear" w:color="auto" w:fill="FFFFFF"/>
        <w:rPr>
          <w:rFonts w:eastAsia="Calibri"/>
          <w:noProof/>
          <w:color w:val="767171"/>
        </w:rPr>
      </w:pPr>
      <w:r w:rsidRPr="00161FBC">
        <w:rPr>
          <w:rFonts w:eastAsia="Calibri"/>
          <w:noProof/>
          <w:color w:val="767171"/>
        </w:rPr>
        <w:t xml:space="preserve">Miembro del Consejo                                                </w:t>
      </w:r>
      <w:r w:rsidR="008C2036" w:rsidRPr="00161FBC">
        <w:rPr>
          <w:rFonts w:eastAsia="Calibri"/>
          <w:noProof/>
          <w:color w:val="767171"/>
        </w:rPr>
        <w:t xml:space="preserve"> </w:t>
      </w:r>
      <w:r w:rsidRPr="00161FBC">
        <w:rPr>
          <w:rFonts w:eastAsia="Calibri"/>
          <w:noProof/>
          <w:color w:val="767171"/>
        </w:rPr>
        <w:t xml:space="preserve"> Aura Caraballo</w:t>
      </w:r>
    </w:p>
    <w:p w14:paraId="3276F49A" w14:textId="61FEE7C3" w:rsidR="007219DF" w:rsidRPr="00161FBC" w:rsidRDefault="007219DF" w:rsidP="008A1A95">
      <w:pPr>
        <w:pStyle w:val="Prrafodelista"/>
        <w:numPr>
          <w:ilvl w:val="0"/>
          <w:numId w:val="8"/>
        </w:numPr>
        <w:shd w:val="clear" w:color="auto" w:fill="FFFFFF"/>
        <w:rPr>
          <w:rFonts w:eastAsia="Calibri"/>
          <w:noProof/>
          <w:color w:val="767171"/>
        </w:rPr>
      </w:pPr>
      <w:r w:rsidRPr="00161FBC">
        <w:rPr>
          <w:rFonts w:eastAsia="Calibri"/>
          <w:noProof/>
          <w:color w:val="767171"/>
        </w:rPr>
        <w:t xml:space="preserve">Miembro del consejo                                                 </w:t>
      </w:r>
      <w:r w:rsidR="008C2036" w:rsidRPr="00161FBC">
        <w:rPr>
          <w:rFonts w:eastAsia="Calibri"/>
          <w:noProof/>
          <w:color w:val="767171"/>
        </w:rPr>
        <w:t xml:space="preserve"> </w:t>
      </w:r>
      <w:r w:rsidRPr="00161FBC">
        <w:rPr>
          <w:rFonts w:eastAsia="Calibri"/>
          <w:noProof/>
          <w:color w:val="767171"/>
        </w:rPr>
        <w:t xml:space="preserve"> Sergio Grullón </w:t>
      </w:r>
    </w:p>
    <w:p w14:paraId="189293BC" w14:textId="06E9EC4C" w:rsidR="007219DF" w:rsidRPr="00FA32E5" w:rsidRDefault="007219DF" w:rsidP="008A1A95">
      <w:pPr>
        <w:shd w:val="clear" w:color="auto" w:fill="FFFFFF"/>
        <w:spacing w:after="0"/>
        <w:rPr>
          <w:rFonts w:eastAsia="Times New Roman"/>
          <w:b/>
          <w:bCs/>
          <w:color w:val="767171"/>
        </w:rPr>
      </w:pPr>
      <w:r w:rsidRPr="00FA32E5">
        <w:rPr>
          <w:rFonts w:eastAsia="Times New Roman"/>
          <w:b/>
          <w:bCs/>
          <w:color w:val="767171"/>
        </w:rPr>
        <w:t>Direcciones de Procesos Centrales (Misionales)</w:t>
      </w:r>
    </w:p>
    <w:p w14:paraId="3BA829D9" w14:textId="3A5EB47D" w:rsidR="007219DF" w:rsidRPr="00161FBC" w:rsidRDefault="007219DF" w:rsidP="008A1A95">
      <w:pPr>
        <w:pStyle w:val="Prrafodelista"/>
        <w:numPr>
          <w:ilvl w:val="0"/>
          <w:numId w:val="9"/>
        </w:numPr>
        <w:rPr>
          <w:rFonts w:eastAsia="Calibri"/>
          <w:noProof/>
          <w:color w:val="767171"/>
        </w:rPr>
      </w:pPr>
      <w:r w:rsidRPr="00161FBC">
        <w:rPr>
          <w:rFonts w:eastAsia="Calibri"/>
          <w:noProof/>
          <w:color w:val="767171"/>
        </w:rPr>
        <w:t>Dirección Asuntos Jurídicos</w:t>
      </w:r>
      <w:r w:rsidRPr="00161FBC">
        <w:rPr>
          <w:rFonts w:eastAsia="Calibri"/>
          <w:noProof/>
          <w:color w:val="767171"/>
        </w:rPr>
        <w:tab/>
      </w:r>
      <w:r w:rsidRPr="00161FBC">
        <w:rPr>
          <w:rFonts w:eastAsia="Calibri"/>
          <w:noProof/>
          <w:color w:val="767171"/>
        </w:rPr>
        <w:tab/>
      </w:r>
      <w:r w:rsidRPr="00161FBC">
        <w:rPr>
          <w:rFonts w:eastAsia="Calibri"/>
          <w:noProof/>
          <w:color w:val="767171"/>
        </w:rPr>
        <w:tab/>
      </w:r>
      <w:r w:rsidRPr="00161FBC">
        <w:rPr>
          <w:rFonts w:eastAsia="Calibri"/>
          <w:noProof/>
          <w:color w:val="767171"/>
        </w:rPr>
        <w:tab/>
      </w:r>
      <w:r w:rsidR="00F27779" w:rsidRPr="00161FBC">
        <w:rPr>
          <w:rFonts w:eastAsia="Calibri"/>
          <w:noProof/>
          <w:color w:val="767171"/>
        </w:rPr>
        <w:t xml:space="preserve"> </w:t>
      </w:r>
      <w:r w:rsidRPr="00161FBC">
        <w:rPr>
          <w:rFonts w:eastAsia="Calibri"/>
          <w:noProof/>
          <w:color w:val="767171"/>
        </w:rPr>
        <w:t>Aaron Suárez</w:t>
      </w:r>
    </w:p>
    <w:p w14:paraId="5CB89295" w14:textId="5E3EFE1E" w:rsidR="00842C14" w:rsidRPr="00161FBC" w:rsidRDefault="007219DF" w:rsidP="008A1A95">
      <w:pPr>
        <w:pStyle w:val="Prrafodelista"/>
        <w:numPr>
          <w:ilvl w:val="0"/>
          <w:numId w:val="9"/>
        </w:numPr>
        <w:rPr>
          <w:rFonts w:eastAsia="Calibri"/>
          <w:noProof/>
          <w:color w:val="767171"/>
        </w:rPr>
      </w:pPr>
      <w:r w:rsidRPr="00161FBC">
        <w:rPr>
          <w:rFonts w:eastAsia="Calibri"/>
          <w:noProof/>
          <w:color w:val="767171"/>
        </w:rPr>
        <w:t xml:space="preserve">Dirección </w:t>
      </w:r>
      <w:r w:rsidR="00842C14" w:rsidRPr="00161FBC">
        <w:rPr>
          <w:rFonts w:eastAsia="Calibri"/>
          <w:noProof/>
          <w:color w:val="767171"/>
        </w:rPr>
        <w:t xml:space="preserve">de Regulación                                           </w:t>
      </w:r>
      <w:r w:rsidR="00F27779" w:rsidRPr="00161FBC">
        <w:rPr>
          <w:rFonts w:eastAsia="Calibri"/>
          <w:noProof/>
          <w:color w:val="767171"/>
        </w:rPr>
        <w:t xml:space="preserve"> </w:t>
      </w:r>
      <w:r w:rsidR="00842C14" w:rsidRPr="00161FBC">
        <w:rPr>
          <w:rFonts w:eastAsia="Calibri"/>
          <w:noProof/>
          <w:color w:val="767171"/>
        </w:rPr>
        <w:t xml:space="preserve"> César Olivero</w:t>
      </w:r>
    </w:p>
    <w:p w14:paraId="7D021759" w14:textId="31A7B584" w:rsidR="00842C14" w:rsidRPr="00161FBC" w:rsidRDefault="00842C14" w:rsidP="008A1A95">
      <w:pPr>
        <w:pStyle w:val="Prrafodelista"/>
        <w:numPr>
          <w:ilvl w:val="0"/>
          <w:numId w:val="9"/>
        </w:numPr>
        <w:rPr>
          <w:rFonts w:eastAsia="Calibri"/>
          <w:noProof/>
          <w:color w:val="767171"/>
        </w:rPr>
      </w:pPr>
      <w:r w:rsidRPr="00161FBC">
        <w:rPr>
          <w:rFonts w:eastAsia="Calibri"/>
          <w:noProof/>
          <w:color w:val="767171"/>
        </w:rPr>
        <w:t xml:space="preserve">Dirección de Protecom                                              </w:t>
      </w:r>
      <w:r w:rsidR="00F27779" w:rsidRPr="00161FBC">
        <w:rPr>
          <w:rFonts w:eastAsia="Calibri"/>
          <w:noProof/>
          <w:color w:val="767171"/>
        </w:rPr>
        <w:t xml:space="preserve"> </w:t>
      </w:r>
      <w:r w:rsidRPr="00161FBC">
        <w:rPr>
          <w:rFonts w:eastAsia="Calibri"/>
          <w:noProof/>
          <w:color w:val="767171"/>
        </w:rPr>
        <w:t xml:space="preserve"> Eduard Batista</w:t>
      </w:r>
    </w:p>
    <w:p w14:paraId="0C2FE7B4" w14:textId="09EB6305" w:rsidR="00842C14" w:rsidRPr="00161FBC" w:rsidRDefault="00842C14" w:rsidP="008A1A95">
      <w:pPr>
        <w:pStyle w:val="Prrafodelista"/>
        <w:numPr>
          <w:ilvl w:val="0"/>
          <w:numId w:val="9"/>
        </w:numPr>
        <w:spacing w:after="0"/>
        <w:rPr>
          <w:rFonts w:eastAsia="Calibri"/>
          <w:noProof/>
          <w:color w:val="767171"/>
        </w:rPr>
      </w:pPr>
      <w:r w:rsidRPr="00161FBC">
        <w:rPr>
          <w:rFonts w:eastAsia="Calibri"/>
          <w:noProof/>
          <w:color w:val="767171"/>
        </w:rPr>
        <w:t xml:space="preserve">Dirección de Fiscalización Mercado                         </w:t>
      </w:r>
      <w:r w:rsidR="00F27779" w:rsidRPr="00161FBC">
        <w:rPr>
          <w:rFonts w:eastAsia="Calibri"/>
          <w:noProof/>
          <w:color w:val="767171"/>
        </w:rPr>
        <w:t xml:space="preserve"> </w:t>
      </w:r>
      <w:r w:rsidRPr="00161FBC">
        <w:rPr>
          <w:rFonts w:eastAsia="Calibri"/>
          <w:noProof/>
          <w:color w:val="767171"/>
        </w:rPr>
        <w:t xml:space="preserve"> Dalvin Castillo       </w:t>
      </w:r>
    </w:p>
    <w:p w14:paraId="61236D32" w14:textId="24D8916D" w:rsidR="00842C14" w:rsidRPr="00161FBC" w:rsidRDefault="00842C14" w:rsidP="008A1A95">
      <w:pPr>
        <w:pStyle w:val="Prrafodelista"/>
        <w:rPr>
          <w:rFonts w:eastAsia="Calibri"/>
          <w:noProof/>
          <w:color w:val="767171"/>
        </w:rPr>
      </w:pPr>
      <w:r w:rsidRPr="00161FBC">
        <w:rPr>
          <w:rFonts w:eastAsia="Calibri"/>
          <w:noProof/>
          <w:color w:val="767171"/>
        </w:rPr>
        <w:t>Eléctrico Mayorista</w:t>
      </w:r>
    </w:p>
    <w:p w14:paraId="35933C1F" w14:textId="26427708" w:rsidR="00842C14" w:rsidRPr="00161FBC" w:rsidRDefault="00842C14" w:rsidP="008A1A95">
      <w:pPr>
        <w:pStyle w:val="Prrafodelista"/>
        <w:numPr>
          <w:ilvl w:val="0"/>
          <w:numId w:val="9"/>
        </w:numPr>
        <w:spacing w:after="0"/>
        <w:rPr>
          <w:rFonts w:eastAsia="Calibri"/>
          <w:noProof/>
          <w:color w:val="767171"/>
        </w:rPr>
      </w:pPr>
      <w:r w:rsidRPr="00161FBC">
        <w:rPr>
          <w:rFonts w:eastAsia="Calibri"/>
          <w:noProof/>
          <w:color w:val="767171"/>
        </w:rPr>
        <w:t>Dirección de Fiscalización Mercado</w:t>
      </w:r>
      <w:r w:rsidR="007219DF" w:rsidRPr="00161FBC">
        <w:rPr>
          <w:rFonts w:eastAsia="Calibri"/>
          <w:noProof/>
          <w:color w:val="767171"/>
        </w:rPr>
        <w:t xml:space="preserve"> </w:t>
      </w:r>
      <w:r w:rsidRPr="00161FBC">
        <w:rPr>
          <w:rFonts w:eastAsia="Calibri"/>
          <w:noProof/>
          <w:color w:val="767171"/>
        </w:rPr>
        <w:t xml:space="preserve">                         </w:t>
      </w:r>
      <w:r w:rsidR="00F27779" w:rsidRPr="00161FBC">
        <w:rPr>
          <w:rFonts w:eastAsia="Calibri"/>
          <w:noProof/>
          <w:color w:val="767171"/>
        </w:rPr>
        <w:t xml:space="preserve"> </w:t>
      </w:r>
      <w:r w:rsidR="00167B32" w:rsidRPr="00161FBC">
        <w:rPr>
          <w:rFonts w:eastAsia="Calibri"/>
          <w:noProof/>
          <w:color w:val="767171"/>
        </w:rPr>
        <w:t>Yovanny Rodriguez</w:t>
      </w:r>
      <w:r w:rsidRPr="00161FBC">
        <w:rPr>
          <w:rFonts w:eastAsia="Calibri"/>
          <w:noProof/>
          <w:color w:val="767171"/>
        </w:rPr>
        <w:t xml:space="preserve">       </w:t>
      </w:r>
    </w:p>
    <w:p w14:paraId="698DD055" w14:textId="172E5325" w:rsidR="007219DF" w:rsidRPr="00161FBC" w:rsidRDefault="007219DF" w:rsidP="008A1A95">
      <w:pPr>
        <w:pStyle w:val="Prrafodelista"/>
        <w:spacing w:after="0"/>
        <w:rPr>
          <w:rFonts w:eastAsia="Calibri"/>
          <w:noProof/>
          <w:color w:val="767171"/>
        </w:rPr>
      </w:pPr>
      <w:r w:rsidRPr="00161FBC">
        <w:rPr>
          <w:rFonts w:eastAsia="Calibri"/>
          <w:noProof/>
          <w:color w:val="767171"/>
        </w:rPr>
        <w:t>Eléctrico M</w:t>
      </w:r>
      <w:r w:rsidR="00842C14" w:rsidRPr="00161FBC">
        <w:rPr>
          <w:rFonts w:eastAsia="Calibri"/>
          <w:noProof/>
          <w:color w:val="767171"/>
        </w:rPr>
        <w:t>inorista</w:t>
      </w:r>
    </w:p>
    <w:p w14:paraId="1E229FFA" w14:textId="68E10512" w:rsidR="00167B32" w:rsidRPr="00FA32E5" w:rsidRDefault="00167B32" w:rsidP="008A1A95">
      <w:pPr>
        <w:shd w:val="clear" w:color="auto" w:fill="FFFFFF"/>
        <w:spacing w:after="0"/>
        <w:rPr>
          <w:rFonts w:eastAsia="Times New Roman"/>
          <w:b/>
          <w:bCs/>
          <w:color w:val="767171"/>
        </w:rPr>
      </w:pPr>
      <w:r w:rsidRPr="00FA32E5">
        <w:rPr>
          <w:rFonts w:eastAsia="Times New Roman"/>
          <w:b/>
          <w:bCs/>
          <w:color w:val="767171"/>
        </w:rPr>
        <w:t>Direcciones de Procesos de Soporte (Apoyo)</w:t>
      </w:r>
    </w:p>
    <w:p w14:paraId="31600580" w14:textId="1C8B9688" w:rsidR="00167B32" w:rsidRPr="00161FBC" w:rsidRDefault="00167B32" w:rsidP="008A1A95">
      <w:pPr>
        <w:pStyle w:val="Prrafodelista"/>
        <w:numPr>
          <w:ilvl w:val="0"/>
          <w:numId w:val="9"/>
        </w:numPr>
        <w:rPr>
          <w:rFonts w:eastAsia="Calibri"/>
          <w:noProof/>
          <w:color w:val="767171"/>
        </w:rPr>
      </w:pPr>
      <w:r w:rsidRPr="00161FBC">
        <w:rPr>
          <w:rFonts w:eastAsia="Calibri"/>
          <w:noProof/>
          <w:color w:val="767171"/>
        </w:rPr>
        <w:t>Dirección Administrativa Financiera</w:t>
      </w:r>
      <w:r w:rsidRPr="00161FBC">
        <w:rPr>
          <w:rFonts w:eastAsia="Calibri"/>
          <w:noProof/>
          <w:color w:val="767171"/>
        </w:rPr>
        <w:tab/>
      </w:r>
      <w:r w:rsidRPr="00161FBC">
        <w:rPr>
          <w:rFonts w:eastAsia="Calibri"/>
          <w:noProof/>
          <w:color w:val="767171"/>
        </w:rPr>
        <w:tab/>
      </w:r>
      <w:r w:rsidRPr="00161FBC">
        <w:rPr>
          <w:rFonts w:eastAsia="Calibri"/>
          <w:noProof/>
          <w:color w:val="767171"/>
        </w:rPr>
        <w:tab/>
        <w:t>Armidis Henríquez</w:t>
      </w:r>
    </w:p>
    <w:p w14:paraId="0D2DD484" w14:textId="077F514D" w:rsidR="00F27779" w:rsidRPr="00161FBC" w:rsidRDefault="00F27779" w:rsidP="008A1A95">
      <w:pPr>
        <w:pStyle w:val="Prrafodelista"/>
        <w:numPr>
          <w:ilvl w:val="0"/>
          <w:numId w:val="9"/>
        </w:numPr>
        <w:spacing w:after="0"/>
        <w:rPr>
          <w:rFonts w:eastAsia="Calibri"/>
          <w:noProof/>
          <w:color w:val="767171"/>
        </w:rPr>
      </w:pPr>
      <w:r w:rsidRPr="00161FBC">
        <w:rPr>
          <w:rFonts w:eastAsia="Calibri"/>
          <w:noProof/>
          <w:color w:val="767171"/>
        </w:rPr>
        <w:t xml:space="preserve">Dirección de Infraestrucuta Física                              José Aybar       </w:t>
      </w:r>
    </w:p>
    <w:p w14:paraId="323E8354" w14:textId="2AA93459" w:rsidR="00F27779" w:rsidRPr="00161FBC" w:rsidRDefault="00F27779" w:rsidP="008A1A95">
      <w:pPr>
        <w:pStyle w:val="Prrafodelista"/>
        <w:rPr>
          <w:rFonts w:eastAsia="Calibri"/>
          <w:noProof/>
          <w:color w:val="767171"/>
        </w:rPr>
      </w:pPr>
      <w:r w:rsidRPr="00161FBC">
        <w:rPr>
          <w:rFonts w:eastAsia="Calibri"/>
          <w:noProof/>
          <w:color w:val="767171"/>
        </w:rPr>
        <w:t>y Servicios Generales</w:t>
      </w:r>
    </w:p>
    <w:p w14:paraId="49022989" w14:textId="7192D222" w:rsidR="00F27779" w:rsidRPr="00161FBC" w:rsidRDefault="00F27779" w:rsidP="008A1A95">
      <w:pPr>
        <w:pStyle w:val="Prrafodelista"/>
        <w:numPr>
          <w:ilvl w:val="0"/>
          <w:numId w:val="9"/>
        </w:numPr>
        <w:spacing w:after="0"/>
        <w:rPr>
          <w:rFonts w:eastAsia="Calibri"/>
          <w:noProof/>
          <w:color w:val="767171"/>
        </w:rPr>
      </w:pPr>
      <w:r w:rsidRPr="00161FBC">
        <w:rPr>
          <w:rFonts w:eastAsia="Calibri"/>
          <w:noProof/>
          <w:color w:val="767171"/>
        </w:rPr>
        <w:t xml:space="preserve">Dirección de Tecnologias de la                                 </w:t>
      </w:r>
      <w:r w:rsidR="008C2036" w:rsidRPr="00161FBC">
        <w:rPr>
          <w:rFonts w:eastAsia="Calibri"/>
          <w:noProof/>
          <w:color w:val="767171"/>
        </w:rPr>
        <w:t xml:space="preserve"> </w:t>
      </w:r>
      <w:r w:rsidRPr="00161FBC">
        <w:rPr>
          <w:rFonts w:eastAsia="Calibri"/>
          <w:noProof/>
          <w:color w:val="767171"/>
        </w:rPr>
        <w:t xml:space="preserve"> Iván Ortiz       </w:t>
      </w:r>
    </w:p>
    <w:p w14:paraId="6482E8E7" w14:textId="60992496" w:rsidR="00F27779" w:rsidRPr="00161FBC" w:rsidRDefault="00F27779" w:rsidP="008A1A95">
      <w:pPr>
        <w:pStyle w:val="Prrafodelista"/>
        <w:rPr>
          <w:rFonts w:eastAsia="Calibri"/>
          <w:noProof/>
          <w:color w:val="767171"/>
        </w:rPr>
      </w:pPr>
      <w:r w:rsidRPr="00161FBC">
        <w:rPr>
          <w:rFonts w:eastAsia="Calibri"/>
          <w:noProof/>
          <w:color w:val="767171"/>
        </w:rPr>
        <w:t>Información y Comunicación</w:t>
      </w:r>
    </w:p>
    <w:p w14:paraId="4B8EE731" w14:textId="23C43F4B" w:rsidR="00F27779" w:rsidRPr="00FA32E5" w:rsidRDefault="006D5567" w:rsidP="008A1A95">
      <w:pPr>
        <w:shd w:val="clear" w:color="auto" w:fill="FFFFFF"/>
        <w:spacing w:after="0"/>
        <w:rPr>
          <w:rFonts w:eastAsia="Times New Roman"/>
          <w:b/>
          <w:bCs/>
          <w:color w:val="767171"/>
        </w:rPr>
      </w:pPr>
      <w:r w:rsidRPr="00FA32E5">
        <w:rPr>
          <w:b/>
          <w:bCs/>
          <w:color w:val="767171"/>
        </w:rPr>
        <w:t>Direcciones Dependientes del Consejo SIE</w:t>
      </w:r>
    </w:p>
    <w:p w14:paraId="4448161F" w14:textId="301E342F" w:rsidR="00F27779" w:rsidRPr="00161FBC" w:rsidRDefault="00F27779" w:rsidP="008A1A95">
      <w:pPr>
        <w:pStyle w:val="Prrafodelista"/>
        <w:numPr>
          <w:ilvl w:val="0"/>
          <w:numId w:val="9"/>
        </w:numPr>
        <w:spacing w:line="276" w:lineRule="auto"/>
        <w:rPr>
          <w:rFonts w:eastAsia="Calibri"/>
          <w:noProof/>
          <w:color w:val="767171"/>
        </w:rPr>
      </w:pPr>
      <w:r w:rsidRPr="00161FBC">
        <w:rPr>
          <w:rFonts w:eastAsia="Calibri"/>
          <w:noProof/>
          <w:color w:val="767171"/>
        </w:rPr>
        <w:t xml:space="preserve">Dirección </w:t>
      </w:r>
      <w:r w:rsidR="006D5567" w:rsidRPr="00161FBC">
        <w:rPr>
          <w:rFonts w:eastAsia="Calibri"/>
          <w:noProof/>
          <w:color w:val="767171"/>
        </w:rPr>
        <w:t>de Planificacion y Desarrollo</w:t>
      </w:r>
      <w:r w:rsidRPr="00161FBC">
        <w:rPr>
          <w:rFonts w:eastAsia="Calibri"/>
          <w:noProof/>
          <w:color w:val="767171"/>
        </w:rPr>
        <w:tab/>
      </w:r>
      <w:r w:rsidRPr="00161FBC">
        <w:rPr>
          <w:rFonts w:eastAsia="Calibri"/>
          <w:noProof/>
          <w:color w:val="767171"/>
        </w:rPr>
        <w:tab/>
      </w:r>
      <w:r w:rsidR="006D5567" w:rsidRPr="00161FBC">
        <w:rPr>
          <w:rFonts w:eastAsia="Calibri"/>
          <w:noProof/>
          <w:color w:val="767171"/>
        </w:rPr>
        <w:t>Niurka Holguín</w:t>
      </w:r>
    </w:p>
    <w:p w14:paraId="4137DA67" w14:textId="0461C40D" w:rsidR="006D5567" w:rsidRPr="00161FBC" w:rsidRDefault="006D5567" w:rsidP="008A1A95">
      <w:pPr>
        <w:pStyle w:val="Prrafodelista"/>
        <w:numPr>
          <w:ilvl w:val="0"/>
          <w:numId w:val="9"/>
        </w:numPr>
        <w:spacing w:line="276" w:lineRule="auto"/>
        <w:rPr>
          <w:rFonts w:eastAsia="Calibri"/>
          <w:noProof/>
          <w:color w:val="767171"/>
        </w:rPr>
      </w:pPr>
      <w:r w:rsidRPr="00161FBC">
        <w:rPr>
          <w:color w:val="767171"/>
        </w:rPr>
        <w:t>Dirección de Recursos Humanos                               Annery Galván</w:t>
      </w:r>
    </w:p>
    <w:p w14:paraId="262B65F9" w14:textId="07F314F8" w:rsidR="006D5567" w:rsidRPr="00161FBC" w:rsidRDefault="006D5567" w:rsidP="008A1A95">
      <w:pPr>
        <w:pStyle w:val="Prrafodelista"/>
        <w:numPr>
          <w:ilvl w:val="0"/>
          <w:numId w:val="9"/>
        </w:numPr>
        <w:spacing w:after="0" w:line="276" w:lineRule="auto"/>
        <w:rPr>
          <w:rFonts w:eastAsia="Calibri"/>
          <w:noProof/>
          <w:color w:val="767171"/>
        </w:rPr>
      </w:pPr>
      <w:r w:rsidRPr="00161FBC">
        <w:rPr>
          <w:rFonts w:eastAsia="Calibri"/>
          <w:noProof/>
          <w:color w:val="767171"/>
        </w:rPr>
        <w:t xml:space="preserve">Dirección de Comunicaciones y                                Aimée Tezanos       </w:t>
      </w:r>
    </w:p>
    <w:p w14:paraId="69F3BFB8" w14:textId="59E601EF" w:rsidR="006D5567" w:rsidRPr="00161FBC" w:rsidRDefault="006D5567" w:rsidP="008A1A95">
      <w:pPr>
        <w:pStyle w:val="Prrafodelista"/>
        <w:spacing w:line="276" w:lineRule="auto"/>
        <w:rPr>
          <w:rFonts w:eastAsia="Calibri"/>
          <w:noProof/>
          <w:color w:val="767171"/>
        </w:rPr>
      </w:pPr>
      <w:r w:rsidRPr="00161FBC">
        <w:rPr>
          <w:rFonts w:eastAsia="Calibri"/>
          <w:noProof/>
          <w:color w:val="767171"/>
        </w:rPr>
        <w:t>Relaciones Públicas</w:t>
      </w:r>
    </w:p>
    <w:p w14:paraId="45AAD679" w14:textId="022140C9" w:rsidR="00306FB7" w:rsidRPr="00161FBC" w:rsidRDefault="00F27779" w:rsidP="008A1A95">
      <w:pPr>
        <w:pStyle w:val="Prrafodelista"/>
        <w:numPr>
          <w:ilvl w:val="0"/>
          <w:numId w:val="9"/>
        </w:numPr>
        <w:spacing w:after="0" w:line="276" w:lineRule="auto"/>
        <w:rPr>
          <w:rFonts w:eastAsia="Calibri"/>
          <w:noProof/>
          <w:color w:val="767171"/>
        </w:rPr>
        <w:sectPr w:rsidR="00306FB7" w:rsidRPr="00161FBC" w:rsidSect="006D0445">
          <w:headerReference w:type="default" r:id="rId13"/>
          <w:footerReference w:type="default" r:id="rId14"/>
          <w:pgSz w:w="12240" w:h="15840"/>
          <w:pgMar w:top="1440" w:right="2160" w:bottom="1440" w:left="2160" w:header="720" w:footer="720" w:gutter="0"/>
          <w:pgNumType w:start="1"/>
          <w:cols w:space="720"/>
          <w:docGrid w:linePitch="360"/>
        </w:sectPr>
      </w:pPr>
      <w:r w:rsidRPr="00161FBC">
        <w:rPr>
          <w:rFonts w:eastAsia="Calibri"/>
          <w:noProof/>
          <w:color w:val="767171"/>
        </w:rPr>
        <w:t xml:space="preserve">Dirección de </w:t>
      </w:r>
      <w:r w:rsidR="006D5567" w:rsidRPr="00161FBC">
        <w:rPr>
          <w:rFonts w:eastAsia="Calibri"/>
          <w:noProof/>
          <w:color w:val="767171"/>
        </w:rPr>
        <w:t>Despacho</w:t>
      </w:r>
      <w:r w:rsidRPr="00161FBC">
        <w:rPr>
          <w:rFonts w:eastAsia="Calibri"/>
          <w:noProof/>
          <w:color w:val="767171"/>
        </w:rPr>
        <w:t xml:space="preserve">                              </w:t>
      </w:r>
      <w:r w:rsidR="006D5567" w:rsidRPr="00161FBC">
        <w:rPr>
          <w:rFonts w:eastAsia="Calibri"/>
          <w:noProof/>
          <w:color w:val="767171"/>
        </w:rPr>
        <w:t xml:space="preserve">                Stephanie Baldisseri</w:t>
      </w:r>
    </w:p>
    <w:p w14:paraId="037C53B7" w14:textId="77777777" w:rsidR="00E06CEB" w:rsidRPr="00B82ACC" w:rsidRDefault="00795A10" w:rsidP="00E06CEB">
      <w:pPr>
        <w:spacing w:after="0"/>
        <w:ind w:left="426"/>
        <w:rPr>
          <w:b/>
          <w:bCs/>
          <w:noProof/>
          <w:color w:val="767171"/>
          <w:spacing w:val="15"/>
          <w:szCs w:val="22"/>
        </w:rPr>
      </w:pPr>
      <w:r w:rsidRPr="00B82ACC">
        <w:rPr>
          <w:b/>
          <w:bCs/>
          <w:noProof/>
          <w:color w:val="767171"/>
          <w:spacing w:val="15"/>
          <w:szCs w:val="22"/>
        </w:rPr>
        <w:lastRenderedPageBreak/>
        <w:drawing>
          <wp:anchor distT="0" distB="0" distL="114300" distR="114300" simplePos="0" relativeHeight="251764736" behindDoc="1" locked="0" layoutInCell="1" allowOverlap="1" wp14:anchorId="3244B820" wp14:editId="3FD6E284">
            <wp:simplePos x="0" y="0"/>
            <wp:positionH relativeFrom="column">
              <wp:posOffset>-716915</wp:posOffset>
            </wp:positionH>
            <wp:positionV relativeFrom="paragraph">
              <wp:posOffset>208280</wp:posOffset>
            </wp:positionV>
            <wp:extent cx="9374505" cy="5537200"/>
            <wp:effectExtent l="0" t="0" r="0" b="6350"/>
            <wp:wrapTopAndBottom/>
            <wp:docPr id="76973285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4505" cy="5537200"/>
                    </a:xfrm>
                    <a:prstGeom prst="rect">
                      <a:avLst/>
                    </a:prstGeom>
                    <a:noFill/>
                  </pic:spPr>
                </pic:pic>
              </a:graphicData>
            </a:graphic>
            <wp14:sizeRelH relativeFrom="margin">
              <wp14:pctWidth>0</wp14:pctWidth>
            </wp14:sizeRelH>
            <wp14:sizeRelV relativeFrom="margin">
              <wp14:pctHeight>0</wp14:pctHeight>
            </wp14:sizeRelV>
          </wp:anchor>
        </w:drawing>
      </w:r>
      <w:r w:rsidR="00306FB7" w:rsidRPr="00B82ACC">
        <w:rPr>
          <w:b/>
          <w:bCs/>
          <w:noProof/>
          <w:color w:val="767171"/>
          <w:spacing w:val="15"/>
          <w:szCs w:val="22"/>
        </w:rPr>
        <w:t>Organigrama</w:t>
      </w:r>
      <w:r w:rsidR="004E6B8C" w:rsidRPr="00B82ACC">
        <w:rPr>
          <w:b/>
          <w:bCs/>
          <w:noProof/>
          <w:color w:val="767171"/>
          <w:spacing w:val="15"/>
          <w:szCs w:val="22"/>
        </w:rPr>
        <w:t xml:space="preserve"> SIE</w:t>
      </w:r>
    </w:p>
    <w:p w14:paraId="0DC113E6" w14:textId="4B41EDCB" w:rsidR="002639F7" w:rsidRPr="002639F7" w:rsidRDefault="00795A10" w:rsidP="002639F7">
      <w:pPr>
        <w:spacing w:after="0"/>
        <w:ind w:left="426"/>
        <w:sectPr w:rsidR="002639F7" w:rsidRPr="002639F7" w:rsidSect="00795A10">
          <w:headerReference w:type="default" r:id="rId16"/>
          <w:footerReference w:type="default" r:id="rId17"/>
          <w:pgSz w:w="15840" w:h="12240" w:orient="landscape" w:code="1"/>
          <w:pgMar w:top="709" w:right="1440" w:bottom="1276" w:left="1843" w:header="720" w:footer="647" w:gutter="0"/>
          <w:cols w:space="720"/>
          <w:docGrid w:linePitch="360"/>
        </w:sectPr>
      </w:pPr>
      <w:r>
        <w:rPr>
          <w:color w:val="767171"/>
        </w:rPr>
        <w:t>*Actualmente el organigrama de la SIE se encuentra en proceso de actualización</w:t>
      </w:r>
      <w:r w:rsidR="00E06CEB">
        <w:rPr>
          <w:color w:val="767171"/>
        </w:rPr>
        <w:t xml:space="preserve">.  </w:t>
      </w:r>
      <w:hyperlink r:id="rId18" w:history="1">
        <w:r w:rsidR="00E06CEB" w:rsidRPr="00E06CEB">
          <w:rPr>
            <w:rStyle w:val="Hipervnculo"/>
          </w:rPr>
          <w:t>https://transparencia.sie.gob.do/estructura-organica-de-la-institucion/</w:t>
        </w:r>
      </w:hyperlink>
      <w:r w:rsidR="002639F7">
        <w:rPr>
          <w:color w:val="767171"/>
        </w:rPr>
        <w:t xml:space="preserve"> </w:t>
      </w:r>
      <w:r w:rsidR="002639F7">
        <w:tab/>
      </w:r>
    </w:p>
    <w:p w14:paraId="1578EB8E" w14:textId="39E49ED9" w:rsidR="00436041" w:rsidRPr="00161FBC" w:rsidRDefault="002A5F0C" w:rsidP="008A1A95">
      <w:pPr>
        <w:pStyle w:val="Ttulo2"/>
      </w:pPr>
      <w:bookmarkStart w:id="13" w:name="_Toc186147717"/>
      <w:r w:rsidRPr="00161FBC">
        <w:lastRenderedPageBreak/>
        <w:t>Planificación Estratégica Institucional</w:t>
      </w:r>
      <w:bookmarkEnd w:id="13"/>
    </w:p>
    <w:p w14:paraId="4A34CC28" w14:textId="0654B6E7" w:rsidR="00FC0892" w:rsidRPr="00161FBC" w:rsidRDefault="00FE5143" w:rsidP="008A1A95">
      <w:pPr>
        <w:rPr>
          <w:color w:val="767171"/>
        </w:rPr>
      </w:pPr>
      <w:r w:rsidRPr="00161FBC">
        <w:rPr>
          <w:color w:val="767171"/>
        </w:rPr>
        <w:t xml:space="preserve">La Superintendencia de Electricidad (SIE) ha </w:t>
      </w:r>
      <w:r w:rsidR="00FC0892" w:rsidRPr="00161FBC">
        <w:rPr>
          <w:color w:val="767171"/>
        </w:rPr>
        <w:t>establecido e implementado</w:t>
      </w:r>
      <w:r w:rsidRPr="00161FBC">
        <w:rPr>
          <w:color w:val="767171"/>
        </w:rPr>
        <w:t xml:space="preserve"> su Plan Estratégico Institucional</w:t>
      </w:r>
      <w:r w:rsidR="00E922FB" w:rsidRPr="00161FBC">
        <w:rPr>
          <w:color w:val="767171"/>
        </w:rPr>
        <w:t xml:space="preserve"> 2021-2024</w:t>
      </w:r>
      <w:r w:rsidRPr="00161FBC">
        <w:rPr>
          <w:color w:val="767171"/>
        </w:rPr>
        <w:t xml:space="preserve">, como la herramienta de gestión clave </w:t>
      </w:r>
      <w:r w:rsidR="00FC0892" w:rsidRPr="00161FBC">
        <w:rPr>
          <w:color w:val="767171"/>
        </w:rPr>
        <w:t xml:space="preserve">en donde se han definido las metodologías, programas y proyectos a desarrollar para alcanzar los objetivos y resultados institucionales. </w:t>
      </w:r>
    </w:p>
    <w:p w14:paraId="5D34610D" w14:textId="15A3A675" w:rsidR="00E922FB" w:rsidRPr="00161FBC" w:rsidRDefault="00E922FB" w:rsidP="008A1A95">
      <w:pPr>
        <w:rPr>
          <w:color w:val="767171"/>
        </w:rPr>
      </w:pPr>
      <w:r w:rsidRPr="00161FBC">
        <w:rPr>
          <w:color w:val="767171"/>
        </w:rPr>
        <w:t>Este P</w:t>
      </w:r>
      <w:r w:rsidR="00224BB6" w:rsidRPr="00161FBC">
        <w:rPr>
          <w:color w:val="767171"/>
        </w:rPr>
        <w:t>lan Estratégico</w:t>
      </w:r>
      <w:r w:rsidRPr="00161FBC">
        <w:rPr>
          <w:color w:val="767171"/>
        </w:rPr>
        <w:t xml:space="preserve"> esta formulado en cuatro (4) Ejes </w:t>
      </w:r>
      <w:r w:rsidRPr="00161FBC">
        <w:rPr>
          <w:rFonts w:eastAsia="Calibri"/>
          <w:noProof/>
          <w:color w:val="767171"/>
        </w:rPr>
        <w:t>y nueve (9) objetivos estratégicos, que definen y establecen el accionar</w:t>
      </w:r>
      <w:r w:rsidR="00492E31" w:rsidRPr="00161FBC">
        <w:rPr>
          <w:rFonts w:eastAsia="Calibri"/>
          <w:noProof/>
          <w:color w:val="767171"/>
        </w:rPr>
        <w:t xml:space="preserve"> </w:t>
      </w:r>
      <w:r w:rsidRPr="00161FBC">
        <w:rPr>
          <w:rFonts w:eastAsia="Calibri"/>
          <w:noProof/>
          <w:color w:val="767171"/>
        </w:rPr>
        <w:t>y los resultados</w:t>
      </w:r>
      <w:r w:rsidR="00492E31" w:rsidRPr="00161FBC">
        <w:rPr>
          <w:rFonts w:eastAsia="Calibri"/>
          <w:noProof/>
          <w:color w:val="767171"/>
        </w:rPr>
        <w:t xml:space="preserve"> al alcanzar institucionalmente</w:t>
      </w:r>
      <w:r w:rsidR="004C3520" w:rsidRPr="00161FBC">
        <w:rPr>
          <w:rFonts w:eastAsia="Calibri"/>
          <w:noProof/>
          <w:color w:val="767171"/>
        </w:rPr>
        <w:t xml:space="preserve">. </w:t>
      </w:r>
      <w:r w:rsidR="00463F83" w:rsidRPr="00161FBC">
        <w:rPr>
          <w:rFonts w:eastAsia="Calibri"/>
          <w:noProof/>
          <w:color w:val="767171"/>
        </w:rPr>
        <w:t>Al 2024 se completo el 85% del PEI y a continuación</w:t>
      </w:r>
      <w:r w:rsidR="00463F83" w:rsidRPr="00161FBC">
        <w:rPr>
          <w:color w:val="767171"/>
        </w:rPr>
        <w:t>, se presenta</w:t>
      </w:r>
      <w:r w:rsidR="00463F83" w:rsidRPr="00161FBC">
        <w:rPr>
          <w:rFonts w:eastAsia="Calibri"/>
          <w:noProof/>
          <w:color w:val="767171"/>
        </w:rPr>
        <w:t xml:space="preserve"> el nivel de ejecución por eje estrategico</w:t>
      </w:r>
      <w:r w:rsidR="00A70107" w:rsidRPr="00161FBC">
        <w:rPr>
          <w:color w:val="767171"/>
        </w:rPr>
        <w:t>.</w:t>
      </w:r>
    </w:p>
    <w:p w14:paraId="70F4B4C1" w14:textId="03C96B74" w:rsidR="007D78B4" w:rsidRPr="00161FBC" w:rsidRDefault="007D78B4" w:rsidP="008A1A95">
      <w:pPr>
        <w:rPr>
          <w:rFonts w:eastAsia="Calibri"/>
          <w:b/>
          <w:bCs/>
          <w:color w:val="767171"/>
          <w:spacing w:val="20"/>
          <w:lang w:eastAsia="en-US"/>
        </w:rPr>
      </w:pPr>
      <w:r w:rsidRPr="00161FBC">
        <w:rPr>
          <w:rFonts w:eastAsia="Calibri"/>
          <w:b/>
          <w:bCs/>
          <w:color w:val="767171"/>
          <w:spacing w:val="20"/>
          <w:lang w:eastAsia="en-US"/>
        </w:rPr>
        <w:t>Eje Estratégico 1</w:t>
      </w:r>
      <w:r w:rsidRPr="00161FBC">
        <w:rPr>
          <w:color w:val="767171"/>
        </w:rPr>
        <w:t xml:space="preserve">: </w:t>
      </w:r>
      <w:r w:rsidRPr="00161FBC">
        <w:rPr>
          <w:rFonts w:eastAsia="Calibri"/>
          <w:b/>
          <w:bCs/>
          <w:color w:val="767171"/>
          <w:spacing w:val="20"/>
          <w:lang w:eastAsia="en-US"/>
        </w:rPr>
        <w:t>Fortalecimiento del marco regulatorio del subsector eléctrico nacional</w:t>
      </w:r>
    </w:p>
    <w:p w14:paraId="27718DB5" w14:textId="2CDA231F" w:rsidR="0000429A" w:rsidRPr="00161FBC" w:rsidRDefault="0000429A" w:rsidP="008A1A95">
      <w:pPr>
        <w:rPr>
          <w:color w:val="767171"/>
        </w:rPr>
      </w:pPr>
      <w:r w:rsidRPr="00161FBC">
        <w:rPr>
          <w:color w:val="767171"/>
        </w:rPr>
        <w:t xml:space="preserve">La SIE, direccionada al cumplimiento del compromiso definido en la línea de acción 3.2.1.2 de la </w:t>
      </w:r>
      <w:proofErr w:type="spellStart"/>
      <w:r w:rsidRPr="00161FBC">
        <w:rPr>
          <w:color w:val="767171"/>
        </w:rPr>
        <w:t>END</w:t>
      </w:r>
      <w:proofErr w:type="spellEnd"/>
      <w:r w:rsidRPr="00161FBC">
        <w:rPr>
          <w:color w:val="767171"/>
        </w:rPr>
        <w:t xml:space="preserve"> al 2030, que apunta a “fortalecer la seguridad jurídica, la institucionalidad y el marco regulatorio del sector eléctrico para asegurar el establecimiento de tarifas competitivas y fomentar la inversión y el desarrollo del sector”, alineó todas sus iniciativas y proyectos relacionados al marco regulatorio en este primer eje con el cual se busca asegurar la continua atracción de inversiones, la correcta y constante protección de los consumidores, la transparencia, la eficiencia y la rendición de cuentas, enmarcándose de esta manera al Pacto Eléctrico y a la Ley General de Electricidad</w:t>
      </w:r>
    </w:p>
    <w:p w14:paraId="74D36E84" w14:textId="0B7B88E8" w:rsidR="0000429A" w:rsidRPr="00161FBC" w:rsidRDefault="0000429A" w:rsidP="008A1A95">
      <w:pPr>
        <w:rPr>
          <w:color w:val="767171"/>
        </w:rPr>
      </w:pPr>
      <w:r w:rsidRPr="00161FBC">
        <w:rPr>
          <w:color w:val="767171"/>
        </w:rPr>
        <w:t>Este eje está compuesto por cuatro (4) Objetivos Estratégicos, los cuales se presentan a continuación:</w:t>
      </w:r>
    </w:p>
    <w:p w14:paraId="76C73B2F" w14:textId="77777777" w:rsidR="007D78B4" w:rsidRPr="00B82ACC" w:rsidRDefault="007D78B4" w:rsidP="008A1A95">
      <w:pPr>
        <w:pStyle w:val="Prrafodelista"/>
        <w:numPr>
          <w:ilvl w:val="0"/>
          <w:numId w:val="4"/>
        </w:numPr>
        <w:rPr>
          <w:color w:val="767171"/>
        </w:rPr>
      </w:pPr>
      <w:r w:rsidRPr="00B82ACC">
        <w:rPr>
          <w:color w:val="767171"/>
        </w:rPr>
        <w:t xml:space="preserve">Objetivo Estratégico 1.1: Aplicar tarifas a usuarios regulados con criterios de eficiencia y transparencia para lograr la auto sostenibilidad del sector eléctrico. </w:t>
      </w:r>
    </w:p>
    <w:p w14:paraId="543669A4" w14:textId="77777777" w:rsidR="007D78B4" w:rsidRPr="00B82ACC" w:rsidRDefault="007D78B4" w:rsidP="008A1A95">
      <w:pPr>
        <w:pStyle w:val="Prrafodelista"/>
        <w:numPr>
          <w:ilvl w:val="0"/>
          <w:numId w:val="4"/>
        </w:numPr>
        <w:rPr>
          <w:color w:val="767171"/>
        </w:rPr>
      </w:pPr>
      <w:r w:rsidRPr="00B82ACC">
        <w:rPr>
          <w:color w:val="767171"/>
        </w:rPr>
        <w:t>Objetivo Estratégico 1.2: Impulsar la actualización del marco normativo del subsector eléctrico dominicano, abriendo paso a los avances tecnológicos y a la innovación</w:t>
      </w:r>
    </w:p>
    <w:p w14:paraId="467FA440" w14:textId="036F2163" w:rsidR="007D78B4" w:rsidRPr="00B82ACC" w:rsidRDefault="007D78B4" w:rsidP="008A1A95">
      <w:pPr>
        <w:pStyle w:val="Prrafodelista"/>
        <w:numPr>
          <w:ilvl w:val="0"/>
          <w:numId w:val="4"/>
        </w:numPr>
        <w:rPr>
          <w:color w:val="767171"/>
        </w:rPr>
      </w:pPr>
      <w:r w:rsidRPr="00B82ACC">
        <w:rPr>
          <w:color w:val="767171"/>
        </w:rPr>
        <w:t>Objetivo Estratégico 1.3: Regular con independencia para lograr elevar los niveles de fiscalización de la calidad del servicio de los agentes del sector eléctrico.</w:t>
      </w:r>
    </w:p>
    <w:p w14:paraId="181E0C47" w14:textId="5E4EBAA5" w:rsidR="007149DE" w:rsidRPr="00161FBC" w:rsidRDefault="007D78B4" w:rsidP="008A1A95">
      <w:pPr>
        <w:pStyle w:val="Prrafodelista"/>
        <w:numPr>
          <w:ilvl w:val="0"/>
          <w:numId w:val="4"/>
        </w:numPr>
        <w:rPr>
          <w:color w:val="767171"/>
        </w:rPr>
      </w:pPr>
      <w:r w:rsidRPr="00B82ACC">
        <w:rPr>
          <w:color w:val="767171"/>
        </w:rPr>
        <w:t>Objetivo Estratégico 1.4</w:t>
      </w:r>
      <w:r w:rsidRPr="00161FBC">
        <w:rPr>
          <w:color w:val="767171"/>
        </w:rPr>
        <w:t>: Garantizar el cumplimiento de los compromisos relacionados a la SIE en el Pacto Eléctrico al 2024.</w:t>
      </w:r>
    </w:p>
    <w:p w14:paraId="1D544C87" w14:textId="1F97CE3C" w:rsidR="002639F7" w:rsidRDefault="00A93451" w:rsidP="008A1A95">
      <w:pPr>
        <w:rPr>
          <w:rFonts w:eastAsia="Calibri"/>
          <w:color w:val="767171"/>
        </w:rPr>
      </w:pPr>
      <w:r w:rsidRPr="00161FBC">
        <w:rPr>
          <w:rFonts w:eastAsia="Calibri"/>
          <w:color w:val="767171"/>
        </w:rPr>
        <w:t xml:space="preserve">Para el año </w:t>
      </w:r>
      <w:r w:rsidR="00F2650B" w:rsidRPr="00161FBC">
        <w:rPr>
          <w:rFonts w:eastAsia="Calibri"/>
          <w:color w:val="767171"/>
        </w:rPr>
        <w:t>2024</w:t>
      </w:r>
      <w:r w:rsidRPr="00161FBC">
        <w:rPr>
          <w:rFonts w:eastAsia="Calibri"/>
          <w:color w:val="767171"/>
        </w:rPr>
        <w:t>, e</w:t>
      </w:r>
      <w:r w:rsidR="00DD58FA" w:rsidRPr="00161FBC">
        <w:rPr>
          <w:rFonts w:eastAsia="Calibri"/>
          <w:color w:val="767171"/>
        </w:rPr>
        <w:t xml:space="preserve">ste </w:t>
      </w:r>
      <w:r w:rsidR="00143221" w:rsidRPr="00161FBC">
        <w:rPr>
          <w:rFonts w:eastAsia="Calibri"/>
          <w:color w:val="767171"/>
        </w:rPr>
        <w:t>E</w:t>
      </w:r>
      <w:r w:rsidR="00DD58FA" w:rsidRPr="00161FBC">
        <w:rPr>
          <w:rFonts w:eastAsia="Calibri"/>
          <w:color w:val="767171"/>
        </w:rPr>
        <w:t xml:space="preserve">je </w:t>
      </w:r>
      <w:r w:rsidR="00143221" w:rsidRPr="00161FBC">
        <w:rPr>
          <w:rFonts w:eastAsia="Calibri"/>
          <w:color w:val="767171"/>
        </w:rPr>
        <w:t>E</w:t>
      </w:r>
      <w:r w:rsidR="00DD58FA" w:rsidRPr="00161FBC">
        <w:rPr>
          <w:rFonts w:eastAsia="Calibri"/>
          <w:color w:val="767171"/>
        </w:rPr>
        <w:t xml:space="preserve">stratégico 1 </w:t>
      </w:r>
      <w:r w:rsidR="007D78B4" w:rsidRPr="00161FBC">
        <w:rPr>
          <w:rFonts w:eastAsia="Calibri"/>
          <w:color w:val="767171"/>
        </w:rPr>
        <w:t xml:space="preserve">tiene un nivel de </w:t>
      </w:r>
      <w:r w:rsidR="00DD58FA" w:rsidRPr="00161FBC">
        <w:rPr>
          <w:rFonts w:eastAsia="Calibri"/>
          <w:color w:val="767171"/>
        </w:rPr>
        <w:t>cumplimiento</w:t>
      </w:r>
      <w:r w:rsidR="007D78B4" w:rsidRPr="00161FBC">
        <w:rPr>
          <w:rFonts w:eastAsia="Calibri"/>
          <w:color w:val="767171"/>
        </w:rPr>
        <w:t xml:space="preserve"> de un </w:t>
      </w:r>
      <w:r w:rsidR="00463F83" w:rsidRPr="00161FBC">
        <w:rPr>
          <w:rFonts w:eastAsia="Calibri"/>
          <w:color w:val="767171"/>
        </w:rPr>
        <w:t>93</w:t>
      </w:r>
      <w:r w:rsidR="007D78B4" w:rsidRPr="00161FBC">
        <w:rPr>
          <w:rFonts w:eastAsia="Calibri"/>
          <w:color w:val="767171"/>
        </w:rPr>
        <w:t>%.</w:t>
      </w:r>
    </w:p>
    <w:p w14:paraId="1DCF85C7" w14:textId="77777777" w:rsidR="002639F7" w:rsidRDefault="002639F7">
      <w:pPr>
        <w:spacing w:line="259" w:lineRule="auto"/>
        <w:jc w:val="left"/>
        <w:rPr>
          <w:rFonts w:eastAsia="Calibri"/>
          <w:color w:val="767171"/>
        </w:rPr>
      </w:pPr>
      <w:r>
        <w:rPr>
          <w:rFonts w:eastAsia="Calibri"/>
          <w:color w:val="767171"/>
        </w:rPr>
        <w:br w:type="page"/>
      </w:r>
    </w:p>
    <w:p w14:paraId="11D469F1" w14:textId="77777777" w:rsidR="0000429A" w:rsidRPr="00161FBC" w:rsidRDefault="007D78B4" w:rsidP="008A1A95">
      <w:pPr>
        <w:rPr>
          <w:rFonts w:eastAsia="Calibri"/>
          <w:b/>
          <w:bCs/>
          <w:color w:val="767171"/>
          <w:spacing w:val="20"/>
          <w:lang w:eastAsia="en-US"/>
        </w:rPr>
      </w:pPr>
      <w:r w:rsidRPr="00161FBC">
        <w:rPr>
          <w:rFonts w:eastAsia="Calibri"/>
          <w:b/>
          <w:bCs/>
          <w:color w:val="767171"/>
          <w:spacing w:val="20"/>
          <w:lang w:eastAsia="en-US"/>
        </w:rPr>
        <w:lastRenderedPageBreak/>
        <w:t>Eje 2: Fortalecimiento y desarrollo de las capacidades institucionales</w:t>
      </w:r>
    </w:p>
    <w:p w14:paraId="3A35B21C" w14:textId="77777777" w:rsidR="0000429A" w:rsidRPr="00161FBC" w:rsidRDefault="0000429A" w:rsidP="008A1A95">
      <w:pPr>
        <w:rPr>
          <w:color w:val="767171"/>
        </w:rPr>
      </w:pPr>
      <w:r w:rsidRPr="00161FBC">
        <w:rPr>
          <w:color w:val="767171"/>
        </w:rPr>
        <w:t xml:space="preserve">Con el objetivo de impulsar el fortalecimiento de la imagen institucional, así como el mantenimiento de un equilibrio eficiente entre la administración de los recursos, los acuerdos institucionales, el desarrollo de capacidades y la optimización de los procesos, se identificaron y se agruparon en este segundo eje las iniciativas y proyectos transversales a los demás ejes de este </w:t>
      </w:r>
      <w:proofErr w:type="spellStart"/>
      <w:r w:rsidRPr="00161FBC">
        <w:rPr>
          <w:color w:val="767171"/>
        </w:rPr>
        <w:t>PEI</w:t>
      </w:r>
      <w:proofErr w:type="spellEnd"/>
      <w:r w:rsidRPr="00161FBC">
        <w:rPr>
          <w:color w:val="767171"/>
        </w:rPr>
        <w:t xml:space="preserve"> que apuntan al fortalecimiento y al desarrollo de la institución. </w:t>
      </w:r>
    </w:p>
    <w:p w14:paraId="3EA0587A" w14:textId="77777777" w:rsidR="0000429A" w:rsidRPr="00161FBC" w:rsidRDefault="0000429A" w:rsidP="008A1A95">
      <w:pPr>
        <w:rPr>
          <w:color w:val="767171"/>
        </w:rPr>
      </w:pPr>
      <w:r w:rsidRPr="00161FBC">
        <w:rPr>
          <w:color w:val="767171"/>
        </w:rPr>
        <w:t>Entre las estrategias definidas para el período en cuestión se encuentran el fortalecimiento del clima organizacional, el desarrollo del talento humano, así como las mejoras de infraestructura y tecnológicas. En lo que respecta al fortalecimiento de la imagen institucional, fueron identificadas estrategias como el aumento de la confianza de los agentes del sector en la SIE, así como campañas de educación orientadas a los ciudadanos.</w:t>
      </w:r>
    </w:p>
    <w:p w14:paraId="06A63F11" w14:textId="4ED5EA6A" w:rsidR="007D78B4" w:rsidRPr="00161FBC" w:rsidRDefault="0000429A" w:rsidP="008A1A95">
      <w:pPr>
        <w:rPr>
          <w:rFonts w:eastAsia="Calibri"/>
          <w:b/>
          <w:bCs/>
          <w:color w:val="767171"/>
          <w:spacing w:val="20"/>
          <w:lang w:eastAsia="en-US"/>
        </w:rPr>
      </w:pPr>
      <w:r w:rsidRPr="00161FBC">
        <w:rPr>
          <w:color w:val="767171"/>
        </w:rPr>
        <w:t>Este eje está compuesto por dos (2) Objetivos Estratégicos, los cuales se presentan a continuación:</w:t>
      </w:r>
      <w:r w:rsidR="007D78B4" w:rsidRPr="00161FBC">
        <w:rPr>
          <w:rFonts w:eastAsia="Calibri"/>
          <w:b/>
          <w:bCs/>
          <w:color w:val="767171"/>
          <w:spacing w:val="20"/>
          <w:lang w:eastAsia="en-US"/>
        </w:rPr>
        <w:t xml:space="preserve"> </w:t>
      </w:r>
    </w:p>
    <w:p w14:paraId="32CE15D7" w14:textId="77777777" w:rsidR="007D78B4" w:rsidRPr="00B82ACC" w:rsidRDefault="007D78B4" w:rsidP="008A1A95">
      <w:pPr>
        <w:pStyle w:val="Prrafodelista"/>
        <w:numPr>
          <w:ilvl w:val="0"/>
          <w:numId w:val="5"/>
        </w:numPr>
        <w:rPr>
          <w:color w:val="767171"/>
        </w:rPr>
      </w:pPr>
      <w:r w:rsidRPr="00B82ACC">
        <w:rPr>
          <w:color w:val="767171"/>
        </w:rPr>
        <w:t>Objetivo Estratégico 2.1: Aumentar los niveles de calidad, eficiencia y aumentar la buena operatividad de la institución.</w:t>
      </w:r>
    </w:p>
    <w:p w14:paraId="2728A875" w14:textId="77777777" w:rsidR="007D78B4" w:rsidRPr="00161FBC" w:rsidRDefault="007D78B4" w:rsidP="008A1A95">
      <w:pPr>
        <w:pStyle w:val="Prrafodelista"/>
        <w:numPr>
          <w:ilvl w:val="0"/>
          <w:numId w:val="5"/>
        </w:numPr>
        <w:rPr>
          <w:color w:val="767171"/>
        </w:rPr>
      </w:pPr>
      <w:r w:rsidRPr="00B82ACC">
        <w:rPr>
          <w:color w:val="767171"/>
        </w:rPr>
        <w:t>Objetivo Estratégico 2.2: Fortalecer la imagen de la SIE como ente regulador del subsector eléctrico</w:t>
      </w:r>
      <w:r w:rsidRPr="00161FBC">
        <w:rPr>
          <w:color w:val="767171"/>
        </w:rPr>
        <w:t xml:space="preserve"> dominicano.</w:t>
      </w:r>
    </w:p>
    <w:p w14:paraId="71F2B774" w14:textId="0D5E1578" w:rsidR="006119A9" w:rsidRPr="00161FBC" w:rsidRDefault="00A93451" w:rsidP="008A1A95">
      <w:pPr>
        <w:rPr>
          <w:rFonts w:eastAsia="Calibri"/>
          <w:color w:val="767171"/>
        </w:rPr>
      </w:pPr>
      <w:r w:rsidRPr="00161FBC">
        <w:rPr>
          <w:rFonts w:eastAsia="Calibri"/>
          <w:color w:val="767171"/>
        </w:rPr>
        <w:t xml:space="preserve">Para el año </w:t>
      </w:r>
      <w:r w:rsidR="00F2650B" w:rsidRPr="00161FBC">
        <w:rPr>
          <w:rFonts w:eastAsia="Calibri"/>
          <w:color w:val="767171"/>
        </w:rPr>
        <w:t>2024</w:t>
      </w:r>
      <w:r w:rsidRPr="00161FBC">
        <w:rPr>
          <w:rFonts w:eastAsia="Calibri"/>
          <w:color w:val="767171"/>
        </w:rPr>
        <w:t>, e</w:t>
      </w:r>
      <w:r w:rsidR="00DD58FA" w:rsidRPr="00161FBC">
        <w:rPr>
          <w:rFonts w:eastAsia="Calibri"/>
          <w:color w:val="767171"/>
        </w:rPr>
        <w:t xml:space="preserve">ste </w:t>
      </w:r>
      <w:r w:rsidR="00143221" w:rsidRPr="00161FBC">
        <w:rPr>
          <w:rFonts w:eastAsia="Calibri"/>
          <w:color w:val="767171"/>
        </w:rPr>
        <w:t>E</w:t>
      </w:r>
      <w:r w:rsidR="00DD58FA" w:rsidRPr="00161FBC">
        <w:rPr>
          <w:rFonts w:eastAsia="Calibri"/>
          <w:color w:val="767171"/>
        </w:rPr>
        <w:t xml:space="preserve">je </w:t>
      </w:r>
      <w:r w:rsidR="00143221" w:rsidRPr="00161FBC">
        <w:rPr>
          <w:rFonts w:eastAsia="Calibri"/>
          <w:color w:val="767171"/>
        </w:rPr>
        <w:t>E</w:t>
      </w:r>
      <w:r w:rsidR="00DD58FA" w:rsidRPr="00161FBC">
        <w:rPr>
          <w:rFonts w:eastAsia="Calibri"/>
          <w:color w:val="767171"/>
        </w:rPr>
        <w:t xml:space="preserve">stratégico 2 tiene un nivel de cumplimiento de un </w:t>
      </w:r>
      <w:r w:rsidR="00463F83" w:rsidRPr="00161FBC">
        <w:rPr>
          <w:rFonts w:eastAsia="Calibri"/>
          <w:color w:val="767171"/>
        </w:rPr>
        <w:t>84</w:t>
      </w:r>
      <w:r w:rsidR="00DD58FA" w:rsidRPr="00161FBC">
        <w:rPr>
          <w:rFonts w:eastAsia="Calibri"/>
          <w:color w:val="767171"/>
        </w:rPr>
        <w:t>%.</w:t>
      </w:r>
    </w:p>
    <w:p w14:paraId="5DD351B1" w14:textId="77777777" w:rsidR="007D78B4" w:rsidRPr="00161FBC" w:rsidRDefault="007D78B4" w:rsidP="008A1A95">
      <w:pPr>
        <w:rPr>
          <w:rFonts w:eastAsia="Calibri"/>
          <w:b/>
          <w:bCs/>
          <w:color w:val="767171"/>
          <w:spacing w:val="20"/>
          <w:lang w:eastAsia="en-US"/>
        </w:rPr>
      </w:pPr>
      <w:r w:rsidRPr="00161FBC">
        <w:rPr>
          <w:rFonts w:eastAsia="Calibri"/>
          <w:b/>
          <w:bCs/>
          <w:color w:val="767171"/>
          <w:spacing w:val="20"/>
          <w:lang w:eastAsia="en-US"/>
        </w:rPr>
        <w:t>Eje 3. Protección y fiscalización del subsector eléctrico nacional</w:t>
      </w:r>
    </w:p>
    <w:p w14:paraId="2314E367" w14:textId="6C12C120" w:rsidR="0000429A" w:rsidRPr="00161FBC" w:rsidRDefault="0000429A" w:rsidP="008A1A95">
      <w:pPr>
        <w:rPr>
          <w:color w:val="767171"/>
        </w:rPr>
      </w:pPr>
      <w:r w:rsidRPr="00161FBC">
        <w:rPr>
          <w:color w:val="767171"/>
        </w:rPr>
        <w:t>Buscando asegurar un suministro eléctrico continuo, confiable y de calidad, la SIE identificó diferentes estrategias dentro de las que cabe mencionar el fortalecimiento de los esquemas y los procesos de análisis técnico-legal, así como la adecuación y actualización de diversos instrumentos normativos que fundamentan la relación entre los agentes del sector. También serán ampliados y optimizados los canales ofrecidos a los consumidores con miras a facilitar el acceso y a garantizar la protección de sus derechos.</w:t>
      </w:r>
    </w:p>
    <w:p w14:paraId="424774E0" w14:textId="7B8EF1A2" w:rsidR="0000429A" w:rsidRPr="00161FBC" w:rsidRDefault="0000429A" w:rsidP="008A1A95">
      <w:pPr>
        <w:rPr>
          <w:rFonts w:eastAsia="Calibri"/>
          <w:b/>
          <w:bCs/>
          <w:color w:val="767171"/>
          <w:spacing w:val="20"/>
          <w:lang w:eastAsia="en-US"/>
        </w:rPr>
      </w:pPr>
      <w:r w:rsidRPr="00161FBC">
        <w:rPr>
          <w:color w:val="767171"/>
        </w:rPr>
        <w:t>Este eje está compuesto por dos (2) Objetivos Estratégicos, los cuales se presentan a continuación:</w:t>
      </w:r>
    </w:p>
    <w:p w14:paraId="0EF1CE31" w14:textId="77777777" w:rsidR="007D78B4" w:rsidRPr="00B82ACC" w:rsidRDefault="007D78B4" w:rsidP="008A1A95">
      <w:pPr>
        <w:pStyle w:val="Prrafodelista"/>
        <w:numPr>
          <w:ilvl w:val="0"/>
          <w:numId w:val="6"/>
        </w:numPr>
        <w:rPr>
          <w:color w:val="767171"/>
        </w:rPr>
      </w:pPr>
      <w:r w:rsidRPr="00B82ACC">
        <w:rPr>
          <w:color w:val="767171"/>
        </w:rPr>
        <w:t>Objetivo Estratégico 3.1: Asegurar la debida fiscalización para garantizar un suministro confiable de electricidad.</w:t>
      </w:r>
    </w:p>
    <w:p w14:paraId="6D7FEDF0" w14:textId="77777777" w:rsidR="007D78B4" w:rsidRPr="00161FBC" w:rsidRDefault="007D78B4" w:rsidP="008A1A95">
      <w:pPr>
        <w:pStyle w:val="Prrafodelista"/>
        <w:numPr>
          <w:ilvl w:val="0"/>
          <w:numId w:val="6"/>
        </w:numPr>
        <w:rPr>
          <w:color w:val="767171"/>
        </w:rPr>
      </w:pPr>
      <w:r w:rsidRPr="00B82ACC">
        <w:rPr>
          <w:color w:val="767171"/>
        </w:rPr>
        <w:t>Objetivo Estratégico 3.2: Garantizar</w:t>
      </w:r>
      <w:r w:rsidRPr="00161FBC">
        <w:rPr>
          <w:color w:val="767171"/>
        </w:rPr>
        <w:t xml:space="preserve"> los derechos de los usuarios del servicio público de electricidad.</w:t>
      </w:r>
    </w:p>
    <w:p w14:paraId="08F99BE2" w14:textId="527B5DC3" w:rsidR="002639F7" w:rsidRDefault="00A93451" w:rsidP="008A1A95">
      <w:pPr>
        <w:rPr>
          <w:rFonts w:eastAsia="Calibri"/>
          <w:color w:val="767171"/>
        </w:rPr>
      </w:pPr>
      <w:r w:rsidRPr="00161FBC">
        <w:rPr>
          <w:rFonts w:eastAsia="Calibri"/>
          <w:color w:val="767171"/>
        </w:rPr>
        <w:t xml:space="preserve">Para el año </w:t>
      </w:r>
      <w:r w:rsidR="00F2650B" w:rsidRPr="00161FBC">
        <w:rPr>
          <w:rFonts w:eastAsia="Calibri"/>
          <w:color w:val="767171"/>
        </w:rPr>
        <w:t>2024</w:t>
      </w:r>
      <w:r w:rsidRPr="00161FBC">
        <w:rPr>
          <w:rFonts w:eastAsia="Calibri"/>
          <w:color w:val="767171"/>
        </w:rPr>
        <w:t>, e</w:t>
      </w:r>
      <w:r w:rsidR="00DD58FA" w:rsidRPr="00161FBC">
        <w:rPr>
          <w:rFonts w:eastAsia="Calibri"/>
          <w:color w:val="767171"/>
        </w:rPr>
        <w:t xml:space="preserve">ste </w:t>
      </w:r>
      <w:r w:rsidR="00143221" w:rsidRPr="00161FBC">
        <w:rPr>
          <w:rFonts w:eastAsia="Calibri"/>
          <w:color w:val="767171"/>
        </w:rPr>
        <w:t>E</w:t>
      </w:r>
      <w:r w:rsidR="00DD58FA" w:rsidRPr="00161FBC">
        <w:rPr>
          <w:rFonts w:eastAsia="Calibri"/>
          <w:color w:val="767171"/>
        </w:rPr>
        <w:t xml:space="preserve">je estratégico 3 tiene un nivel de cumplimiento de un </w:t>
      </w:r>
      <w:r w:rsidR="00463F83" w:rsidRPr="00161FBC">
        <w:rPr>
          <w:rFonts w:eastAsia="Calibri"/>
          <w:color w:val="767171"/>
        </w:rPr>
        <w:t>94</w:t>
      </w:r>
      <w:r w:rsidR="00DD58FA" w:rsidRPr="00161FBC">
        <w:rPr>
          <w:rFonts w:eastAsia="Calibri"/>
          <w:color w:val="767171"/>
        </w:rPr>
        <w:t>%.</w:t>
      </w:r>
    </w:p>
    <w:p w14:paraId="61C8D35C" w14:textId="77777777" w:rsidR="002639F7" w:rsidRDefault="002639F7">
      <w:pPr>
        <w:spacing w:line="259" w:lineRule="auto"/>
        <w:jc w:val="left"/>
        <w:rPr>
          <w:rFonts w:eastAsia="Calibri"/>
          <w:color w:val="767171"/>
        </w:rPr>
      </w:pPr>
      <w:r>
        <w:rPr>
          <w:rFonts w:eastAsia="Calibri"/>
          <w:color w:val="767171"/>
        </w:rPr>
        <w:br w:type="page"/>
      </w:r>
    </w:p>
    <w:p w14:paraId="5FD7FC9B" w14:textId="77777777" w:rsidR="007D78B4" w:rsidRPr="00161FBC" w:rsidRDefault="007D78B4" w:rsidP="008A1A95">
      <w:pPr>
        <w:rPr>
          <w:rFonts w:eastAsia="Calibri"/>
          <w:b/>
          <w:bCs/>
          <w:color w:val="767171"/>
          <w:spacing w:val="20"/>
          <w:lang w:eastAsia="en-US"/>
        </w:rPr>
      </w:pPr>
      <w:r w:rsidRPr="00161FBC">
        <w:rPr>
          <w:rFonts w:eastAsia="Calibri"/>
          <w:b/>
          <w:bCs/>
          <w:color w:val="767171"/>
          <w:spacing w:val="20"/>
          <w:lang w:eastAsia="en-US"/>
        </w:rPr>
        <w:lastRenderedPageBreak/>
        <w:t>Eje 4. Velar por la implementación de una cultura de responsabilidad social en el subsector eléctrico dominicano</w:t>
      </w:r>
    </w:p>
    <w:p w14:paraId="21A9C665" w14:textId="102A2FB6" w:rsidR="00A93451" w:rsidRPr="00161FBC" w:rsidRDefault="00A93451" w:rsidP="008A1A95">
      <w:pPr>
        <w:rPr>
          <w:color w:val="767171"/>
        </w:rPr>
      </w:pPr>
      <w:r w:rsidRPr="00161FBC">
        <w:rPr>
          <w:color w:val="767171"/>
        </w:rPr>
        <w:t>Buscando aportar mayor valor a la sociedad dominicana a través de las diferentes acciones implementadas, esta SIE se ha propuesto fomentar e inculcar una cultura de responsabilidad social en el subsector eléctrico dominicano. Tanto a lo interno como a lo externo, la institución tiene como objetivo llevar a cabo distintas acciones que le ayuden a liderar una cultura de retribución apoyando causas sociales vinculadas al sector</w:t>
      </w:r>
      <w:r w:rsidR="00E25315" w:rsidRPr="00161FBC">
        <w:rPr>
          <w:color w:val="767171"/>
        </w:rPr>
        <w:t>.</w:t>
      </w:r>
    </w:p>
    <w:p w14:paraId="53BD49F6" w14:textId="6116FC09" w:rsidR="00A93451" w:rsidRPr="00161FBC" w:rsidRDefault="00A93451" w:rsidP="008A1A95">
      <w:pPr>
        <w:rPr>
          <w:rFonts w:eastAsia="Calibri"/>
          <w:b/>
          <w:bCs/>
          <w:color w:val="767171"/>
          <w:spacing w:val="20"/>
          <w:lang w:eastAsia="en-US"/>
        </w:rPr>
      </w:pPr>
      <w:r w:rsidRPr="00161FBC">
        <w:rPr>
          <w:color w:val="767171"/>
        </w:rPr>
        <w:t>Este eje está compuesto por un Objetivo Estratégico, el cual se presenta a continuación:</w:t>
      </w:r>
    </w:p>
    <w:p w14:paraId="5420BAAC" w14:textId="380CC61F" w:rsidR="007D78B4" w:rsidRPr="00161FBC" w:rsidRDefault="007D78B4" w:rsidP="008A1A95">
      <w:pPr>
        <w:pStyle w:val="Prrafodelista"/>
        <w:numPr>
          <w:ilvl w:val="0"/>
          <w:numId w:val="7"/>
        </w:numPr>
        <w:rPr>
          <w:color w:val="767171"/>
        </w:rPr>
      </w:pPr>
      <w:r w:rsidRPr="00B82ACC">
        <w:rPr>
          <w:color w:val="767171"/>
        </w:rPr>
        <w:t>Objetivo Estratégico 4.1:</w:t>
      </w:r>
      <w:r w:rsidRPr="00161FBC">
        <w:rPr>
          <w:color w:val="767171"/>
        </w:rPr>
        <w:t xml:space="preserve"> Integrar, implementar y promocionar un comportamiento de responsabilidad social en el sector y la SIE</w:t>
      </w:r>
    </w:p>
    <w:p w14:paraId="2814599B" w14:textId="2BE66F30" w:rsidR="007149DE" w:rsidRPr="00161FBC" w:rsidRDefault="00A93451" w:rsidP="008A1A95">
      <w:pPr>
        <w:rPr>
          <w:rFonts w:eastAsia="Calibri"/>
          <w:color w:val="767171"/>
        </w:rPr>
      </w:pPr>
      <w:r w:rsidRPr="00161FBC">
        <w:rPr>
          <w:rFonts w:eastAsia="Calibri"/>
          <w:color w:val="767171"/>
        </w:rPr>
        <w:t xml:space="preserve">Para el año </w:t>
      </w:r>
      <w:r w:rsidR="00F2650B" w:rsidRPr="00161FBC">
        <w:rPr>
          <w:rFonts w:eastAsia="Calibri"/>
          <w:color w:val="767171"/>
        </w:rPr>
        <w:t>2024</w:t>
      </w:r>
      <w:r w:rsidRPr="00161FBC">
        <w:rPr>
          <w:rFonts w:eastAsia="Calibri"/>
          <w:color w:val="767171"/>
        </w:rPr>
        <w:t>, e</w:t>
      </w:r>
      <w:r w:rsidR="00DD58FA" w:rsidRPr="00161FBC">
        <w:rPr>
          <w:rFonts w:eastAsia="Calibri"/>
          <w:color w:val="767171"/>
        </w:rPr>
        <w:t xml:space="preserve">ste </w:t>
      </w:r>
      <w:r w:rsidR="00143221" w:rsidRPr="00161FBC">
        <w:rPr>
          <w:rFonts w:eastAsia="Calibri"/>
          <w:color w:val="767171"/>
        </w:rPr>
        <w:t>E</w:t>
      </w:r>
      <w:r w:rsidR="00DD58FA" w:rsidRPr="00161FBC">
        <w:rPr>
          <w:rFonts w:eastAsia="Calibri"/>
          <w:color w:val="767171"/>
        </w:rPr>
        <w:t xml:space="preserve">je 4 tiene un nivel de cumplimiento de un </w:t>
      </w:r>
      <w:r w:rsidR="00463F83" w:rsidRPr="00161FBC">
        <w:rPr>
          <w:rFonts w:eastAsia="Calibri"/>
          <w:color w:val="767171"/>
        </w:rPr>
        <w:t>71</w:t>
      </w:r>
      <w:r w:rsidR="00DD58FA" w:rsidRPr="00161FBC">
        <w:rPr>
          <w:rFonts w:eastAsia="Calibri"/>
          <w:color w:val="767171"/>
        </w:rPr>
        <w:t>%.</w:t>
      </w:r>
    </w:p>
    <w:p w14:paraId="6EE821AF" w14:textId="77777777" w:rsidR="008770A5" w:rsidRPr="00161FBC" w:rsidRDefault="00FD11D4" w:rsidP="008A1A95">
      <w:pPr>
        <w:rPr>
          <w:color w:val="767171"/>
        </w:rPr>
      </w:pPr>
      <w:r w:rsidRPr="00161FBC">
        <w:rPr>
          <w:color w:val="767171"/>
        </w:rPr>
        <w:t>El direccionamiento estratégico de este plan se vinculó directamente con la Estrategia Nacional de Desarrollo (</w:t>
      </w:r>
      <w:proofErr w:type="spellStart"/>
      <w:r w:rsidRPr="00161FBC">
        <w:rPr>
          <w:color w:val="767171"/>
        </w:rPr>
        <w:t>END</w:t>
      </w:r>
      <w:proofErr w:type="spellEnd"/>
      <w:r w:rsidRPr="00161FBC">
        <w:rPr>
          <w:color w:val="767171"/>
        </w:rPr>
        <w:t xml:space="preserve">) al 2030, la cual llama en sus Objetivos </w:t>
      </w:r>
      <w:r w:rsidRPr="00161FBC">
        <w:rPr>
          <w:b/>
          <w:bCs/>
          <w:color w:val="767171"/>
        </w:rPr>
        <w:t>3.2.1</w:t>
      </w:r>
      <w:r w:rsidRPr="00161FBC">
        <w:rPr>
          <w:color w:val="767171"/>
        </w:rPr>
        <w:t xml:space="preserve"> a “asegurar un suministro confiable de electricidad a precios competitivos y en condiciones de sostenibilidad financiera y ambiental”; y </w:t>
      </w:r>
      <w:r w:rsidRPr="00161FBC">
        <w:rPr>
          <w:b/>
          <w:bCs/>
          <w:color w:val="767171"/>
        </w:rPr>
        <w:t>1.1.1</w:t>
      </w:r>
      <w:r w:rsidRPr="00161FBC">
        <w:rPr>
          <w:color w:val="767171"/>
        </w:rPr>
        <w:t xml:space="preserve"> a “estructurar una administración pública eficiente que actúe con honestidad, transparencia y rendición de cuentas y se oriente a la obtención de resultados en beneficio de la sociedad y del desarrollo nacional y local”. De igual forma, fue vinculado con los Objetivos de Desarrollo Sostenibles (ODS), específicamente en el </w:t>
      </w:r>
      <w:r w:rsidRPr="00161FBC">
        <w:rPr>
          <w:b/>
          <w:bCs/>
          <w:color w:val="767171"/>
        </w:rPr>
        <w:t>Objetivo 7</w:t>
      </w:r>
      <w:r w:rsidRPr="00161FBC">
        <w:rPr>
          <w:color w:val="767171"/>
        </w:rPr>
        <w:t xml:space="preserve"> de garantizar el acceso a una energía asequible, segura, sostenible y moderna”; y también a las políticas priorizadas de esta gestión de gobierno</w:t>
      </w:r>
      <w:r w:rsidR="008770A5" w:rsidRPr="00161FBC">
        <w:rPr>
          <w:color w:val="767171"/>
        </w:rPr>
        <w:t>.</w:t>
      </w:r>
    </w:p>
    <w:p w14:paraId="3391BC1D" w14:textId="04349A48" w:rsidR="00FD11D4" w:rsidRPr="00161FBC" w:rsidRDefault="008770A5" w:rsidP="008A1A95">
      <w:pPr>
        <w:rPr>
          <w:color w:val="767171"/>
        </w:rPr>
      </w:pPr>
      <w:r w:rsidRPr="00161FBC">
        <w:rPr>
          <w:color w:val="767171"/>
        </w:rPr>
        <w:t xml:space="preserve">A </w:t>
      </w:r>
      <w:r w:rsidR="00215BFA" w:rsidRPr="00161FBC">
        <w:rPr>
          <w:color w:val="767171"/>
        </w:rPr>
        <w:t>continuación,</w:t>
      </w:r>
      <w:r w:rsidRPr="00161FBC">
        <w:rPr>
          <w:color w:val="767171"/>
        </w:rPr>
        <w:t xml:space="preserve"> se muestra la Alineación Estratégica Institucional con los instrumentos de Planificación Nacional de mediano y largo plano</w:t>
      </w:r>
      <w:r w:rsidR="007E3CDE" w:rsidRPr="00161FBC">
        <w:rPr>
          <w:color w:val="767171"/>
        </w:rPr>
        <w:t>:</w:t>
      </w:r>
    </w:p>
    <w:p w14:paraId="61BB68D8" w14:textId="02B301C6" w:rsidR="00D40742" w:rsidRPr="006D0445" w:rsidRDefault="00D40742" w:rsidP="00D40742">
      <w:pPr>
        <w:pStyle w:val="Descripcin"/>
        <w:keepNext/>
        <w:rPr>
          <w:color w:val="767171"/>
          <w:sz w:val="16"/>
          <w:szCs w:val="16"/>
        </w:rPr>
      </w:pPr>
      <w:r w:rsidRPr="006D0445">
        <w:rPr>
          <w:color w:val="767171"/>
          <w:sz w:val="16"/>
          <w:szCs w:val="16"/>
        </w:rPr>
        <w:t xml:space="preserve">Tabla </w:t>
      </w:r>
      <w:r w:rsidRPr="006D0445">
        <w:rPr>
          <w:color w:val="767171"/>
          <w:sz w:val="16"/>
          <w:szCs w:val="16"/>
        </w:rPr>
        <w:fldChar w:fldCharType="begin"/>
      </w:r>
      <w:r w:rsidRPr="006D0445">
        <w:rPr>
          <w:color w:val="767171"/>
          <w:sz w:val="16"/>
          <w:szCs w:val="16"/>
        </w:rPr>
        <w:instrText xml:space="preserve"> SEQ Tabla \* ARABIC </w:instrText>
      </w:r>
      <w:r w:rsidRPr="006D0445">
        <w:rPr>
          <w:color w:val="767171"/>
          <w:sz w:val="16"/>
          <w:szCs w:val="16"/>
        </w:rPr>
        <w:fldChar w:fldCharType="separate"/>
      </w:r>
      <w:r w:rsidR="002F127B">
        <w:rPr>
          <w:noProof/>
          <w:color w:val="767171"/>
          <w:sz w:val="16"/>
          <w:szCs w:val="16"/>
        </w:rPr>
        <w:t>1</w:t>
      </w:r>
      <w:r w:rsidRPr="006D0445">
        <w:rPr>
          <w:color w:val="767171"/>
          <w:sz w:val="16"/>
          <w:szCs w:val="16"/>
        </w:rPr>
        <w:fldChar w:fldCharType="end"/>
      </w:r>
      <w:r w:rsidRPr="006D0445">
        <w:rPr>
          <w:color w:val="767171"/>
          <w:sz w:val="16"/>
          <w:szCs w:val="16"/>
        </w:rPr>
        <w:t>Alineación Estratégica Institucional con los instrumentos de Planificación Nacional de mediano y largo plano</w:t>
      </w:r>
    </w:p>
    <w:tbl>
      <w:tblPr>
        <w:tblStyle w:val="Tablaconcuadrcula"/>
        <w:tblW w:w="0" w:type="auto"/>
        <w:tblLook w:val="04A0" w:firstRow="1" w:lastRow="0" w:firstColumn="1" w:lastColumn="0" w:noHBand="0" w:noVBand="1"/>
      </w:tblPr>
      <w:tblGrid>
        <w:gridCol w:w="2547"/>
        <w:gridCol w:w="5363"/>
      </w:tblGrid>
      <w:tr w:rsidR="006D0445" w:rsidRPr="006D0445" w14:paraId="152B8B70" w14:textId="77777777" w:rsidTr="00AC4933">
        <w:trPr>
          <w:trHeight w:val="699"/>
        </w:trPr>
        <w:tc>
          <w:tcPr>
            <w:tcW w:w="2547" w:type="dxa"/>
            <w:shd w:val="clear" w:color="auto" w:fill="011C50"/>
            <w:vAlign w:val="center"/>
          </w:tcPr>
          <w:p w14:paraId="515E3938" w14:textId="4E052185" w:rsidR="008770A5" w:rsidRPr="00C448FD" w:rsidRDefault="008770A5" w:rsidP="00215BFA">
            <w:pPr>
              <w:jc w:val="left"/>
              <w:rPr>
                <w:b/>
                <w:bCs/>
                <w:color w:val="FFFFFF" w:themeColor="background1"/>
              </w:rPr>
            </w:pPr>
            <w:r w:rsidRPr="00C448FD">
              <w:rPr>
                <w:b/>
                <w:bCs/>
                <w:color w:val="FFFFFF" w:themeColor="background1"/>
              </w:rPr>
              <w:t>Eje Estratégico SIE</w:t>
            </w:r>
          </w:p>
        </w:tc>
        <w:tc>
          <w:tcPr>
            <w:tcW w:w="5363" w:type="dxa"/>
            <w:shd w:val="clear" w:color="auto" w:fill="011C50"/>
            <w:vAlign w:val="center"/>
          </w:tcPr>
          <w:p w14:paraId="26C60145" w14:textId="1C0BD502" w:rsidR="008770A5" w:rsidRPr="00C448FD" w:rsidRDefault="008770A5" w:rsidP="00215BFA">
            <w:pPr>
              <w:spacing w:line="276" w:lineRule="auto"/>
              <w:jc w:val="left"/>
              <w:rPr>
                <w:color w:val="FFFFFF" w:themeColor="background1"/>
              </w:rPr>
            </w:pPr>
            <w:r w:rsidRPr="00C448FD">
              <w:rPr>
                <w:b/>
                <w:bCs/>
                <w:color w:val="FFFFFF" w:themeColor="background1"/>
              </w:rPr>
              <w:t>Eje 1:</w:t>
            </w:r>
            <w:r w:rsidRPr="00C448FD">
              <w:rPr>
                <w:color w:val="FFFFFF" w:themeColor="background1"/>
              </w:rPr>
              <w:t xml:space="preserve"> </w:t>
            </w:r>
            <w:r w:rsidRPr="00C448FD">
              <w:rPr>
                <w:b/>
                <w:bCs/>
                <w:color w:val="FFFFFF" w:themeColor="background1"/>
              </w:rPr>
              <w:t>Fortalecimiento del Marco Regulatorio del Subsector Eléctrico Nacional</w:t>
            </w:r>
          </w:p>
        </w:tc>
      </w:tr>
      <w:tr w:rsidR="006D0445" w:rsidRPr="006D0445" w14:paraId="625DEA5F" w14:textId="77777777" w:rsidTr="008F2DBB">
        <w:tc>
          <w:tcPr>
            <w:tcW w:w="2547" w:type="dxa"/>
            <w:shd w:val="clear" w:color="auto" w:fill="D9D9D9"/>
            <w:vAlign w:val="center"/>
          </w:tcPr>
          <w:p w14:paraId="64307258" w14:textId="37632674" w:rsidR="007E3CDE" w:rsidRPr="006D0445" w:rsidRDefault="007E3CDE" w:rsidP="00215BFA">
            <w:pPr>
              <w:jc w:val="left"/>
              <w:rPr>
                <w:b/>
                <w:bCs/>
                <w:color w:val="767171"/>
              </w:rPr>
            </w:pPr>
            <w:r w:rsidRPr="006D0445">
              <w:rPr>
                <w:b/>
                <w:bCs/>
                <w:color w:val="767171"/>
              </w:rPr>
              <w:t>Meta y Objetivo ODS</w:t>
            </w:r>
          </w:p>
        </w:tc>
        <w:tc>
          <w:tcPr>
            <w:tcW w:w="5363" w:type="dxa"/>
            <w:vAlign w:val="center"/>
          </w:tcPr>
          <w:p w14:paraId="529CBF26" w14:textId="4BEE4845" w:rsidR="007E3CDE" w:rsidRPr="006D0445" w:rsidRDefault="007E3CDE" w:rsidP="00215BFA">
            <w:pPr>
              <w:spacing w:line="276" w:lineRule="auto"/>
              <w:jc w:val="left"/>
              <w:rPr>
                <w:b/>
                <w:bCs/>
                <w:color w:val="767171"/>
              </w:rPr>
            </w:pPr>
            <w:r w:rsidRPr="006D0445">
              <w:rPr>
                <w:color w:val="767171"/>
              </w:rPr>
              <w:t xml:space="preserve">7.1 </w:t>
            </w:r>
            <w:r w:rsidR="008F6C47" w:rsidRPr="006D0445">
              <w:rPr>
                <w:color w:val="767171"/>
              </w:rPr>
              <w:t>a</w:t>
            </w:r>
            <w:r w:rsidRPr="006D0445">
              <w:rPr>
                <w:color w:val="767171"/>
              </w:rPr>
              <w:t>l 2030, garantizar el acceso universal a servicios energéticos asequibles, fiables y modernos</w:t>
            </w:r>
          </w:p>
        </w:tc>
      </w:tr>
      <w:tr w:rsidR="006D0445" w:rsidRPr="006D0445" w14:paraId="5F58925F" w14:textId="77777777" w:rsidTr="008F2DBB">
        <w:trPr>
          <w:trHeight w:val="595"/>
        </w:trPr>
        <w:tc>
          <w:tcPr>
            <w:tcW w:w="2547" w:type="dxa"/>
            <w:shd w:val="clear" w:color="auto" w:fill="D9D9D9"/>
            <w:vAlign w:val="center"/>
          </w:tcPr>
          <w:p w14:paraId="47F528FC" w14:textId="63FDEA6E" w:rsidR="007E3CDE" w:rsidRPr="006D0445" w:rsidRDefault="007E3CDE" w:rsidP="00215BFA">
            <w:pPr>
              <w:jc w:val="left"/>
              <w:rPr>
                <w:b/>
                <w:bCs/>
                <w:color w:val="767171"/>
              </w:rPr>
            </w:pPr>
            <w:r w:rsidRPr="006D0445">
              <w:rPr>
                <w:b/>
                <w:bCs/>
                <w:color w:val="767171"/>
              </w:rPr>
              <w:t>Política de Gobierno</w:t>
            </w:r>
          </w:p>
        </w:tc>
        <w:tc>
          <w:tcPr>
            <w:tcW w:w="5363" w:type="dxa"/>
            <w:vAlign w:val="center"/>
          </w:tcPr>
          <w:p w14:paraId="5674F144" w14:textId="40F75FE3" w:rsidR="007E3CDE" w:rsidRPr="006D0445" w:rsidRDefault="007E3CDE" w:rsidP="00215BFA">
            <w:pPr>
              <w:spacing w:line="276" w:lineRule="auto"/>
              <w:jc w:val="left"/>
              <w:rPr>
                <w:color w:val="767171"/>
              </w:rPr>
            </w:pPr>
            <w:r w:rsidRPr="006D0445">
              <w:rPr>
                <w:color w:val="767171"/>
              </w:rPr>
              <w:t>Energía permanente y de calidad</w:t>
            </w:r>
          </w:p>
        </w:tc>
      </w:tr>
      <w:tr w:rsidR="006D0445" w:rsidRPr="006D0445" w14:paraId="1226E7B9" w14:textId="77777777" w:rsidTr="008F2DBB">
        <w:tc>
          <w:tcPr>
            <w:tcW w:w="2547" w:type="dxa"/>
            <w:shd w:val="clear" w:color="auto" w:fill="D9D9D9"/>
            <w:vAlign w:val="center"/>
          </w:tcPr>
          <w:p w14:paraId="63F42A17" w14:textId="3D73A56F" w:rsidR="007E3CDE" w:rsidRPr="006D0445" w:rsidRDefault="007E3CDE" w:rsidP="00215BFA">
            <w:pPr>
              <w:jc w:val="left"/>
              <w:rPr>
                <w:b/>
                <w:bCs/>
                <w:color w:val="767171"/>
              </w:rPr>
            </w:pPr>
            <w:r w:rsidRPr="006D0445">
              <w:rPr>
                <w:b/>
                <w:bCs/>
                <w:color w:val="767171"/>
              </w:rPr>
              <w:t>Impacto de la Política</w:t>
            </w:r>
          </w:p>
        </w:tc>
        <w:tc>
          <w:tcPr>
            <w:tcW w:w="5363" w:type="dxa"/>
            <w:vAlign w:val="center"/>
          </w:tcPr>
          <w:p w14:paraId="714C2B52" w14:textId="12A219F0" w:rsidR="007E3CDE" w:rsidRPr="006D0445" w:rsidRDefault="007E3CDE" w:rsidP="00215BFA">
            <w:pPr>
              <w:spacing w:line="276" w:lineRule="auto"/>
              <w:jc w:val="left"/>
              <w:rPr>
                <w:color w:val="767171"/>
              </w:rPr>
            </w:pPr>
            <w:r w:rsidRPr="006D0445">
              <w:rPr>
                <w:color w:val="767171"/>
              </w:rPr>
              <w:t>Garantizar energía permanente, sostenible y de calidad</w:t>
            </w:r>
          </w:p>
        </w:tc>
      </w:tr>
      <w:tr w:rsidR="006D0445" w:rsidRPr="006D0445" w14:paraId="08B788AE" w14:textId="77777777" w:rsidTr="008F2DBB">
        <w:tc>
          <w:tcPr>
            <w:tcW w:w="2547" w:type="dxa"/>
            <w:shd w:val="clear" w:color="auto" w:fill="D9D9D9"/>
            <w:vAlign w:val="center"/>
          </w:tcPr>
          <w:p w14:paraId="112D8C76" w14:textId="711A309A" w:rsidR="00215BFA" w:rsidRPr="006D0445" w:rsidRDefault="00215BFA" w:rsidP="00215BFA">
            <w:pPr>
              <w:jc w:val="left"/>
              <w:rPr>
                <w:b/>
                <w:bCs/>
                <w:color w:val="767171"/>
              </w:rPr>
            </w:pPr>
            <w:r w:rsidRPr="006D0445">
              <w:rPr>
                <w:b/>
                <w:bCs/>
                <w:color w:val="767171"/>
              </w:rPr>
              <w:t xml:space="preserve">Resultado </w:t>
            </w:r>
            <w:proofErr w:type="spellStart"/>
            <w:r w:rsidRPr="006D0445">
              <w:rPr>
                <w:b/>
                <w:bCs/>
                <w:color w:val="767171"/>
              </w:rPr>
              <w:t>PNPSP</w:t>
            </w:r>
            <w:proofErr w:type="spellEnd"/>
          </w:p>
        </w:tc>
        <w:tc>
          <w:tcPr>
            <w:tcW w:w="5363" w:type="dxa"/>
            <w:vAlign w:val="center"/>
          </w:tcPr>
          <w:p w14:paraId="1B723DBF" w14:textId="6D62EAC0" w:rsidR="00215BFA" w:rsidRPr="006D0445" w:rsidRDefault="00215BFA" w:rsidP="00215BFA">
            <w:pPr>
              <w:spacing w:line="276" w:lineRule="auto"/>
              <w:jc w:val="left"/>
              <w:rPr>
                <w:color w:val="767171"/>
              </w:rPr>
            </w:pPr>
            <w:r w:rsidRPr="006D0445">
              <w:rPr>
                <w:color w:val="767171"/>
              </w:rPr>
              <w:t>Incrementar el nivel de autosostenibilidad financiera de las Empresas Distribuidoras de Electricidad Estatales</w:t>
            </w:r>
          </w:p>
        </w:tc>
      </w:tr>
      <w:tr w:rsidR="006D0445" w:rsidRPr="006D0445" w14:paraId="78283956" w14:textId="77777777" w:rsidTr="008F2DBB">
        <w:tc>
          <w:tcPr>
            <w:tcW w:w="2547" w:type="dxa"/>
            <w:shd w:val="clear" w:color="auto" w:fill="D9D9D9"/>
            <w:vAlign w:val="center"/>
          </w:tcPr>
          <w:p w14:paraId="34244144" w14:textId="5842EE2F" w:rsidR="00215BFA" w:rsidRPr="006D0445" w:rsidRDefault="00215BFA" w:rsidP="00215BFA">
            <w:pPr>
              <w:spacing w:line="240" w:lineRule="auto"/>
              <w:jc w:val="left"/>
              <w:rPr>
                <w:b/>
                <w:bCs/>
                <w:color w:val="767171"/>
              </w:rPr>
            </w:pPr>
            <w:r w:rsidRPr="006D0445">
              <w:rPr>
                <w:b/>
                <w:bCs/>
                <w:color w:val="767171"/>
              </w:rPr>
              <w:t xml:space="preserve">Objetivo General </w:t>
            </w:r>
            <w:proofErr w:type="spellStart"/>
            <w:r w:rsidRPr="006D0445">
              <w:rPr>
                <w:b/>
                <w:bCs/>
                <w:color w:val="767171"/>
              </w:rPr>
              <w:t>END</w:t>
            </w:r>
            <w:proofErr w:type="spellEnd"/>
          </w:p>
        </w:tc>
        <w:tc>
          <w:tcPr>
            <w:tcW w:w="5363" w:type="dxa"/>
            <w:vAlign w:val="center"/>
          </w:tcPr>
          <w:p w14:paraId="0D685F99" w14:textId="55F89D6F" w:rsidR="00215BFA" w:rsidRPr="006D0445" w:rsidRDefault="00215BFA" w:rsidP="00215BFA">
            <w:pPr>
              <w:spacing w:line="276" w:lineRule="auto"/>
              <w:jc w:val="left"/>
              <w:rPr>
                <w:b/>
                <w:bCs/>
                <w:color w:val="767171"/>
              </w:rPr>
            </w:pPr>
            <w:r w:rsidRPr="006D0445">
              <w:rPr>
                <w:b/>
                <w:bCs/>
                <w:color w:val="767171"/>
              </w:rPr>
              <w:t>3.2</w:t>
            </w:r>
            <w:r w:rsidRPr="006D0445">
              <w:rPr>
                <w:color w:val="767171"/>
              </w:rPr>
              <w:t xml:space="preserve"> Energía confiable, eficiente y ambientalmente sostenible</w:t>
            </w:r>
          </w:p>
        </w:tc>
      </w:tr>
    </w:tbl>
    <w:p w14:paraId="5C1CEE68" w14:textId="77777777" w:rsidR="002639F7" w:rsidRDefault="002639F7">
      <w:pPr>
        <w:spacing w:line="259" w:lineRule="auto"/>
        <w:jc w:val="left"/>
        <w:rPr>
          <w:b/>
          <w:bCs/>
          <w:color w:val="767171"/>
        </w:rPr>
      </w:pPr>
      <w:r>
        <w:rPr>
          <w:b/>
          <w:bCs/>
          <w:color w:val="767171"/>
        </w:rPr>
        <w:br w:type="page"/>
      </w:r>
    </w:p>
    <w:tbl>
      <w:tblPr>
        <w:tblStyle w:val="Tablaconcuadrcula"/>
        <w:tblW w:w="0" w:type="auto"/>
        <w:tblLook w:val="04A0" w:firstRow="1" w:lastRow="0" w:firstColumn="1" w:lastColumn="0" w:noHBand="0" w:noVBand="1"/>
      </w:tblPr>
      <w:tblGrid>
        <w:gridCol w:w="2547"/>
        <w:gridCol w:w="5363"/>
      </w:tblGrid>
      <w:tr w:rsidR="006D0445" w:rsidRPr="006D0445" w14:paraId="1C171B2E" w14:textId="77777777" w:rsidTr="00D04192">
        <w:trPr>
          <w:trHeight w:val="699"/>
        </w:trPr>
        <w:tc>
          <w:tcPr>
            <w:tcW w:w="2547" w:type="dxa"/>
            <w:shd w:val="clear" w:color="auto" w:fill="011C50"/>
            <w:vAlign w:val="center"/>
          </w:tcPr>
          <w:p w14:paraId="2491EA7B" w14:textId="00D84122" w:rsidR="00215BFA" w:rsidRPr="00C448FD" w:rsidRDefault="00215BFA" w:rsidP="00381358">
            <w:pPr>
              <w:jc w:val="left"/>
              <w:rPr>
                <w:b/>
                <w:bCs/>
                <w:color w:val="FFFFFF" w:themeColor="background1"/>
              </w:rPr>
            </w:pPr>
            <w:r w:rsidRPr="00C448FD">
              <w:rPr>
                <w:b/>
                <w:bCs/>
                <w:color w:val="FFFFFF" w:themeColor="background1"/>
              </w:rPr>
              <w:lastRenderedPageBreak/>
              <w:t>Eje Estratégico SIE</w:t>
            </w:r>
          </w:p>
        </w:tc>
        <w:tc>
          <w:tcPr>
            <w:tcW w:w="5363" w:type="dxa"/>
            <w:shd w:val="clear" w:color="auto" w:fill="011C50"/>
            <w:vAlign w:val="center"/>
          </w:tcPr>
          <w:p w14:paraId="0CDD2D14" w14:textId="26DC4B43" w:rsidR="00215BFA" w:rsidRPr="00C448FD" w:rsidRDefault="00204336" w:rsidP="00381358">
            <w:pPr>
              <w:spacing w:line="276" w:lineRule="auto"/>
              <w:jc w:val="left"/>
              <w:rPr>
                <w:b/>
                <w:bCs/>
                <w:color w:val="FFFFFF" w:themeColor="background1"/>
              </w:rPr>
            </w:pPr>
            <w:r w:rsidRPr="00C448FD">
              <w:rPr>
                <w:b/>
                <w:bCs/>
                <w:color w:val="FFFFFF" w:themeColor="background1"/>
              </w:rPr>
              <w:t>Eje 2: Fortalecimiento y desarrollo de las capacidades institucionales</w:t>
            </w:r>
          </w:p>
        </w:tc>
      </w:tr>
      <w:tr w:rsidR="006D0445" w:rsidRPr="006D0445" w14:paraId="20CF7015" w14:textId="77777777" w:rsidTr="008F2DBB">
        <w:tc>
          <w:tcPr>
            <w:tcW w:w="2547" w:type="dxa"/>
            <w:shd w:val="clear" w:color="auto" w:fill="D9D9D9"/>
            <w:vAlign w:val="center"/>
          </w:tcPr>
          <w:p w14:paraId="3D7A6F0E" w14:textId="77777777" w:rsidR="00215BFA" w:rsidRPr="006D0445" w:rsidRDefault="00215BFA" w:rsidP="00381358">
            <w:pPr>
              <w:jc w:val="left"/>
              <w:rPr>
                <w:b/>
                <w:bCs/>
                <w:color w:val="767171"/>
              </w:rPr>
            </w:pPr>
            <w:r w:rsidRPr="006D0445">
              <w:rPr>
                <w:b/>
                <w:bCs/>
                <w:color w:val="767171"/>
              </w:rPr>
              <w:t>Meta y Objetivo ODS</w:t>
            </w:r>
          </w:p>
        </w:tc>
        <w:tc>
          <w:tcPr>
            <w:tcW w:w="5363" w:type="dxa"/>
            <w:vAlign w:val="center"/>
          </w:tcPr>
          <w:p w14:paraId="1D034088" w14:textId="2456B554" w:rsidR="00215BFA" w:rsidRPr="006D0445" w:rsidRDefault="00215BFA" w:rsidP="00381358">
            <w:pPr>
              <w:spacing w:line="276" w:lineRule="auto"/>
              <w:jc w:val="left"/>
              <w:rPr>
                <w:color w:val="767171"/>
              </w:rPr>
            </w:pPr>
            <w:r w:rsidRPr="006D0445">
              <w:rPr>
                <w:color w:val="767171"/>
              </w:rPr>
              <w:t xml:space="preserve">7.1 </w:t>
            </w:r>
            <w:r w:rsidR="008F6C47" w:rsidRPr="006D0445">
              <w:rPr>
                <w:color w:val="767171"/>
              </w:rPr>
              <w:t>a</w:t>
            </w:r>
            <w:r w:rsidRPr="006D0445">
              <w:rPr>
                <w:color w:val="767171"/>
              </w:rPr>
              <w:t>l 2030, garantizar el acceso universal a servicios energéticos asequibles, fiables y modernos</w:t>
            </w:r>
          </w:p>
        </w:tc>
      </w:tr>
      <w:tr w:rsidR="006D0445" w:rsidRPr="006D0445" w14:paraId="30062D9F" w14:textId="77777777" w:rsidTr="008F2DBB">
        <w:trPr>
          <w:trHeight w:val="595"/>
        </w:trPr>
        <w:tc>
          <w:tcPr>
            <w:tcW w:w="2547" w:type="dxa"/>
            <w:shd w:val="clear" w:color="auto" w:fill="D9D9D9"/>
            <w:vAlign w:val="center"/>
          </w:tcPr>
          <w:p w14:paraId="510BA4D4" w14:textId="77777777" w:rsidR="00215BFA" w:rsidRPr="006D0445" w:rsidRDefault="00215BFA" w:rsidP="00381358">
            <w:pPr>
              <w:jc w:val="left"/>
              <w:rPr>
                <w:b/>
                <w:bCs/>
                <w:color w:val="767171"/>
              </w:rPr>
            </w:pPr>
            <w:r w:rsidRPr="006D0445">
              <w:rPr>
                <w:b/>
                <w:bCs/>
                <w:color w:val="767171"/>
              </w:rPr>
              <w:t>Política de Gobierno</w:t>
            </w:r>
          </w:p>
        </w:tc>
        <w:tc>
          <w:tcPr>
            <w:tcW w:w="5363" w:type="dxa"/>
            <w:vAlign w:val="center"/>
          </w:tcPr>
          <w:p w14:paraId="46BF32A1" w14:textId="18A2BE3B" w:rsidR="00215BFA" w:rsidRPr="006D0445" w:rsidRDefault="00204336" w:rsidP="00381358">
            <w:pPr>
              <w:spacing w:line="276" w:lineRule="auto"/>
              <w:jc w:val="left"/>
              <w:rPr>
                <w:color w:val="767171"/>
              </w:rPr>
            </w:pPr>
            <w:r w:rsidRPr="006D0445">
              <w:rPr>
                <w:color w:val="767171"/>
              </w:rPr>
              <w:t>Hacia un Estado moderno e institucional. Enfrentar la corrupción y la impunidad</w:t>
            </w:r>
          </w:p>
        </w:tc>
      </w:tr>
      <w:tr w:rsidR="006D0445" w:rsidRPr="006D0445" w14:paraId="0CE06A76" w14:textId="77777777" w:rsidTr="008F2DBB">
        <w:tc>
          <w:tcPr>
            <w:tcW w:w="2547" w:type="dxa"/>
            <w:shd w:val="clear" w:color="auto" w:fill="D9D9D9"/>
            <w:vAlign w:val="center"/>
          </w:tcPr>
          <w:p w14:paraId="7810EC26" w14:textId="77777777" w:rsidR="00215BFA" w:rsidRPr="006D0445" w:rsidRDefault="00215BFA" w:rsidP="00381358">
            <w:pPr>
              <w:jc w:val="left"/>
              <w:rPr>
                <w:b/>
                <w:bCs/>
                <w:color w:val="767171"/>
              </w:rPr>
            </w:pPr>
            <w:r w:rsidRPr="006D0445">
              <w:rPr>
                <w:b/>
                <w:bCs/>
                <w:color w:val="767171"/>
              </w:rPr>
              <w:t>Impacto de la Política</w:t>
            </w:r>
          </w:p>
        </w:tc>
        <w:tc>
          <w:tcPr>
            <w:tcW w:w="5363" w:type="dxa"/>
            <w:vAlign w:val="center"/>
          </w:tcPr>
          <w:p w14:paraId="3C406145" w14:textId="7E96F8AE" w:rsidR="00215BFA" w:rsidRPr="006D0445" w:rsidRDefault="00204336" w:rsidP="00381358">
            <w:pPr>
              <w:spacing w:line="276" w:lineRule="auto"/>
              <w:jc w:val="left"/>
              <w:rPr>
                <w:color w:val="767171"/>
              </w:rPr>
            </w:pPr>
            <w:r w:rsidRPr="006D0445">
              <w:rPr>
                <w:color w:val="767171"/>
              </w:rPr>
              <w:t>Apoyo sostenido a la administración pública eficiente, transparente y orientada a resultados. Garantizar una administración pública eficiente, honesta, transparente y con rendición de cuentas</w:t>
            </w:r>
          </w:p>
        </w:tc>
      </w:tr>
      <w:tr w:rsidR="006D0445" w:rsidRPr="006D0445" w14:paraId="4AEE37CE" w14:textId="77777777" w:rsidTr="008F2DBB">
        <w:tc>
          <w:tcPr>
            <w:tcW w:w="2547" w:type="dxa"/>
            <w:shd w:val="clear" w:color="auto" w:fill="D9D9D9"/>
            <w:vAlign w:val="center"/>
          </w:tcPr>
          <w:p w14:paraId="1860F4E8" w14:textId="77777777" w:rsidR="00215BFA" w:rsidRPr="006D0445" w:rsidRDefault="00215BFA" w:rsidP="00381358">
            <w:pPr>
              <w:jc w:val="left"/>
              <w:rPr>
                <w:b/>
                <w:bCs/>
                <w:color w:val="767171"/>
              </w:rPr>
            </w:pPr>
            <w:r w:rsidRPr="006D0445">
              <w:rPr>
                <w:b/>
                <w:bCs/>
                <w:color w:val="767171"/>
              </w:rPr>
              <w:t xml:space="preserve">Resultado </w:t>
            </w:r>
            <w:proofErr w:type="spellStart"/>
            <w:r w:rsidRPr="006D0445">
              <w:rPr>
                <w:b/>
                <w:bCs/>
                <w:color w:val="767171"/>
              </w:rPr>
              <w:t>PNPSP</w:t>
            </w:r>
            <w:proofErr w:type="spellEnd"/>
          </w:p>
        </w:tc>
        <w:tc>
          <w:tcPr>
            <w:tcW w:w="5363" w:type="dxa"/>
            <w:vAlign w:val="center"/>
          </w:tcPr>
          <w:p w14:paraId="5AA0190F" w14:textId="7F240798" w:rsidR="00215BFA" w:rsidRPr="006D0445" w:rsidRDefault="00204336" w:rsidP="00381358">
            <w:pPr>
              <w:spacing w:line="276" w:lineRule="auto"/>
              <w:jc w:val="left"/>
              <w:rPr>
                <w:color w:val="767171"/>
              </w:rPr>
            </w:pPr>
            <w:r w:rsidRPr="006D0445">
              <w:rPr>
                <w:color w:val="767171"/>
              </w:rPr>
              <w:t xml:space="preserve">Mejorar la calidad de los servicios públicos. Aumentar el uso de las </w:t>
            </w:r>
            <w:proofErr w:type="spellStart"/>
            <w:r w:rsidRPr="006D0445">
              <w:rPr>
                <w:color w:val="767171"/>
              </w:rPr>
              <w:t>TICs</w:t>
            </w:r>
            <w:proofErr w:type="spellEnd"/>
            <w:r w:rsidRPr="006D0445">
              <w:rPr>
                <w:color w:val="767171"/>
              </w:rPr>
              <w:t xml:space="preserve"> y el e-</w:t>
            </w:r>
            <w:proofErr w:type="spellStart"/>
            <w:r w:rsidRPr="006D0445">
              <w:rPr>
                <w:color w:val="767171"/>
              </w:rPr>
              <w:t>GOB</w:t>
            </w:r>
            <w:proofErr w:type="spellEnd"/>
            <w:r w:rsidRPr="006D0445">
              <w:rPr>
                <w:color w:val="767171"/>
              </w:rPr>
              <w:t xml:space="preserve"> en las instituciones del gobierno central y gobierno local. Garantizar la calidad, eficiencia y transparencia en el uso de los recursos públicos</w:t>
            </w:r>
          </w:p>
        </w:tc>
      </w:tr>
      <w:tr w:rsidR="006D0445" w:rsidRPr="006D0445" w14:paraId="22D7BCCD" w14:textId="77777777" w:rsidTr="008F2DBB">
        <w:tc>
          <w:tcPr>
            <w:tcW w:w="2547" w:type="dxa"/>
            <w:shd w:val="clear" w:color="auto" w:fill="D9D9D9"/>
            <w:vAlign w:val="center"/>
          </w:tcPr>
          <w:p w14:paraId="2FDFAE22" w14:textId="5544943C" w:rsidR="00215BFA" w:rsidRPr="006D0445" w:rsidRDefault="00215BFA" w:rsidP="00381358">
            <w:pPr>
              <w:spacing w:line="240" w:lineRule="auto"/>
              <w:jc w:val="left"/>
              <w:rPr>
                <w:b/>
                <w:bCs/>
                <w:color w:val="767171"/>
              </w:rPr>
            </w:pPr>
            <w:r w:rsidRPr="006D0445">
              <w:rPr>
                <w:b/>
                <w:bCs/>
                <w:color w:val="767171"/>
              </w:rPr>
              <w:t>Objetivo</w:t>
            </w:r>
            <w:r w:rsidR="00204336" w:rsidRPr="006D0445">
              <w:rPr>
                <w:b/>
                <w:bCs/>
                <w:color w:val="767171"/>
              </w:rPr>
              <w:t>s</w:t>
            </w:r>
            <w:r w:rsidRPr="006D0445">
              <w:rPr>
                <w:b/>
                <w:bCs/>
                <w:color w:val="767171"/>
              </w:rPr>
              <w:t xml:space="preserve"> General</w:t>
            </w:r>
            <w:r w:rsidR="00204336" w:rsidRPr="006D0445">
              <w:rPr>
                <w:b/>
                <w:bCs/>
                <w:color w:val="767171"/>
              </w:rPr>
              <w:t>es</w:t>
            </w:r>
            <w:r w:rsidRPr="006D0445">
              <w:rPr>
                <w:b/>
                <w:bCs/>
                <w:color w:val="767171"/>
              </w:rPr>
              <w:t xml:space="preserve"> </w:t>
            </w:r>
            <w:proofErr w:type="spellStart"/>
            <w:r w:rsidRPr="006D0445">
              <w:rPr>
                <w:b/>
                <w:bCs/>
                <w:color w:val="767171"/>
              </w:rPr>
              <w:t>END</w:t>
            </w:r>
            <w:proofErr w:type="spellEnd"/>
          </w:p>
        </w:tc>
        <w:tc>
          <w:tcPr>
            <w:tcW w:w="5363" w:type="dxa"/>
            <w:vAlign w:val="center"/>
          </w:tcPr>
          <w:p w14:paraId="32119741" w14:textId="77777777" w:rsidR="00215BFA" w:rsidRPr="006D0445" w:rsidRDefault="00215BFA" w:rsidP="00381358">
            <w:pPr>
              <w:spacing w:line="276" w:lineRule="auto"/>
              <w:jc w:val="left"/>
              <w:rPr>
                <w:color w:val="767171"/>
              </w:rPr>
            </w:pPr>
            <w:r w:rsidRPr="006D0445">
              <w:rPr>
                <w:color w:val="767171"/>
              </w:rPr>
              <w:t>3.2 Energía confiable, eficiente y ambientalmente sostenible</w:t>
            </w:r>
          </w:p>
          <w:p w14:paraId="33280F17" w14:textId="7AB3BCDA" w:rsidR="00204336" w:rsidRPr="006D0445" w:rsidRDefault="00204336" w:rsidP="00381358">
            <w:pPr>
              <w:spacing w:line="276" w:lineRule="auto"/>
              <w:jc w:val="left"/>
              <w:rPr>
                <w:color w:val="767171"/>
              </w:rPr>
            </w:pPr>
            <w:r w:rsidRPr="006D0445">
              <w:rPr>
                <w:color w:val="767171"/>
              </w:rPr>
              <w:t>1.1 Administración pública eficiente, transparente y orientada a resultados</w:t>
            </w:r>
          </w:p>
        </w:tc>
      </w:tr>
      <w:tr w:rsidR="006D0445" w:rsidRPr="006D0445" w14:paraId="52CC6A86" w14:textId="77777777" w:rsidTr="00D04192">
        <w:trPr>
          <w:trHeight w:val="699"/>
        </w:trPr>
        <w:tc>
          <w:tcPr>
            <w:tcW w:w="2547" w:type="dxa"/>
            <w:shd w:val="clear" w:color="auto" w:fill="011C50"/>
            <w:vAlign w:val="center"/>
          </w:tcPr>
          <w:p w14:paraId="1F2DD0F5" w14:textId="678D07AB" w:rsidR="00204336" w:rsidRPr="00C448FD" w:rsidRDefault="00204336" w:rsidP="00381358">
            <w:pPr>
              <w:jc w:val="left"/>
              <w:rPr>
                <w:b/>
                <w:bCs/>
                <w:color w:val="FFFFFF" w:themeColor="background1"/>
              </w:rPr>
            </w:pPr>
            <w:r w:rsidRPr="00C448FD">
              <w:rPr>
                <w:b/>
                <w:bCs/>
                <w:color w:val="FFFFFF" w:themeColor="background1"/>
              </w:rPr>
              <w:t>Eje Estratégico SIE</w:t>
            </w:r>
          </w:p>
        </w:tc>
        <w:tc>
          <w:tcPr>
            <w:tcW w:w="5363" w:type="dxa"/>
            <w:shd w:val="clear" w:color="auto" w:fill="011C50"/>
            <w:vAlign w:val="center"/>
          </w:tcPr>
          <w:p w14:paraId="3BB6118F" w14:textId="382BF58A" w:rsidR="00204336" w:rsidRPr="00C448FD" w:rsidRDefault="00204336" w:rsidP="00381358">
            <w:pPr>
              <w:spacing w:line="276" w:lineRule="auto"/>
              <w:jc w:val="left"/>
              <w:rPr>
                <w:b/>
                <w:bCs/>
                <w:color w:val="FFFFFF" w:themeColor="background1"/>
              </w:rPr>
            </w:pPr>
            <w:r w:rsidRPr="00C448FD">
              <w:rPr>
                <w:b/>
                <w:bCs/>
                <w:color w:val="FFFFFF" w:themeColor="background1"/>
              </w:rPr>
              <w:t>Eje 3: Protección y fiscalización del subsector eléctrico nacional</w:t>
            </w:r>
          </w:p>
        </w:tc>
      </w:tr>
      <w:tr w:rsidR="006D0445" w:rsidRPr="006D0445" w14:paraId="261067C5" w14:textId="77777777" w:rsidTr="003761E5">
        <w:tc>
          <w:tcPr>
            <w:tcW w:w="2547" w:type="dxa"/>
            <w:shd w:val="clear" w:color="auto" w:fill="D9D9D9"/>
            <w:vAlign w:val="center"/>
          </w:tcPr>
          <w:p w14:paraId="071F6CC7" w14:textId="77777777" w:rsidR="00204336" w:rsidRPr="006D0445" w:rsidRDefault="00204336" w:rsidP="00381358">
            <w:pPr>
              <w:jc w:val="left"/>
              <w:rPr>
                <w:b/>
                <w:bCs/>
                <w:color w:val="767171"/>
              </w:rPr>
            </w:pPr>
            <w:r w:rsidRPr="006D0445">
              <w:rPr>
                <w:b/>
                <w:bCs/>
                <w:color w:val="767171"/>
              </w:rPr>
              <w:t>Meta y Objetivo ODS</w:t>
            </w:r>
          </w:p>
        </w:tc>
        <w:tc>
          <w:tcPr>
            <w:tcW w:w="5363" w:type="dxa"/>
            <w:vAlign w:val="center"/>
          </w:tcPr>
          <w:p w14:paraId="5B9CB674" w14:textId="4B915C93" w:rsidR="00204336" w:rsidRPr="006D0445" w:rsidRDefault="00204336" w:rsidP="00381358">
            <w:pPr>
              <w:spacing w:line="276" w:lineRule="auto"/>
              <w:jc w:val="left"/>
              <w:rPr>
                <w:color w:val="767171"/>
              </w:rPr>
            </w:pPr>
            <w:r w:rsidRPr="006D0445">
              <w:rPr>
                <w:color w:val="767171"/>
              </w:rPr>
              <w:t xml:space="preserve">7.1 </w:t>
            </w:r>
            <w:r w:rsidR="008F6C47" w:rsidRPr="006D0445">
              <w:rPr>
                <w:color w:val="767171"/>
              </w:rPr>
              <w:t>a</w:t>
            </w:r>
            <w:r w:rsidRPr="006D0445">
              <w:rPr>
                <w:color w:val="767171"/>
              </w:rPr>
              <w:t>l 2030, garantizar el acceso universal a servicios energéticos asequibles, fiables y modernos.</w:t>
            </w:r>
          </w:p>
        </w:tc>
      </w:tr>
      <w:tr w:rsidR="006D0445" w:rsidRPr="006D0445" w14:paraId="2785BAD0" w14:textId="77777777" w:rsidTr="003761E5">
        <w:trPr>
          <w:trHeight w:val="595"/>
        </w:trPr>
        <w:tc>
          <w:tcPr>
            <w:tcW w:w="2547" w:type="dxa"/>
            <w:shd w:val="clear" w:color="auto" w:fill="D9D9D9"/>
            <w:vAlign w:val="center"/>
          </w:tcPr>
          <w:p w14:paraId="5E69AC0F" w14:textId="77777777" w:rsidR="00204336" w:rsidRPr="006D0445" w:rsidRDefault="00204336" w:rsidP="00381358">
            <w:pPr>
              <w:jc w:val="left"/>
              <w:rPr>
                <w:b/>
                <w:bCs/>
                <w:color w:val="767171"/>
              </w:rPr>
            </w:pPr>
            <w:r w:rsidRPr="006D0445">
              <w:rPr>
                <w:b/>
                <w:bCs/>
                <w:color w:val="767171"/>
              </w:rPr>
              <w:t>Política de Gobierno</w:t>
            </w:r>
          </w:p>
        </w:tc>
        <w:tc>
          <w:tcPr>
            <w:tcW w:w="5363" w:type="dxa"/>
            <w:vAlign w:val="center"/>
          </w:tcPr>
          <w:p w14:paraId="708564CF" w14:textId="31F2665D" w:rsidR="00204336" w:rsidRPr="006D0445" w:rsidRDefault="00204336" w:rsidP="00381358">
            <w:pPr>
              <w:spacing w:line="276" w:lineRule="auto"/>
              <w:jc w:val="left"/>
              <w:rPr>
                <w:color w:val="767171"/>
              </w:rPr>
            </w:pPr>
            <w:r w:rsidRPr="006D0445">
              <w:rPr>
                <w:color w:val="767171"/>
              </w:rPr>
              <w:t>*Energía permanente y de calidad.</w:t>
            </w:r>
          </w:p>
          <w:p w14:paraId="16FA9DD5" w14:textId="3B4DC93D" w:rsidR="00204336" w:rsidRPr="006D0445" w:rsidRDefault="00204336" w:rsidP="00381358">
            <w:pPr>
              <w:spacing w:line="276" w:lineRule="auto"/>
              <w:jc w:val="left"/>
              <w:rPr>
                <w:color w:val="767171"/>
              </w:rPr>
            </w:pPr>
            <w:r w:rsidRPr="006D0445">
              <w:rPr>
                <w:color w:val="767171"/>
              </w:rPr>
              <w:t>*Sostenibilidad ambiental y cambio climático en un país insular.</w:t>
            </w:r>
          </w:p>
        </w:tc>
      </w:tr>
      <w:tr w:rsidR="006D0445" w:rsidRPr="006D0445" w14:paraId="66D8DE2D" w14:textId="77777777" w:rsidTr="003761E5">
        <w:tc>
          <w:tcPr>
            <w:tcW w:w="2547" w:type="dxa"/>
            <w:shd w:val="clear" w:color="auto" w:fill="D9D9D9"/>
            <w:vAlign w:val="center"/>
          </w:tcPr>
          <w:p w14:paraId="505C8D83" w14:textId="77777777" w:rsidR="00204336" w:rsidRPr="006D0445" w:rsidRDefault="00204336" w:rsidP="00381358">
            <w:pPr>
              <w:jc w:val="left"/>
              <w:rPr>
                <w:b/>
                <w:bCs/>
                <w:color w:val="767171"/>
              </w:rPr>
            </w:pPr>
            <w:r w:rsidRPr="006D0445">
              <w:rPr>
                <w:b/>
                <w:bCs/>
                <w:color w:val="767171"/>
              </w:rPr>
              <w:t>Impacto de la Política</w:t>
            </w:r>
          </w:p>
        </w:tc>
        <w:tc>
          <w:tcPr>
            <w:tcW w:w="5363" w:type="dxa"/>
            <w:vAlign w:val="center"/>
          </w:tcPr>
          <w:p w14:paraId="5F198041" w14:textId="322DFFA1" w:rsidR="00204336" w:rsidRPr="006D0445" w:rsidRDefault="00204336" w:rsidP="00381358">
            <w:pPr>
              <w:spacing w:line="276" w:lineRule="auto"/>
              <w:jc w:val="left"/>
              <w:rPr>
                <w:color w:val="767171"/>
              </w:rPr>
            </w:pPr>
            <w:r w:rsidRPr="006D0445">
              <w:rPr>
                <w:color w:val="767171"/>
              </w:rPr>
              <w:t>*Garantizar energía permanente, sostenible y de calidad.</w:t>
            </w:r>
          </w:p>
          <w:p w14:paraId="09ADAD2A" w14:textId="29B48E7E" w:rsidR="00204336" w:rsidRPr="006D0445" w:rsidRDefault="00204336" w:rsidP="00381358">
            <w:pPr>
              <w:spacing w:line="276" w:lineRule="auto"/>
              <w:jc w:val="left"/>
              <w:rPr>
                <w:color w:val="767171"/>
              </w:rPr>
            </w:pPr>
            <w:r w:rsidRPr="006D0445">
              <w:rPr>
                <w:color w:val="767171"/>
              </w:rPr>
              <w:t>*Manejo sostenible del medio ambiente y adaptación adecuada al cambio climático.</w:t>
            </w:r>
          </w:p>
        </w:tc>
      </w:tr>
      <w:tr w:rsidR="006D0445" w:rsidRPr="006D0445" w14:paraId="7C8B43B5" w14:textId="77777777" w:rsidTr="003761E5">
        <w:tc>
          <w:tcPr>
            <w:tcW w:w="2547" w:type="dxa"/>
            <w:shd w:val="clear" w:color="auto" w:fill="D9D9D9"/>
            <w:vAlign w:val="center"/>
          </w:tcPr>
          <w:p w14:paraId="28D04DD9" w14:textId="77777777" w:rsidR="00204336" w:rsidRPr="006D0445" w:rsidRDefault="00204336" w:rsidP="00381358">
            <w:pPr>
              <w:jc w:val="left"/>
              <w:rPr>
                <w:b/>
                <w:bCs/>
                <w:color w:val="767171"/>
              </w:rPr>
            </w:pPr>
            <w:r w:rsidRPr="006D0445">
              <w:rPr>
                <w:b/>
                <w:bCs/>
                <w:color w:val="767171"/>
              </w:rPr>
              <w:t xml:space="preserve">Resultado </w:t>
            </w:r>
            <w:proofErr w:type="spellStart"/>
            <w:r w:rsidRPr="006D0445">
              <w:rPr>
                <w:b/>
                <w:bCs/>
                <w:color w:val="767171"/>
              </w:rPr>
              <w:t>PNPSP</w:t>
            </w:r>
            <w:proofErr w:type="spellEnd"/>
          </w:p>
        </w:tc>
        <w:tc>
          <w:tcPr>
            <w:tcW w:w="5363" w:type="dxa"/>
            <w:vAlign w:val="center"/>
          </w:tcPr>
          <w:p w14:paraId="49754380" w14:textId="78E206DD" w:rsidR="00204336" w:rsidRPr="006D0445" w:rsidRDefault="00204336" w:rsidP="00381358">
            <w:pPr>
              <w:spacing w:line="276" w:lineRule="auto"/>
              <w:jc w:val="left"/>
              <w:rPr>
                <w:color w:val="767171"/>
              </w:rPr>
            </w:pPr>
            <w:r w:rsidRPr="006D0445">
              <w:rPr>
                <w:color w:val="767171"/>
              </w:rPr>
              <w:t>*Incrementar el nivel de autosostenibilidad financiera de las Empresas Distribuidoras de Electricidad Estatales.</w:t>
            </w:r>
          </w:p>
          <w:p w14:paraId="5A474E14" w14:textId="122E4286" w:rsidR="00204336" w:rsidRPr="006D0445" w:rsidRDefault="00204336" w:rsidP="00381358">
            <w:pPr>
              <w:spacing w:line="276" w:lineRule="auto"/>
              <w:jc w:val="left"/>
              <w:rPr>
                <w:color w:val="767171"/>
              </w:rPr>
            </w:pPr>
            <w:r w:rsidRPr="006D0445">
              <w:rPr>
                <w:color w:val="767171"/>
              </w:rPr>
              <w:t>*Mejorar la eficiencia del sector energético.</w:t>
            </w:r>
          </w:p>
        </w:tc>
      </w:tr>
      <w:tr w:rsidR="006D0445" w:rsidRPr="006D0445" w14:paraId="23F046C3" w14:textId="77777777" w:rsidTr="003761E5">
        <w:tc>
          <w:tcPr>
            <w:tcW w:w="2547" w:type="dxa"/>
            <w:shd w:val="clear" w:color="auto" w:fill="D9D9D9"/>
            <w:vAlign w:val="center"/>
          </w:tcPr>
          <w:p w14:paraId="05B16CEB" w14:textId="77777777" w:rsidR="00204336" w:rsidRPr="006D0445" w:rsidRDefault="00204336" w:rsidP="00381358">
            <w:pPr>
              <w:spacing w:line="240" w:lineRule="auto"/>
              <w:jc w:val="left"/>
              <w:rPr>
                <w:b/>
                <w:bCs/>
                <w:color w:val="767171"/>
              </w:rPr>
            </w:pPr>
            <w:r w:rsidRPr="006D0445">
              <w:rPr>
                <w:b/>
                <w:bCs/>
                <w:color w:val="767171"/>
              </w:rPr>
              <w:t xml:space="preserve">Objetivo General </w:t>
            </w:r>
            <w:proofErr w:type="spellStart"/>
            <w:r w:rsidRPr="006D0445">
              <w:rPr>
                <w:b/>
                <w:bCs/>
                <w:color w:val="767171"/>
              </w:rPr>
              <w:t>END</w:t>
            </w:r>
            <w:proofErr w:type="spellEnd"/>
          </w:p>
        </w:tc>
        <w:tc>
          <w:tcPr>
            <w:tcW w:w="5363" w:type="dxa"/>
            <w:vAlign w:val="center"/>
          </w:tcPr>
          <w:p w14:paraId="02AC3816" w14:textId="77777777" w:rsidR="00204336" w:rsidRPr="006D0445" w:rsidRDefault="00204336" w:rsidP="00381358">
            <w:pPr>
              <w:spacing w:line="276" w:lineRule="auto"/>
              <w:jc w:val="left"/>
              <w:rPr>
                <w:color w:val="767171"/>
              </w:rPr>
            </w:pPr>
            <w:r w:rsidRPr="006D0445">
              <w:rPr>
                <w:color w:val="767171"/>
              </w:rPr>
              <w:t>3.2 Energía confiable, eficiente y ambientalmente sostenible</w:t>
            </w:r>
          </w:p>
        </w:tc>
      </w:tr>
    </w:tbl>
    <w:p w14:paraId="7D89375C" w14:textId="77777777" w:rsidR="007149DE" w:rsidRPr="006D0445" w:rsidRDefault="007149DE" w:rsidP="00AE21C2">
      <w:pPr>
        <w:rPr>
          <w:b/>
          <w:bCs/>
          <w:color w:val="767171"/>
        </w:rPr>
      </w:pPr>
    </w:p>
    <w:tbl>
      <w:tblPr>
        <w:tblStyle w:val="Tablaconcuadrcula"/>
        <w:tblW w:w="0" w:type="auto"/>
        <w:tblLook w:val="04A0" w:firstRow="1" w:lastRow="0" w:firstColumn="1" w:lastColumn="0" w:noHBand="0" w:noVBand="1"/>
      </w:tblPr>
      <w:tblGrid>
        <w:gridCol w:w="2547"/>
        <w:gridCol w:w="5363"/>
      </w:tblGrid>
      <w:tr w:rsidR="006D0445" w:rsidRPr="006D0445" w14:paraId="491729F7" w14:textId="77777777" w:rsidTr="00F21EA3">
        <w:trPr>
          <w:trHeight w:val="699"/>
        </w:trPr>
        <w:tc>
          <w:tcPr>
            <w:tcW w:w="2547" w:type="dxa"/>
            <w:shd w:val="clear" w:color="auto" w:fill="011C50"/>
            <w:vAlign w:val="center"/>
          </w:tcPr>
          <w:p w14:paraId="64868CFF" w14:textId="53FCD104" w:rsidR="00204336" w:rsidRPr="00C448FD" w:rsidRDefault="00204336" w:rsidP="00381358">
            <w:pPr>
              <w:jc w:val="left"/>
              <w:rPr>
                <w:b/>
                <w:bCs/>
                <w:color w:val="FFFFFF" w:themeColor="background1"/>
              </w:rPr>
            </w:pPr>
            <w:r w:rsidRPr="00C448FD">
              <w:rPr>
                <w:b/>
                <w:bCs/>
                <w:color w:val="FFFFFF" w:themeColor="background1"/>
              </w:rPr>
              <w:t>Eje Estratégico SIE</w:t>
            </w:r>
          </w:p>
        </w:tc>
        <w:tc>
          <w:tcPr>
            <w:tcW w:w="5363" w:type="dxa"/>
            <w:shd w:val="clear" w:color="auto" w:fill="011C50"/>
            <w:vAlign w:val="center"/>
          </w:tcPr>
          <w:p w14:paraId="18DBF372" w14:textId="42C4F6C7" w:rsidR="00204336" w:rsidRPr="00C448FD" w:rsidRDefault="00204336" w:rsidP="00381358">
            <w:pPr>
              <w:spacing w:line="276" w:lineRule="auto"/>
              <w:jc w:val="left"/>
              <w:rPr>
                <w:b/>
                <w:bCs/>
                <w:color w:val="FFFFFF" w:themeColor="background1"/>
              </w:rPr>
            </w:pPr>
            <w:r w:rsidRPr="00C448FD">
              <w:rPr>
                <w:b/>
                <w:bCs/>
                <w:color w:val="FFFFFF" w:themeColor="background1"/>
              </w:rPr>
              <w:t>Eje 4: Velar por la implementación de una cultura de responsabilidad social en el subsector eléctrico dominicano</w:t>
            </w:r>
          </w:p>
        </w:tc>
      </w:tr>
      <w:tr w:rsidR="006D0445" w:rsidRPr="006D0445" w14:paraId="0CB3B19F" w14:textId="77777777" w:rsidTr="00F21EA3">
        <w:tc>
          <w:tcPr>
            <w:tcW w:w="2547" w:type="dxa"/>
            <w:shd w:val="clear" w:color="auto" w:fill="D9D9D9"/>
            <w:vAlign w:val="center"/>
          </w:tcPr>
          <w:p w14:paraId="18B1C27F" w14:textId="77777777" w:rsidR="00204336" w:rsidRPr="006D0445" w:rsidRDefault="00204336" w:rsidP="00381358">
            <w:pPr>
              <w:jc w:val="left"/>
              <w:rPr>
                <w:b/>
                <w:bCs/>
                <w:color w:val="767171"/>
              </w:rPr>
            </w:pPr>
            <w:r w:rsidRPr="006D0445">
              <w:rPr>
                <w:b/>
                <w:bCs/>
                <w:color w:val="767171"/>
              </w:rPr>
              <w:t>Meta y Objetivo ODS</w:t>
            </w:r>
          </w:p>
        </w:tc>
        <w:tc>
          <w:tcPr>
            <w:tcW w:w="5363" w:type="dxa"/>
            <w:vAlign w:val="center"/>
          </w:tcPr>
          <w:p w14:paraId="767F4CD6" w14:textId="6D6EBE1E" w:rsidR="00204336" w:rsidRPr="006D0445" w:rsidRDefault="00204336" w:rsidP="00381358">
            <w:pPr>
              <w:spacing w:line="276" w:lineRule="auto"/>
              <w:jc w:val="left"/>
              <w:rPr>
                <w:color w:val="767171"/>
              </w:rPr>
            </w:pPr>
            <w:r w:rsidRPr="006D0445">
              <w:rPr>
                <w:color w:val="767171"/>
              </w:rPr>
              <w:t xml:space="preserve">7.1 </w:t>
            </w:r>
            <w:r w:rsidR="008F6C47" w:rsidRPr="006D0445">
              <w:rPr>
                <w:color w:val="767171"/>
              </w:rPr>
              <w:t>a</w:t>
            </w:r>
            <w:r w:rsidRPr="006D0445">
              <w:rPr>
                <w:color w:val="767171"/>
              </w:rPr>
              <w:t>l 2030, garantizar el acceso universal a servicios energéticos asequibles, fiables y modernos.</w:t>
            </w:r>
          </w:p>
        </w:tc>
      </w:tr>
      <w:tr w:rsidR="006D0445" w:rsidRPr="006D0445" w14:paraId="760AE859" w14:textId="77777777" w:rsidTr="00F21EA3">
        <w:trPr>
          <w:trHeight w:val="595"/>
        </w:trPr>
        <w:tc>
          <w:tcPr>
            <w:tcW w:w="2547" w:type="dxa"/>
            <w:shd w:val="clear" w:color="auto" w:fill="D9D9D9"/>
            <w:vAlign w:val="center"/>
          </w:tcPr>
          <w:p w14:paraId="64B1C83F" w14:textId="77777777" w:rsidR="00204336" w:rsidRPr="006D0445" w:rsidRDefault="00204336" w:rsidP="00381358">
            <w:pPr>
              <w:jc w:val="left"/>
              <w:rPr>
                <w:b/>
                <w:bCs/>
                <w:color w:val="767171"/>
              </w:rPr>
            </w:pPr>
            <w:r w:rsidRPr="006D0445">
              <w:rPr>
                <w:b/>
                <w:bCs/>
                <w:color w:val="767171"/>
              </w:rPr>
              <w:t>Política de Gobierno</w:t>
            </w:r>
          </w:p>
        </w:tc>
        <w:tc>
          <w:tcPr>
            <w:tcW w:w="5363" w:type="dxa"/>
            <w:vAlign w:val="center"/>
          </w:tcPr>
          <w:p w14:paraId="4DA60B43" w14:textId="4FC9329C" w:rsidR="00204336" w:rsidRPr="006D0445" w:rsidRDefault="00204336" w:rsidP="00381358">
            <w:pPr>
              <w:spacing w:line="276" w:lineRule="auto"/>
              <w:jc w:val="left"/>
              <w:rPr>
                <w:color w:val="767171"/>
              </w:rPr>
            </w:pPr>
            <w:r w:rsidRPr="006D0445">
              <w:rPr>
                <w:color w:val="767171"/>
              </w:rPr>
              <w:t>Energía permanente y de calidad.</w:t>
            </w:r>
          </w:p>
        </w:tc>
      </w:tr>
      <w:tr w:rsidR="006D0445" w:rsidRPr="006D0445" w14:paraId="64FFBF9A" w14:textId="77777777" w:rsidTr="00F21EA3">
        <w:tc>
          <w:tcPr>
            <w:tcW w:w="2547" w:type="dxa"/>
            <w:shd w:val="clear" w:color="auto" w:fill="D9D9D9"/>
            <w:vAlign w:val="center"/>
          </w:tcPr>
          <w:p w14:paraId="1B808476" w14:textId="77777777" w:rsidR="00204336" w:rsidRPr="006D0445" w:rsidRDefault="00204336" w:rsidP="00381358">
            <w:pPr>
              <w:jc w:val="left"/>
              <w:rPr>
                <w:b/>
                <w:bCs/>
                <w:color w:val="767171"/>
              </w:rPr>
            </w:pPr>
            <w:r w:rsidRPr="006D0445">
              <w:rPr>
                <w:b/>
                <w:bCs/>
                <w:color w:val="767171"/>
              </w:rPr>
              <w:t>Impacto de la Política</w:t>
            </w:r>
          </w:p>
        </w:tc>
        <w:tc>
          <w:tcPr>
            <w:tcW w:w="5363" w:type="dxa"/>
            <w:vAlign w:val="center"/>
          </w:tcPr>
          <w:p w14:paraId="705E195C" w14:textId="6FCEE343" w:rsidR="00204336" w:rsidRPr="006D0445" w:rsidRDefault="00204336" w:rsidP="00381358">
            <w:pPr>
              <w:spacing w:line="276" w:lineRule="auto"/>
              <w:jc w:val="left"/>
              <w:rPr>
                <w:color w:val="767171"/>
              </w:rPr>
            </w:pPr>
            <w:r w:rsidRPr="006D0445">
              <w:rPr>
                <w:color w:val="767171"/>
              </w:rPr>
              <w:t>Garantizar energía permanente, sostenible y de calidad.</w:t>
            </w:r>
          </w:p>
        </w:tc>
      </w:tr>
      <w:tr w:rsidR="006D0445" w:rsidRPr="006D0445" w14:paraId="76FB74D5" w14:textId="77777777" w:rsidTr="00F21EA3">
        <w:tc>
          <w:tcPr>
            <w:tcW w:w="2547" w:type="dxa"/>
            <w:shd w:val="clear" w:color="auto" w:fill="D9D9D9"/>
            <w:vAlign w:val="center"/>
          </w:tcPr>
          <w:p w14:paraId="4266676A" w14:textId="77777777" w:rsidR="00204336" w:rsidRPr="006D0445" w:rsidRDefault="00204336" w:rsidP="00381358">
            <w:pPr>
              <w:jc w:val="left"/>
              <w:rPr>
                <w:b/>
                <w:bCs/>
                <w:color w:val="767171"/>
              </w:rPr>
            </w:pPr>
            <w:r w:rsidRPr="006D0445">
              <w:rPr>
                <w:b/>
                <w:bCs/>
                <w:color w:val="767171"/>
              </w:rPr>
              <w:t xml:space="preserve">Resultado </w:t>
            </w:r>
            <w:proofErr w:type="spellStart"/>
            <w:r w:rsidRPr="006D0445">
              <w:rPr>
                <w:b/>
                <w:bCs/>
                <w:color w:val="767171"/>
              </w:rPr>
              <w:t>PNPSP</w:t>
            </w:r>
            <w:proofErr w:type="spellEnd"/>
          </w:p>
        </w:tc>
        <w:tc>
          <w:tcPr>
            <w:tcW w:w="5363" w:type="dxa"/>
            <w:vAlign w:val="center"/>
          </w:tcPr>
          <w:p w14:paraId="4BD64AAC" w14:textId="0BE6B7C8" w:rsidR="00204336" w:rsidRPr="006D0445" w:rsidRDefault="00204336" w:rsidP="00381358">
            <w:pPr>
              <w:spacing w:line="276" w:lineRule="auto"/>
              <w:jc w:val="left"/>
              <w:rPr>
                <w:color w:val="767171"/>
              </w:rPr>
            </w:pPr>
            <w:r w:rsidRPr="006D0445">
              <w:rPr>
                <w:color w:val="767171"/>
              </w:rPr>
              <w:t>Incrementar el nivel de autosostenibilidad financiera de las Empresas Distribuidoras de Electricidad Estatales.</w:t>
            </w:r>
          </w:p>
        </w:tc>
      </w:tr>
      <w:tr w:rsidR="006D0445" w:rsidRPr="006D0445" w14:paraId="23ADFA77" w14:textId="77777777" w:rsidTr="00F21EA3">
        <w:tc>
          <w:tcPr>
            <w:tcW w:w="2547" w:type="dxa"/>
            <w:shd w:val="clear" w:color="auto" w:fill="D9D9D9"/>
            <w:vAlign w:val="center"/>
          </w:tcPr>
          <w:p w14:paraId="27BE131B" w14:textId="77777777" w:rsidR="00204336" w:rsidRPr="006D0445" w:rsidRDefault="00204336" w:rsidP="00381358">
            <w:pPr>
              <w:spacing w:line="240" w:lineRule="auto"/>
              <w:jc w:val="left"/>
              <w:rPr>
                <w:b/>
                <w:bCs/>
                <w:color w:val="767171"/>
              </w:rPr>
            </w:pPr>
            <w:r w:rsidRPr="006D0445">
              <w:rPr>
                <w:b/>
                <w:bCs/>
                <w:color w:val="767171"/>
              </w:rPr>
              <w:t xml:space="preserve">Objetivo General </w:t>
            </w:r>
            <w:proofErr w:type="spellStart"/>
            <w:r w:rsidRPr="006D0445">
              <w:rPr>
                <w:b/>
                <w:bCs/>
                <w:color w:val="767171"/>
              </w:rPr>
              <w:t>END</w:t>
            </w:r>
            <w:proofErr w:type="spellEnd"/>
          </w:p>
        </w:tc>
        <w:tc>
          <w:tcPr>
            <w:tcW w:w="5363" w:type="dxa"/>
            <w:vAlign w:val="center"/>
          </w:tcPr>
          <w:p w14:paraId="41EFB2DF" w14:textId="77777777" w:rsidR="00204336" w:rsidRPr="006D0445" w:rsidRDefault="00204336" w:rsidP="00381358">
            <w:pPr>
              <w:spacing w:line="276" w:lineRule="auto"/>
              <w:jc w:val="left"/>
              <w:rPr>
                <w:color w:val="767171"/>
              </w:rPr>
            </w:pPr>
            <w:r w:rsidRPr="006D0445">
              <w:rPr>
                <w:color w:val="767171"/>
              </w:rPr>
              <w:t>3.2 Energía confiable, eficiente y ambientalmente sostenible</w:t>
            </w:r>
          </w:p>
        </w:tc>
      </w:tr>
    </w:tbl>
    <w:p w14:paraId="02E110EE" w14:textId="2898D383" w:rsidR="006119A9" w:rsidRPr="006D0445" w:rsidRDefault="006119A9">
      <w:pPr>
        <w:spacing w:line="259" w:lineRule="auto"/>
        <w:jc w:val="left"/>
        <w:rPr>
          <w:b/>
          <w:bCs/>
          <w:color w:val="767171"/>
        </w:rPr>
      </w:pPr>
      <w:r w:rsidRPr="006D0445">
        <w:rPr>
          <w:b/>
          <w:bCs/>
          <w:color w:val="767171"/>
        </w:rPr>
        <w:br w:type="page"/>
      </w:r>
    </w:p>
    <w:p w14:paraId="2A4ACDB2" w14:textId="396E714D" w:rsidR="005C17B3" w:rsidRPr="006D0445" w:rsidRDefault="004D35D0" w:rsidP="006B3671">
      <w:pPr>
        <w:pStyle w:val="Ttulo1"/>
      </w:pPr>
      <w:bookmarkStart w:id="14" w:name="_Toc186147718"/>
      <w:r w:rsidRPr="006D0445">
        <w:lastRenderedPageBreak/>
        <w:t>RESULTADOS MISIONALES</w:t>
      </w:r>
      <w:bookmarkEnd w:id="14"/>
    </w:p>
    <w:p w14:paraId="717616A2" w14:textId="0B5A7923" w:rsidR="00B876EE" w:rsidRPr="00161FBC" w:rsidRDefault="00B876EE" w:rsidP="00D34D35">
      <w:pPr>
        <w:rPr>
          <w:b/>
          <w:bCs/>
          <w:color w:val="767171"/>
        </w:rPr>
      </w:pPr>
      <w:r w:rsidRPr="00161FBC">
        <w:rPr>
          <w:b/>
          <w:bCs/>
          <w:color w:val="767171"/>
        </w:rPr>
        <w:t xml:space="preserve">Información cuantitativa, </w:t>
      </w:r>
      <w:r w:rsidR="00897DC0" w:rsidRPr="00161FBC">
        <w:rPr>
          <w:b/>
          <w:bCs/>
          <w:color w:val="767171"/>
        </w:rPr>
        <w:t>cualitativa</w:t>
      </w:r>
      <w:r w:rsidRPr="00161FBC">
        <w:rPr>
          <w:b/>
          <w:bCs/>
          <w:color w:val="767171"/>
        </w:rPr>
        <w:t xml:space="preserve"> e indicadores de los procesos Misionales</w:t>
      </w:r>
    </w:p>
    <w:p w14:paraId="7821194E" w14:textId="77777777" w:rsidR="00F8537A" w:rsidRPr="00161FBC" w:rsidRDefault="00F8537A" w:rsidP="00F8537A">
      <w:pPr>
        <w:spacing w:after="0" w:line="240" w:lineRule="auto"/>
        <w:rPr>
          <w:color w:val="767171"/>
          <w:sz w:val="12"/>
          <w:szCs w:val="12"/>
        </w:rPr>
      </w:pPr>
    </w:p>
    <w:p w14:paraId="1D7FDACD" w14:textId="013016E0" w:rsidR="00774876" w:rsidRPr="002639F7" w:rsidRDefault="006B136E" w:rsidP="00EB4CC7">
      <w:pPr>
        <w:jc w:val="left"/>
        <w:rPr>
          <w:b/>
          <w:bCs/>
          <w:color w:val="767171"/>
        </w:rPr>
      </w:pPr>
      <w:r w:rsidRPr="002639F7">
        <w:rPr>
          <w:b/>
          <w:bCs/>
          <w:color w:val="767171"/>
        </w:rPr>
        <w:t>Fiscalización Del Mercado Eléctrico Mayorista</w:t>
      </w:r>
    </w:p>
    <w:p w14:paraId="4BCCCCF5" w14:textId="284034EB" w:rsidR="005764B8" w:rsidRPr="00161FBC" w:rsidRDefault="002270E1" w:rsidP="00B82ACC">
      <w:pPr>
        <w:rPr>
          <w:color w:val="767171"/>
        </w:rPr>
      </w:pPr>
      <w:r w:rsidRPr="00161FBC">
        <w:rPr>
          <w:color w:val="767171"/>
        </w:rPr>
        <w:t>La S</w:t>
      </w:r>
      <w:r w:rsidR="0061396F" w:rsidRPr="00161FBC">
        <w:rPr>
          <w:color w:val="767171"/>
        </w:rPr>
        <w:t xml:space="preserve">uperintendencia de Electricidad en </w:t>
      </w:r>
      <w:r w:rsidRPr="00161FBC">
        <w:rPr>
          <w:color w:val="767171"/>
        </w:rPr>
        <w:t>cumpli</w:t>
      </w:r>
      <w:r w:rsidR="0061396F" w:rsidRPr="00161FBC">
        <w:rPr>
          <w:color w:val="767171"/>
        </w:rPr>
        <w:t>miento de</w:t>
      </w:r>
      <w:r w:rsidRPr="00161FBC">
        <w:rPr>
          <w:color w:val="767171"/>
        </w:rPr>
        <w:t xml:space="preserve"> los mandatos establecidos en la Ley General de Electricidad (LGE 125-01) y </w:t>
      </w:r>
      <w:r w:rsidR="005764B8" w:rsidRPr="00161FBC">
        <w:rPr>
          <w:color w:val="767171"/>
        </w:rPr>
        <w:t>su</w:t>
      </w:r>
      <w:r w:rsidRPr="00161FBC">
        <w:rPr>
          <w:color w:val="767171"/>
        </w:rPr>
        <w:t xml:space="preserve"> Reglamento de Aplicación (</w:t>
      </w:r>
      <w:proofErr w:type="spellStart"/>
      <w:r w:rsidRPr="00161FBC">
        <w:rPr>
          <w:color w:val="767171"/>
        </w:rPr>
        <w:t>RLGE</w:t>
      </w:r>
      <w:proofErr w:type="spellEnd"/>
      <w:r w:rsidRPr="00161FBC">
        <w:rPr>
          <w:color w:val="767171"/>
        </w:rPr>
        <w:t>); de optimizar las operaciones del Sistema Eléctrico Nacional Interconectado (</w:t>
      </w:r>
      <w:proofErr w:type="spellStart"/>
      <w:r w:rsidRPr="00161FBC">
        <w:rPr>
          <w:color w:val="767171"/>
        </w:rPr>
        <w:t>SENI</w:t>
      </w:r>
      <w:proofErr w:type="spellEnd"/>
      <w:r w:rsidRPr="00161FBC">
        <w:rPr>
          <w:color w:val="767171"/>
        </w:rPr>
        <w:t xml:space="preserve">), reducir costos en el </w:t>
      </w:r>
      <w:r w:rsidR="000F60EE" w:rsidRPr="00161FBC">
        <w:rPr>
          <w:color w:val="767171"/>
        </w:rPr>
        <w:t>m</w:t>
      </w:r>
      <w:r w:rsidRPr="00161FBC">
        <w:rPr>
          <w:color w:val="767171"/>
        </w:rPr>
        <w:t>ercado,</w:t>
      </w:r>
      <w:r w:rsidR="00A24CDF" w:rsidRPr="00161FBC">
        <w:rPr>
          <w:color w:val="767171"/>
        </w:rPr>
        <w:t xml:space="preserve"> supervisar, fiscalizar y monitorear al Mercado Eléctrico Mayorista (MEM), en específico a los sectores de generación, transmisión y distribución</w:t>
      </w:r>
      <w:r w:rsidR="00A76549" w:rsidRPr="00161FBC">
        <w:rPr>
          <w:color w:val="767171"/>
        </w:rPr>
        <w:t xml:space="preserve">, </w:t>
      </w:r>
      <w:r w:rsidR="0007779C" w:rsidRPr="00161FBC">
        <w:rPr>
          <w:color w:val="767171"/>
        </w:rPr>
        <w:t>realiz</w:t>
      </w:r>
      <w:r w:rsidR="006C6DE2" w:rsidRPr="00161FBC">
        <w:rPr>
          <w:color w:val="767171"/>
        </w:rPr>
        <w:t>ó</w:t>
      </w:r>
      <w:r w:rsidR="00B150B8" w:rsidRPr="00161FBC">
        <w:rPr>
          <w:color w:val="767171"/>
        </w:rPr>
        <w:t xml:space="preserve"> </w:t>
      </w:r>
      <w:r w:rsidR="00A76549" w:rsidRPr="00161FBC">
        <w:rPr>
          <w:color w:val="767171"/>
        </w:rPr>
        <w:t xml:space="preserve">en este año </w:t>
      </w:r>
      <w:r w:rsidR="00F2650B" w:rsidRPr="00161FBC">
        <w:rPr>
          <w:color w:val="767171"/>
        </w:rPr>
        <w:t>2024</w:t>
      </w:r>
      <w:r w:rsidR="00B150B8" w:rsidRPr="00161FBC">
        <w:rPr>
          <w:color w:val="767171"/>
        </w:rPr>
        <w:t xml:space="preserve"> las</w:t>
      </w:r>
      <w:r w:rsidR="00A76549" w:rsidRPr="00161FBC">
        <w:rPr>
          <w:color w:val="767171"/>
        </w:rPr>
        <w:t xml:space="preserve"> siguientes acciones: </w:t>
      </w:r>
    </w:p>
    <w:p w14:paraId="512994C4" w14:textId="0EDFF4C0" w:rsidR="009936FC" w:rsidRPr="00161FBC" w:rsidRDefault="009936FC" w:rsidP="005E6948">
      <w:pPr>
        <w:rPr>
          <w:color w:val="767171"/>
        </w:rPr>
      </w:pPr>
      <w:r w:rsidRPr="00161FBC">
        <w:rPr>
          <w:color w:val="767171"/>
        </w:rPr>
        <w:t xml:space="preserve">Se emitieron </w:t>
      </w:r>
      <w:r w:rsidR="005315E7" w:rsidRPr="00161FBC">
        <w:rPr>
          <w:color w:val="767171"/>
        </w:rPr>
        <w:t>veintitrés</w:t>
      </w:r>
      <w:r w:rsidR="00106590" w:rsidRPr="00161FBC">
        <w:rPr>
          <w:color w:val="767171"/>
        </w:rPr>
        <w:t xml:space="preserve"> (</w:t>
      </w:r>
      <w:r w:rsidR="005315E7" w:rsidRPr="00161FBC">
        <w:rPr>
          <w:color w:val="767171"/>
        </w:rPr>
        <w:t>23</w:t>
      </w:r>
      <w:r w:rsidR="00106590" w:rsidRPr="00161FBC">
        <w:rPr>
          <w:color w:val="767171"/>
        </w:rPr>
        <w:t>)</w:t>
      </w:r>
      <w:r w:rsidR="005315E7" w:rsidRPr="00161FBC">
        <w:rPr>
          <w:color w:val="767171"/>
        </w:rPr>
        <w:t xml:space="preserve"> resoluciones de</w:t>
      </w:r>
      <w:r w:rsidRPr="00161FBC">
        <w:rPr>
          <w:color w:val="767171"/>
        </w:rPr>
        <w:t xml:space="preserve"> Recomendaciones de </w:t>
      </w:r>
      <w:r w:rsidR="00106590" w:rsidRPr="00161FBC">
        <w:rPr>
          <w:color w:val="767171"/>
        </w:rPr>
        <w:t>Concesiones</w:t>
      </w:r>
      <w:r w:rsidRPr="00161FBC">
        <w:rPr>
          <w:color w:val="767171"/>
        </w:rPr>
        <w:t xml:space="preserve"> </w:t>
      </w:r>
      <w:r w:rsidR="00106590" w:rsidRPr="00161FBC">
        <w:rPr>
          <w:color w:val="767171"/>
        </w:rPr>
        <w:t>D</w:t>
      </w:r>
      <w:r w:rsidRPr="00161FBC">
        <w:rPr>
          <w:color w:val="767171"/>
        </w:rPr>
        <w:t>efinitivas</w:t>
      </w:r>
      <w:r w:rsidR="00106590" w:rsidRPr="00161FBC">
        <w:rPr>
          <w:color w:val="767171"/>
        </w:rPr>
        <w:t xml:space="preserve"> para explotación de Obras Eléctricas Convencionales y No Convencionales con una capacidad de </w:t>
      </w:r>
      <w:r w:rsidR="00A6438B" w:rsidRPr="00161FBC">
        <w:rPr>
          <w:color w:val="767171"/>
        </w:rPr>
        <w:t>2</w:t>
      </w:r>
      <w:r w:rsidR="007D1C64" w:rsidRPr="00161FBC">
        <w:rPr>
          <w:color w:val="767171"/>
        </w:rPr>
        <w:t>,1</w:t>
      </w:r>
      <w:r w:rsidR="00A6438B" w:rsidRPr="00161FBC">
        <w:rPr>
          <w:color w:val="767171"/>
        </w:rPr>
        <w:t>32</w:t>
      </w:r>
      <w:r w:rsidR="007D1C64" w:rsidRPr="00161FBC">
        <w:rPr>
          <w:color w:val="767171"/>
        </w:rPr>
        <w:t>.4</w:t>
      </w:r>
      <w:r w:rsidR="00106590" w:rsidRPr="00161FBC">
        <w:rPr>
          <w:color w:val="767171"/>
        </w:rPr>
        <w:t xml:space="preserve"> MW: </w:t>
      </w:r>
      <w:r w:rsidR="00A6438B" w:rsidRPr="00161FBC">
        <w:rPr>
          <w:color w:val="767171"/>
        </w:rPr>
        <w:t>veinte</w:t>
      </w:r>
      <w:r w:rsidR="00106590" w:rsidRPr="00161FBC">
        <w:rPr>
          <w:color w:val="767171"/>
        </w:rPr>
        <w:t xml:space="preserve"> (</w:t>
      </w:r>
      <w:r w:rsidR="00A6438B" w:rsidRPr="00161FBC">
        <w:rPr>
          <w:color w:val="767171"/>
        </w:rPr>
        <w:t>20</w:t>
      </w:r>
      <w:r w:rsidR="00106590" w:rsidRPr="00161FBC">
        <w:rPr>
          <w:color w:val="767171"/>
        </w:rPr>
        <w:t xml:space="preserve">) de Fuentes Renovables con una capacidad de </w:t>
      </w:r>
      <w:r w:rsidR="00A6438B" w:rsidRPr="00161FBC">
        <w:rPr>
          <w:color w:val="767171"/>
        </w:rPr>
        <w:t>1258.4</w:t>
      </w:r>
      <w:r w:rsidR="00106590" w:rsidRPr="00161FBC">
        <w:rPr>
          <w:color w:val="767171"/>
        </w:rPr>
        <w:t xml:space="preserve"> MW y </w:t>
      </w:r>
      <w:r w:rsidR="007D1C64" w:rsidRPr="00161FBC">
        <w:rPr>
          <w:color w:val="767171"/>
        </w:rPr>
        <w:t>tres</w:t>
      </w:r>
      <w:r w:rsidR="00106590" w:rsidRPr="00161FBC">
        <w:rPr>
          <w:color w:val="767171"/>
        </w:rPr>
        <w:t xml:space="preserve"> (</w:t>
      </w:r>
      <w:r w:rsidR="007D1C64" w:rsidRPr="00161FBC">
        <w:rPr>
          <w:color w:val="767171"/>
        </w:rPr>
        <w:t>3</w:t>
      </w:r>
      <w:r w:rsidR="00106590" w:rsidRPr="00161FBC">
        <w:rPr>
          <w:color w:val="767171"/>
        </w:rPr>
        <w:t xml:space="preserve">) de Fuentes Termoeléctricas con una capacidad de </w:t>
      </w:r>
      <w:r w:rsidR="00A6438B" w:rsidRPr="00161FBC">
        <w:rPr>
          <w:color w:val="767171"/>
        </w:rPr>
        <w:t>874</w:t>
      </w:r>
      <w:r w:rsidR="006E06E4" w:rsidRPr="00161FBC">
        <w:rPr>
          <w:color w:val="767171"/>
        </w:rPr>
        <w:t xml:space="preserve"> M</w:t>
      </w:r>
      <w:r w:rsidR="00B4244A" w:rsidRPr="00161FBC">
        <w:rPr>
          <w:color w:val="767171"/>
        </w:rPr>
        <w:t>W</w:t>
      </w:r>
      <w:r w:rsidR="00D96BC1" w:rsidRPr="00161FBC">
        <w:rPr>
          <w:color w:val="767171"/>
        </w:rPr>
        <w:t>.</w:t>
      </w:r>
    </w:p>
    <w:p w14:paraId="1401188B" w14:textId="52B6572D" w:rsidR="00A76549" w:rsidRPr="00161FBC" w:rsidRDefault="00E37F0E" w:rsidP="005E6948">
      <w:pPr>
        <w:rPr>
          <w:color w:val="767171"/>
        </w:rPr>
      </w:pPr>
      <w:r w:rsidRPr="00161FBC">
        <w:rPr>
          <w:color w:val="767171"/>
        </w:rPr>
        <w:t>Se autorizaron la</w:t>
      </w:r>
      <w:r w:rsidR="00136921" w:rsidRPr="00161FBC">
        <w:rPr>
          <w:color w:val="767171"/>
        </w:rPr>
        <w:t>s</w:t>
      </w:r>
      <w:r w:rsidRPr="00161FBC">
        <w:rPr>
          <w:color w:val="767171"/>
        </w:rPr>
        <w:t xml:space="preserve"> Puesta</w:t>
      </w:r>
      <w:r w:rsidR="00136921" w:rsidRPr="00161FBC">
        <w:rPr>
          <w:color w:val="767171"/>
        </w:rPr>
        <w:t>s</w:t>
      </w:r>
      <w:r w:rsidRPr="00161FBC">
        <w:rPr>
          <w:color w:val="767171"/>
        </w:rPr>
        <w:t xml:space="preserve"> en Servicio de </w:t>
      </w:r>
      <w:r w:rsidR="00136921" w:rsidRPr="00161FBC">
        <w:rPr>
          <w:color w:val="767171"/>
        </w:rPr>
        <w:t>cinco</w:t>
      </w:r>
      <w:r w:rsidRPr="00161FBC">
        <w:rPr>
          <w:color w:val="767171"/>
        </w:rPr>
        <w:t xml:space="preserve"> (</w:t>
      </w:r>
      <w:r w:rsidR="005F5E1E" w:rsidRPr="00161FBC">
        <w:rPr>
          <w:color w:val="767171"/>
        </w:rPr>
        <w:t>5</w:t>
      </w:r>
      <w:r w:rsidRPr="00161FBC">
        <w:rPr>
          <w:color w:val="767171"/>
        </w:rPr>
        <w:t>) centrales de generación</w:t>
      </w:r>
      <w:r w:rsidR="00136921" w:rsidRPr="00161FBC">
        <w:rPr>
          <w:color w:val="767171"/>
        </w:rPr>
        <w:t xml:space="preserve"> eléctrica</w:t>
      </w:r>
      <w:r w:rsidR="00CD3911" w:rsidRPr="00161FBC">
        <w:rPr>
          <w:color w:val="767171"/>
        </w:rPr>
        <w:t xml:space="preserve"> aportando al sistema 313.6 MW, de las cuales fueron tres (3) renovables </w:t>
      </w:r>
      <w:r w:rsidR="00136921" w:rsidRPr="00161FBC">
        <w:rPr>
          <w:color w:val="767171"/>
        </w:rPr>
        <w:t>que sumaron</w:t>
      </w:r>
      <w:r w:rsidR="00CD3911" w:rsidRPr="00161FBC">
        <w:rPr>
          <w:color w:val="767171"/>
        </w:rPr>
        <w:t xml:space="preserve"> 97 MW y dos (2) termoeléctricos </w:t>
      </w:r>
      <w:r w:rsidR="00136921" w:rsidRPr="00161FBC">
        <w:rPr>
          <w:color w:val="767171"/>
        </w:rPr>
        <w:t>que sumaron</w:t>
      </w:r>
      <w:r w:rsidR="00CD3911" w:rsidRPr="00161FBC">
        <w:rPr>
          <w:color w:val="767171"/>
        </w:rPr>
        <w:t xml:space="preserve"> 216.6 MW, así como</w:t>
      </w:r>
      <w:r w:rsidRPr="00161FBC">
        <w:rPr>
          <w:color w:val="767171"/>
        </w:rPr>
        <w:t xml:space="preserve"> </w:t>
      </w:r>
      <w:r w:rsidR="005F5E1E" w:rsidRPr="00161FBC">
        <w:rPr>
          <w:color w:val="767171"/>
        </w:rPr>
        <w:t>una</w:t>
      </w:r>
      <w:r w:rsidRPr="00161FBC">
        <w:rPr>
          <w:color w:val="767171"/>
        </w:rPr>
        <w:t xml:space="preserve"> (</w:t>
      </w:r>
      <w:r w:rsidR="005F5E1E" w:rsidRPr="00161FBC">
        <w:rPr>
          <w:color w:val="767171"/>
        </w:rPr>
        <w:t>1</w:t>
      </w:r>
      <w:r w:rsidRPr="00161FBC">
        <w:rPr>
          <w:color w:val="767171"/>
        </w:rPr>
        <w:t>) subestaciones</w:t>
      </w:r>
      <w:r w:rsidR="005F5E1E" w:rsidRPr="00161FBC">
        <w:rPr>
          <w:color w:val="767171"/>
        </w:rPr>
        <w:t xml:space="preserve"> y una (1) batería de almacenamiento para la regulación de frecuencia</w:t>
      </w:r>
      <w:r w:rsidR="00CD3911" w:rsidRPr="00161FBC">
        <w:rPr>
          <w:color w:val="767171"/>
        </w:rPr>
        <w:t xml:space="preserve">. </w:t>
      </w:r>
      <w:r w:rsidR="005F5E1E" w:rsidRPr="00161FBC">
        <w:rPr>
          <w:color w:val="767171"/>
        </w:rPr>
        <w:t>Las autorizaciones certifican</w:t>
      </w:r>
      <w:r w:rsidR="0061396F" w:rsidRPr="00161FBC">
        <w:rPr>
          <w:color w:val="767171"/>
        </w:rPr>
        <w:t xml:space="preserve"> que el peticionario cumpla con los requisitos técnicos y legales para poner en servicio la obra en el Sistema Eléctrico Nacional Interconectado (</w:t>
      </w:r>
      <w:proofErr w:type="spellStart"/>
      <w:r w:rsidR="0061396F" w:rsidRPr="00161FBC">
        <w:rPr>
          <w:color w:val="767171"/>
        </w:rPr>
        <w:t>SENI</w:t>
      </w:r>
      <w:proofErr w:type="spellEnd"/>
      <w:r w:rsidR="0061396F" w:rsidRPr="00161FBC">
        <w:rPr>
          <w:color w:val="767171"/>
        </w:rPr>
        <w:t xml:space="preserve">) </w:t>
      </w:r>
      <w:r w:rsidR="00C65508" w:rsidRPr="00161FBC">
        <w:rPr>
          <w:color w:val="767171"/>
        </w:rPr>
        <w:t>y la seguridad de las instalaciones, tanto para el personal operante como para la población en general.</w:t>
      </w:r>
    </w:p>
    <w:p w14:paraId="2ED40AE4" w14:textId="10B693A6" w:rsidR="00056C3E" w:rsidRPr="00161FBC" w:rsidRDefault="00056C3E" w:rsidP="005E6948">
      <w:pPr>
        <w:rPr>
          <w:color w:val="767171"/>
        </w:rPr>
      </w:pPr>
      <w:r w:rsidRPr="00161FBC">
        <w:rPr>
          <w:color w:val="767171"/>
        </w:rPr>
        <w:t>Además, se emitieron</w:t>
      </w:r>
      <w:r w:rsidR="00805E83" w:rsidRPr="00161FBC">
        <w:rPr>
          <w:color w:val="767171"/>
        </w:rPr>
        <w:t xml:space="preserve"> veintidós (22)</w:t>
      </w:r>
      <w:r w:rsidRPr="00161FBC">
        <w:rPr>
          <w:color w:val="767171"/>
        </w:rPr>
        <w:t xml:space="preserve"> permisos de interconexión provisional de obras eléctricas al </w:t>
      </w:r>
      <w:proofErr w:type="spellStart"/>
      <w:r w:rsidRPr="00161FBC">
        <w:rPr>
          <w:color w:val="767171"/>
        </w:rPr>
        <w:t>SENI</w:t>
      </w:r>
      <w:proofErr w:type="spellEnd"/>
      <w:r w:rsidRPr="00161FBC">
        <w:rPr>
          <w:color w:val="767171"/>
        </w:rPr>
        <w:t xml:space="preserve"> para la realización de pruebas operativas. De igual modo, se elaboró el “Reporte Diario de Generación y Precios”, el cual tiene la finalidad de proveer información concisa al sector y a la población en general en torno a la situación de la generación en el sistema, y los costos en el Mercado Spot. En el caso de los usuarios industriales, provee información continua, que es relevante para la toma de decisiones.</w:t>
      </w:r>
    </w:p>
    <w:p w14:paraId="3C00503C" w14:textId="4F83BBD9" w:rsidR="00A411CC" w:rsidRPr="00161FBC" w:rsidRDefault="00B150B8" w:rsidP="00447341">
      <w:pPr>
        <w:rPr>
          <w:color w:val="767171"/>
        </w:rPr>
      </w:pPr>
      <w:r w:rsidRPr="00161FBC">
        <w:rPr>
          <w:color w:val="767171"/>
        </w:rPr>
        <w:t>La Ley General de Electricidad (LGE) 125-01 establece como responsabilidad de la SIE autorizar como Usuarios No Regulados (UNR) aquellos que alcanzan la demanda requerida de 1 MW, y también a retirar dicha autorización a los </w:t>
      </w:r>
      <w:proofErr w:type="spellStart"/>
      <w:r w:rsidRPr="00161FBC">
        <w:rPr>
          <w:color w:val="767171"/>
        </w:rPr>
        <w:t>UNRs</w:t>
      </w:r>
      <w:proofErr w:type="spellEnd"/>
      <w:r w:rsidRPr="00161FBC">
        <w:rPr>
          <w:color w:val="767171"/>
        </w:rPr>
        <w:t> que, estando en ejercicio de la condición de libres compradores en el mercado eléctrico mayorista, no alcancen durante el último año de ejercicio, una demanda máxima igual a la mínima ya referida</w:t>
      </w:r>
      <w:r w:rsidR="004953E3" w:rsidRPr="00161FBC">
        <w:rPr>
          <w:color w:val="767171"/>
        </w:rPr>
        <w:t>.</w:t>
      </w:r>
      <w:r w:rsidR="005D6559" w:rsidRPr="00161FBC">
        <w:rPr>
          <w:color w:val="767171"/>
        </w:rPr>
        <w:t xml:space="preserve"> </w:t>
      </w:r>
      <w:r w:rsidR="00A411CC" w:rsidRPr="00161FBC">
        <w:rPr>
          <w:color w:val="767171"/>
        </w:rPr>
        <w:t xml:space="preserve">Para este año </w:t>
      </w:r>
      <w:r w:rsidR="00F2650B" w:rsidRPr="00161FBC">
        <w:rPr>
          <w:color w:val="767171"/>
        </w:rPr>
        <w:t>2024</w:t>
      </w:r>
      <w:r w:rsidR="00A411CC" w:rsidRPr="00161FBC">
        <w:rPr>
          <w:color w:val="767171"/>
        </w:rPr>
        <w:t xml:space="preserve"> se emitieron un total de </w:t>
      </w:r>
      <w:r w:rsidR="00DE007F" w:rsidRPr="00161FBC">
        <w:rPr>
          <w:color w:val="767171"/>
        </w:rPr>
        <w:t>diez</w:t>
      </w:r>
      <w:r w:rsidR="00A411CC" w:rsidRPr="00161FBC">
        <w:rPr>
          <w:color w:val="767171"/>
        </w:rPr>
        <w:t xml:space="preserve"> (</w:t>
      </w:r>
      <w:r w:rsidR="00DE007F" w:rsidRPr="00161FBC">
        <w:rPr>
          <w:color w:val="767171"/>
        </w:rPr>
        <w:t>10</w:t>
      </w:r>
      <w:r w:rsidR="00A411CC" w:rsidRPr="00161FBC">
        <w:rPr>
          <w:color w:val="767171"/>
        </w:rPr>
        <w:t>) autorizaciones para ejercer la condición de Usuario No Regulado (UNR)</w:t>
      </w:r>
      <w:r w:rsidR="00D62060" w:rsidRPr="00161FBC">
        <w:rPr>
          <w:color w:val="767171"/>
        </w:rPr>
        <w:t>.</w:t>
      </w:r>
    </w:p>
    <w:p w14:paraId="1D2F7FF6" w14:textId="760C8FD1" w:rsidR="00B150B8" w:rsidRPr="00161FBC" w:rsidRDefault="00B150B8" w:rsidP="005E6948">
      <w:pPr>
        <w:rPr>
          <w:color w:val="767171"/>
        </w:rPr>
      </w:pPr>
      <w:r w:rsidRPr="00161FBC">
        <w:rPr>
          <w:color w:val="767171"/>
        </w:rPr>
        <w:lastRenderedPageBreak/>
        <w:t>Estas autorizaciones de </w:t>
      </w:r>
      <w:proofErr w:type="spellStart"/>
      <w:r w:rsidRPr="00161FBC">
        <w:rPr>
          <w:color w:val="767171"/>
        </w:rPr>
        <w:t>UNRs</w:t>
      </w:r>
      <w:proofErr w:type="spellEnd"/>
      <w:r w:rsidRPr="00161FBC">
        <w:rPr>
          <w:color w:val="767171"/>
        </w:rPr>
        <w:t xml:space="preserve"> tienen un alto impacto en las compras de electricidad de las empresas en el mercado, debido a que, al participar directamente en el mercado liberalizado, estas empresas tienen acceso a precios más competitivos, lo cual les permite ofertar mejores precios de venta para los bienes y servicios que producen, mejorando el perfil de </w:t>
      </w:r>
      <w:proofErr w:type="gramStart"/>
      <w:r w:rsidRPr="00161FBC">
        <w:rPr>
          <w:color w:val="767171"/>
        </w:rPr>
        <w:t>las mismas</w:t>
      </w:r>
      <w:proofErr w:type="gramEnd"/>
      <w:r w:rsidRPr="00161FBC">
        <w:rPr>
          <w:color w:val="767171"/>
        </w:rPr>
        <w:t xml:space="preserve"> tanto en el mercado nacional como en el internacional</w:t>
      </w:r>
      <w:r w:rsidR="008F6C47" w:rsidRPr="00161FBC">
        <w:rPr>
          <w:color w:val="767171"/>
        </w:rPr>
        <w:t>.</w:t>
      </w:r>
    </w:p>
    <w:p w14:paraId="1ED8DFAB" w14:textId="77777777" w:rsidR="00DE777A" w:rsidRPr="00161FBC" w:rsidRDefault="00DE777A" w:rsidP="009A0686">
      <w:pPr>
        <w:rPr>
          <w:color w:val="767171"/>
        </w:rPr>
      </w:pPr>
      <w:r w:rsidRPr="00161FBC">
        <w:rPr>
          <w:color w:val="767171"/>
        </w:rPr>
        <w:t>En el mismo orden, la SIE forma parte de la Comisión Inter-Institucional de Combustibles, junto con los Ministerios de Hacienda e Industria y Comercio, de acuerdo con las Ley Núm. 112-00 y su Reglamento de Aplicación, la cual es responsable de conocer y evaluar las solicitudes de clasificación de las empresas de generación eléctricas interconectadas al sistema eléctrico, las no interconectadas y los sistemas aislados que se ajusten a los requerimientos de la normativa vigente, a fin de ser beneficiarias del mecanismo de reembolso, previsto por Ley No. 253-12 que establece un sistema de reembolso de los impuestos selectivos al consumo de los combustibles fósiles y derivados, para lo cual las empresas deberán disponer de una Resolución de Clasificación emitida por el Ministerio de Industria y Comercio dentro de la categoría correspondiente a generación eléctrica. </w:t>
      </w:r>
    </w:p>
    <w:p w14:paraId="26C562E6" w14:textId="3A4C9A84" w:rsidR="00F54205" w:rsidRPr="00161FBC" w:rsidRDefault="00DE777A" w:rsidP="00DE777A">
      <w:pPr>
        <w:rPr>
          <w:color w:val="767171"/>
        </w:rPr>
      </w:pPr>
      <w:r w:rsidRPr="00161FBC">
        <w:rPr>
          <w:color w:val="767171"/>
        </w:rPr>
        <w:t xml:space="preserve">En el año </w:t>
      </w:r>
      <w:r w:rsidR="00F2650B" w:rsidRPr="00161FBC">
        <w:rPr>
          <w:color w:val="767171"/>
        </w:rPr>
        <w:t>2024</w:t>
      </w:r>
      <w:r w:rsidRPr="00161FBC">
        <w:rPr>
          <w:color w:val="767171"/>
        </w:rPr>
        <w:t>, la S</w:t>
      </w:r>
      <w:r w:rsidR="005109D0" w:rsidRPr="00161FBC">
        <w:rPr>
          <w:color w:val="767171"/>
        </w:rPr>
        <w:t xml:space="preserve">uperintendencia de Electricidad </w:t>
      </w:r>
      <w:r w:rsidRPr="00161FBC">
        <w:rPr>
          <w:color w:val="767171"/>
        </w:rPr>
        <w:t xml:space="preserve">junto al Ministerio de Hacienda, Ministerio de Industria Comercio y MiPymes participó en </w:t>
      </w:r>
      <w:r w:rsidR="00DE007F" w:rsidRPr="00161FBC">
        <w:rPr>
          <w:color w:val="767171"/>
        </w:rPr>
        <w:t>dieciocho (</w:t>
      </w:r>
      <w:r w:rsidRPr="00161FBC">
        <w:rPr>
          <w:color w:val="767171"/>
        </w:rPr>
        <w:t>18</w:t>
      </w:r>
      <w:r w:rsidR="00DE007F" w:rsidRPr="00161FBC">
        <w:rPr>
          <w:color w:val="767171"/>
        </w:rPr>
        <w:t>)</w:t>
      </w:r>
      <w:r w:rsidRPr="00161FBC">
        <w:rPr>
          <w:color w:val="767171"/>
        </w:rPr>
        <w:t xml:space="preserve"> inspecciones a </w:t>
      </w:r>
      <w:r w:rsidR="00DE007F" w:rsidRPr="00161FBC">
        <w:rPr>
          <w:color w:val="767171"/>
        </w:rPr>
        <w:t>dieciséis (</w:t>
      </w:r>
      <w:r w:rsidRPr="00161FBC">
        <w:rPr>
          <w:color w:val="767171"/>
        </w:rPr>
        <w:t>16</w:t>
      </w:r>
      <w:r w:rsidR="00DE007F" w:rsidRPr="00161FBC">
        <w:rPr>
          <w:color w:val="767171"/>
        </w:rPr>
        <w:t>)</w:t>
      </w:r>
      <w:r w:rsidRPr="00161FBC">
        <w:rPr>
          <w:color w:val="767171"/>
        </w:rPr>
        <w:t xml:space="preserve"> empresas, dando como resultado la emisión de las respectivas resoluciones de Exención Impositiva a los Combustibles de Generación por cada empresa fiscalizada. Además, se realizaron los Reportes de Generación y Consumo de Combustible de parte de las empresas del </w:t>
      </w:r>
      <w:proofErr w:type="spellStart"/>
      <w:r w:rsidRPr="00161FBC">
        <w:rPr>
          <w:color w:val="767171"/>
        </w:rPr>
        <w:t>SENI</w:t>
      </w:r>
      <w:proofErr w:type="spellEnd"/>
      <w:r w:rsidRPr="00161FBC">
        <w:rPr>
          <w:color w:val="767171"/>
        </w:rPr>
        <w:t xml:space="preserve">, Reporte de Consumo y Generación Bruta del </w:t>
      </w:r>
      <w:proofErr w:type="spellStart"/>
      <w:r w:rsidRPr="00161FBC">
        <w:rPr>
          <w:color w:val="767171"/>
        </w:rPr>
        <w:t>SENI</w:t>
      </w:r>
      <w:proofErr w:type="spellEnd"/>
      <w:r w:rsidRPr="00161FBC">
        <w:rPr>
          <w:color w:val="767171"/>
        </w:rPr>
        <w:t xml:space="preserve"> y Reporte Energía Neta</w:t>
      </w:r>
      <w:r w:rsidR="0007779C" w:rsidRPr="00161FBC">
        <w:rPr>
          <w:color w:val="767171"/>
        </w:rPr>
        <w:t>.</w:t>
      </w:r>
    </w:p>
    <w:p w14:paraId="290CBD38" w14:textId="3A5D5C4F" w:rsidR="00702C5D" w:rsidRPr="00161FBC" w:rsidRDefault="00812C7C" w:rsidP="00812C7C">
      <w:pPr>
        <w:rPr>
          <w:color w:val="767171"/>
        </w:rPr>
      </w:pPr>
      <w:r w:rsidRPr="00161FBC">
        <w:rPr>
          <w:color w:val="767171"/>
        </w:rPr>
        <w:t>Adicionalmente</w:t>
      </w:r>
      <w:r w:rsidR="008E603C" w:rsidRPr="00161FBC">
        <w:rPr>
          <w:color w:val="767171"/>
        </w:rPr>
        <w:t xml:space="preserve"> y</w:t>
      </w:r>
      <w:r w:rsidRPr="00161FBC">
        <w:rPr>
          <w:color w:val="767171"/>
        </w:rPr>
        <w:t xml:space="preserve"> en cumplimiento con l</w:t>
      </w:r>
      <w:r w:rsidR="008E603C" w:rsidRPr="00161FBC">
        <w:rPr>
          <w:color w:val="767171"/>
        </w:rPr>
        <w:t xml:space="preserve">o </w:t>
      </w:r>
      <w:r w:rsidRPr="00161FBC">
        <w:rPr>
          <w:color w:val="767171"/>
        </w:rPr>
        <w:t>establecid</w:t>
      </w:r>
      <w:r w:rsidR="008E603C" w:rsidRPr="00161FBC">
        <w:rPr>
          <w:color w:val="767171"/>
        </w:rPr>
        <w:t>o dentro de sus funciones</w:t>
      </w:r>
      <w:r w:rsidR="00702C5D" w:rsidRPr="00161FBC">
        <w:rPr>
          <w:color w:val="767171"/>
        </w:rPr>
        <w:t xml:space="preserve"> por la Ley 125-01</w:t>
      </w:r>
      <w:r w:rsidRPr="00161FBC">
        <w:rPr>
          <w:color w:val="767171"/>
        </w:rPr>
        <w:t xml:space="preserve">, </w:t>
      </w:r>
      <w:r w:rsidR="00702C5D" w:rsidRPr="00161FBC">
        <w:rPr>
          <w:color w:val="767171"/>
        </w:rPr>
        <w:t>la SIE se encuentra ejecutando los siguientes proyectos de revisión y actualización de normativas:</w:t>
      </w:r>
    </w:p>
    <w:p w14:paraId="160C2281" w14:textId="77777777" w:rsidR="00603CD2" w:rsidRPr="00161FBC" w:rsidRDefault="00603CD2" w:rsidP="00AE6336">
      <w:pPr>
        <w:pStyle w:val="Prrafodelista"/>
        <w:numPr>
          <w:ilvl w:val="0"/>
          <w:numId w:val="10"/>
        </w:numPr>
        <w:rPr>
          <w:color w:val="767171"/>
        </w:rPr>
      </w:pPr>
      <w:r w:rsidRPr="00161FBC">
        <w:rPr>
          <w:color w:val="767171"/>
        </w:rPr>
        <w:t>Fiscalización del sistema de medición comercial, la cual tiene como objetivo garantizar la exactitud y transparencia en la medición de consumo de energía eléctrica;</w:t>
      </w:r>
    </w:p>
    <w:p w14:paraId="6A947E23" w14:textId="77777777" w:rsidR="00603CD2" w:rsidRPr="00161FBC" w:rsidRDefault="00603CD2" w:rsidP="00AE6336">
      <w:pPr>
        <w:pStyle w:val="Prrafodelista"/>
        <w:numPr>
          <w:ilvl w:val="0"/>
          <w:numId w:val="10"/>
        </w:numPr>
        <w:rPr>
          <w:color w:val="767171"/>
        </w:rPr>
      </w:pPr>
      <w:r w:rsidRPr="00161FBC">
        <w:rPr>
          <w:color w:val="767171"/>
        </w:rPr>
        <w:t xml:space="preserve">Determinación de criterios de seguridad en la operación del </w:t>
      </w:r>
      <w:proofErr w:type="spellStart"/>
      <w:r w:rsidRPr="00161FBC">
        <w:rPr>
          <w:color w:val="767171"/>
        </w:rPr>
        <w:t>SENI</w:t>
      </w:r>
      <w:proofErr w:type="spellEnd"/>
      <w:r w:rsidRPr="00161FBC">
        <w:rPr>
          <w:color w:val="767171"/>
        </w:rPr>
        <w:t>;</w:t>
      </w:r>
    </w:p>
    <w:p w14:paraId="4701E190" w14:textId="4E1D5A4F" w:rsidR="00603CD2" w:rsidRPr="00161FBC" w:rsidRDefault="00603CD2" w:rsidP="00AE6336">
      <w:pPr>
        <w:pStyle w:val="Prrafodelista"/>
        <w:numPr>
          <w:ilvl w:val="0"/>
          <w:numId w:val="10"/>
        </w:numPr>
        <w:rPr>
          <w:color w:val="767171"/>
        </w:rPr>
      </w:pPr>
      <w:r w:rsidRPr="00161FBC">
        <w:rPr>
          <w:color w:val="767171"/>
        </w:rPr>
        <w:t>Fiscalización pruebas de disponibilidad de las unidades térmicas con el objetivo de garantiza la estabilidad y confiabilidad del sistema eléctrico, previniendo posibles interrupciones en el suministro de energía.</w:t>
      </w:r>
    </w:p>
    <w:p w14:paraId="555A4DD6" w14:textId="43D6565E" w:rsidR="00702C5D" w:rsidRPr="00161FBC" w:rsidRDefault="00702C5D" w:rsidP="00AE6336">
      <w:pPr>
        <w:numPr>
          <w:ilvl w:val="0"/>
          <w:numId w:val="10"/>
        </w:numPr>
        <w:spacing w:after="0"/>
        <w:ind w:left="714" w:hanging="357"/>
        <w:rPr>
          <w:color w:val="767171"/>
        </w:rPr>
      </w:pPr>
      <w:r w:rsidRPr="00161FBC">
        <w:rPr>
          <w:color w:val="767171"/>
        </w:rPr>
        <w:t>Estudio de actualización</w:t>
      </w:r>
      <w:r w:rsidR="00603CD2" w:rsidRPr="00161FBC">
        <w:rPr>
          <w:color w:val="767171"/>
        </w:rPr>
        <w:t xml:space="preserve"> </w:t>
      </w:r>
      <w:r w:rsidRPr="00161FBC">
        <w:rPr>
          <w:color w:val="767171"/>
        </w:rPr>
        <w:t>de la potencia firma en el Mercado Eléctrico Mayorista</w:t>
      </w:r>
      <w:r w:rsidR="00603CD2" w:rsidRPr="00161FBC">
        <w:rPr>
          <w:color w:val="767171"/>
        </w:rPr>
        <w:t xml:space="preserve"> a través de una Consultoría. Este proceso se encuentra pendiente de vista pública.</w:t>
      </w:r>
    </w:p>
    <w:p w14:paraId="1B96B31B" w14:textId="2C609135" w:rsidR="006119A9" w:rsidRPr="00161FBC" w:rsidRDefault="009F42EE" w:rsidP="00AE6336">
      <w:pPr>
        <w:numPr>
          <w:ilvl w:val="0"/>
          <w:numId w:val="10"/>
        </w:numPr>
        <w:spacing w:after="0"/>
        <w:ind w:left="714" w:hanging="357"/>
        <w:rPr>
          <w:color w:val="767171"/>
        </w:rPr>
      </w:pPr>
      <w:r w:rsidRPr="00161FBC">
        <w:rPr>
          <w:color w:val="767171"/>
        </w:rPr>
        <w:lastRenderedPageBreak/>
        <w:t>Consultoría</w:t>
      </w:r>
      <w:r w:rsidR="00702C5D" w:rsidRPr="00161FBC">
        <w:rPr>
          <w:color w:val="767171"/>
        </w:rPr>
        <w:t xml:space="preserve"> para la actualización del valor agregado de transmisión. Los resultados fueron sometidos a audiencia pública y se encuentra en elaboración el borrador de resolución.</w:t>
      </w:r>
    </w:p>
    <w:p w14:paraId="2169AE08" w14:textId="6CD998E2" w:rsidR="00774876" w:rsidRPr="00161FBC" w:rsidRDefault="00307410" w:rsidP="002379FD">
      <w:pPr>
        <w:spacing w:line="259" w:lineRule="auto"/>
        <w:jc w:val="left"/>
        <w:rPr>
          <w:color w:val="767171"/>
        </w:rPr>
      </w:pPr>
      <w:r w:rsidRPr="00161FBC">
        <w:rPr>
          <w:color w:val="767171"/>
        </w:rPr>
        <w:t xml:space="preserve">En la siguiente tabla se muestran las </w:t>
      </w:r>
      <w:r w:rsidR="000047F1" w:rsidRPr="00161FBC">
        <w:rPr>
          <w:color w:val="767171"/>
        </w:rPr>
        <w:t>Informaciones</w:t>
      </w:r>
      <w:r w:rsidR="005044E5" w:rsidRPr="00161FBC">
        <w:rPr>
          <w:color w:val="767171"/>
        </w:rPr>
        <w:t xml:space="preserve"> Cuantitativa</w:t>
      </w:r>
      <w:r w:rsidR="000047F1" w:rsidRPr="00161FBC">
        <w:rPr>
          <w:color w:val="767171"/>
        </w:rPr>
        <w:t>s</w:t>
      </w:r>
      <w:r w:rsidR="005044E5" w:rsidRPr="00161FBC">
        <w:rPr>
          <w:color w:val="767171"/>
        </w:rPr>
        <w:t xml:space="preserve"> de la Fiscalización del Mercado Eléctrico Mayorista</w:t>
      </w:r>
      <w:r w:rsidR="000047F1" w:rsidRPr="00161FBC">
        <w:rPr>
          <w:color w:val="767171"/>
        </w:rPr>
        <w:t>.</w:t>
      </w:r>
    </w:p>
    <w:p w14:paraId="5915B72C" w14:textId="775A1C3B" w:rsidR="00D40742" w:rsidRPr="006D0445" w:rsidRDefault="00D40742" w:rsidP="00D40742">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2</w:t>
      </w:r>
      <w:r w:rsidRPr="006D0445">
        <w:rPr>
          <w:color w:val="767171"/>
        </w:rPr>
        <w:fldChar w:fldCharType="end"/>
      </w:r>
      <w:r w:rsidRPr="006D0445">
        <w:rPr>
          <w:color w:val="767171"/>
        </w:rPr>
        <w:t xml:space="preserve">Servicios </w:t>
      </w:r>
      <w:proofErr w:type="spellStart"/>
      <w:r w:rsidRPr="006D0445">
        <w:rPr>
          <w:color w:val="767171"/>
        </w:rPr>
        <w:t>DFMEM</w:t>
      </w:r>
      <w:proofErr w:type="spellEnd"/>
    </w:p>
    <w:tbl>
      <w:tblPr>
        <w:tblW w:w="8124" w:type="dxa"/>
        <w:tblCellMar>
          <w:left w:w="70" w:type="dxa"/>
          <w:right w:w="70" w:type="dxa"/>
        </w:tblCellMar>
        <w:tblLook w:val="04A0" w:firstRow="1" w:lastRow="0" w:firstColumn="1" w:lastColumn="0" w:noHBand="0" w:noVBand="1"/>
      </w:tblPr>
      <w:tblGrid>
        <w:gridCol w:w="2830"/>
        <w:gridCol w:w="1134"/>
        <w:gridCol w:w="1701"/>
        <w:gridCol w:w="2459"/>
      </w:tblGrid>
      <w:tr w:rsidR="006D0445" w:rsidRPr="006D0445" w14:paraId="11E52FCE" w14:textId="77777777" w:rsidTr="00044B66">
        <w:trPr>
          <w:trHeight w:val="502"/>
          <w:tblHeader/>
        </w:trPr>
        <w:tc>
          <w:tcPr>
            <w:tcW w:w="2830"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993F0AA" w14:textId="77777777" w:rsidR="005044E5" w:rsidRPr="00795A10" w:rsidRDefault="005044E5" w:rsidP="005044E5">
            <w:pPr>
              <w:spacing w:after="0" w:line="240" w:lineRule="auto"/>
              <w:jc w:val="center"/>
              <w:rPr>
                <w:b/>
                <w:bCs/>
                <w:color w:val="FFFFFF" w:themeColor="background1"/>
              </w:rPr>
            </w:pPr>
            <w:r w:rsidRPr="00795A10">
              <w:rPr>
                <w:b/>
                <w:bCs/>
                <w:color w:val="FFFFFF" w:themeColor="background1"/>
              </w:rPr>
              <w:t xml:space="preserve">Servicios </w:t>
            </w:r>
            <w:proofErr w:type="spellStart"/>
            <w:r w:rsidRPr="00795A10">
              <w:rPr>
                <w:b/>
                <w:bCs/>
                <w:color w:val="FFFFFF" w:themeColor="background1"/>
              </w:rPr>
              <w:t>DFMEM</w:t>
            </w:r>
            <w:proofErr w:type="spellEnd"/>
          </w:p>
        </w:tc>
        <w:tc>
          <w:tcPr>
            <w:tcW w:w="1134" w:type="dxa"/>
            <w:tcBorders>
              <w:top w:val="single" w:sz="4" w:space="0" w:color="auto"/>
              <w:left w:val="nil"/>
              <w:bottom w:val="single" w:sz="4" w:space="0" w:color="auto"/>
              <w:right w:val="single" w:sz="4" w:space="0" w:color="auto"/>
            </w:tcBorders>
            <w:shd w:val="clear" w:color="auto" w:fill="011C50"/>
            <w:vAlign w:val="center"/>
            <w:hideMark/>
          </w:tcPr>
          <w:p w14:paraId="7B84876A" w14:textId="77777777" w:rsidR="005044E5" w:rsidRPr="00795A10" w:rsidRDefault="005044E5" w:rsidP="005044E5">
            <w:pPr>
              <w:spacing w:after="0" w:line="240" w:lineRule="auto"/>
              <w:jc w:val="center"/>
              <w:rPr>
                <w:b/>
                <w:bCs/>
                <w:color w:val="FFFFFF" w:themeColor="background1"/>
              </w:rPr>
            </w:pPr>
            <w:r w:rsidRPr="00795A10">
              <w:rPr>
                <w:b/>
                <w:bCs/>
                <w:color w:val="FFFFFF" w:themeColor="background1"/>
              </w:rPr>
              <w:t>Cantidad</w:t>
            </w:r>
          </w:p>
        </w:tc>
        <w:tc>
          <w:tcPr>
            <w:tcW w:w="1701" w:type="dxa"/>
            <w:tcBorders>
              <w:top w:val="single" w:sz="4" w:space="0" w:color="auto"/>
              <w:left w:val="nil"/>
              <w:bottom w:val="single" w:sz="4" w:space="0" w:color="auto"/>
              <w:right w:val="single" w:sz="4" w:space="0" w:color="auto"/>
            </w:tcBorders>
            <w:shd w:val="clear" w:color="auto" w:fill="011C50"/>
            <w:vAlign w:val="center"/>
            <w:hideMark/>
          </w:tcPr>
          <w:p w14:paraId="264BEFA9" w14:textId="77777777" w:rsidR="005044E5" w:rsidRPr="00795A10" w:rsidRDefault="005044E5" w:rsidP="005044E5">
            <w:pPr>
              <w:spacing w:after="0" w:line="240" w:lineRule="auto"/>
              <w:jc w:val="center"/>
              <w:rPr>
                <w:b/>
                <w:bCs/>
                <w:color w:val="FFFFFF" w:themeColor="background1"/>
              </w:rPr>
            </w:pPr>
            <w:r w:rsidRPr="00795A10">
              <w:rPr>
                <w:b/>
                <w:bCs/>
                <w:color w:val="FFFFFF" w:themeColor="background1"/>
              </w:rPr>
              <w:t>Fuente</w:t>
            </w:r>
          </w:p>
        </w:tc>
        <w:tc>
          <w:tcPr>
            <w:tcW w:w="2459" w:type="dxa"/>
            <w:tcBorders>
              <w:top w:val="single" w:sz="4" w:space="0" w:color="auto"/>
              <w:left w:val="nil"/>
              <w:bottom w:val="single" w:sz="4" w:space="0" w:color="auto"/>
              <w:right w:val="single" w:sz="4" w:space="0" w:color="auto"/>
            </w:tcBorders>
            <w:shd w:val="clear" w:color="auto" w:fill="011C50"/>
            <w:vAlign w:val="center"/>
            <w:hideMark/>
          </w:tcPr>
          <w:p w14:paraId="4A35ED80" w14:textId="77777777" w:rsidR="005044E5" w:rsidRPr="00795A10" w:rsidRDefault="005044E5" w:rsidP="005044E5">
            <w:pPr>
              <w:spacing w:after="0" w:line="240" w:lineRule="auto"/>
              <w:jc w:val="center"/>
              <w:rPr>
                <w:b/>
                <w:bCs/>
                <w:color w:val="FFFFFF" w:themeColor="background1"/>
              </w:rPr>
            </w:pPr>
            <w:r w:rsidRPr="00795A10">
              <w:rPr>
                <w:b/>
                <w:bCs/>
                <w:color w:val="FFFFFF" w:themeColor="background1"/>
              </w:rPr>
              <w:t>Incidencia en términos de Capacidad [MW, KV]</w:t>
            </w:r>
          </w:p>
        </w:tc>
      </w:tr>
      <w:tr w:rsidR="006D0445" w:rsidRPr="006D0445" w14:paraId="0832277F" w14:textId="77777777" w:rsidTr="005044E5">
        <w:trPr>
          <w:trHeight w:val="400"/>
        </w:trPr>
        <w:tc>
          <w:tcPr>
            <w:tcW w:w="2830" w:type="dxa"/>
            <w:vMerge w:val="restart"/>
            <w:tcBorders>
              <w:top w:val="nil"/>
              <w:left w:val="single" w:sz="4" w:space="0" w:color="auto"/>
              <w:bottom w:val="single" w:sz="4" w:space="0" w:color="auto"/>
              <w:right w:val="single" w:sz="4" w:space="0" w:color="auto"/>
            </w:tcBorders>
            <w:shd w:val="clear" w:color="auto" w:fill="auto"/>
            <w:vAlign w:val="center"/>
            <w:hideMark/>
          </w:tcPr>
          <w:p w14:paraId="20679F52" w14:textId="77777777" w:rsidR="005044E5" w:rsidRPr="00795A10" w:rsidRDefault="005044E5" w:rsidP="005044E5">
            <w:pPr>
              <w:spacing w:after="0" w:line="240" w:lineRule="auto"/>
              <w:jc w:val="left"/>
              <w:rPr>
                <w:rFonts w:eastAsia="Times New Roman"/>
                <w:color w:val="767171"/>
              </w:rPr>
            </w:pPr>
            <w:r w:rsidRPr="00795A10">
              <w:rPr>
                <w:rFonts w:eastAsia="Times New Roman"/>
                <w:color w:val="767171"/>
              </w:rPr>
              <w:t>Recomendaciones otorgamiento concesiones definitivas</w:t>
            </w:r>
          </w:p>
        </w:tc>
        <w:tc>
          <w:tcPr>
            <w:tcW w:w="1134" w:type="dxa"/>
            <w:tcBorders>
              <w:top w:val="nil"/>
              <w:left w:val="nil"/>
              <w:bottom w:val="single" w:sz="4" w:space="0" w:color="auto"/>
              <w:right w:val="single" w:sz="4" w:space="0" w:color="auto"/>
            </w:tcBorders>
            <w:shd w:val="clear" w:color="auto" w:fill="auto"/>
            <w:vAlign w:val="center"/>
            <w:hideMark/>
          </w:tcPr>
          <w:p w14:paraId="4257CA15" w14:textId="1EC75D4A" w:rsidR="005044E5" w:rsidRPr="00795A10" w:rsidRDefault="005F5E1E" w:rsidP="005044E5">
            <w:pPr>
              <w:spacing w:after="0" w:line="276" w:lineRule="auto"/>
              <w:jc w:val="center"/>
              <w:rPr>
                <w:color w:val="767171"/>
              </w:rPr>
            </w:pPr>
            <w:r w:rsidRPr="00795A10">
              <w:rPr>
                <w:color w:val="767171"/>
              </w:rPr>
              <w:t>20</w:t>
            </w:r>
          </w:p>
        </w:tc>
        <w:tc>
          <w:tcPr>
            <w:tcW w:w="1701" w:type="dxa"/>
            <w:tcBorders>
              <w:top w:val="nil"/>
              <w:left w:val="nil"/>
              <w:bottom w:val="single" w:sz="4" w:space="0" w:color="auto"/>
              <w:right w:val="single" w:sz="4" w:space="0" w:color="auto"/>
            </w:tcBorders>
            <w:shd w:val="clear" w:color="auto" w:fill="auto"/>
            <w:vAlign w:val="center"/>
            <w:hideMark/>
          </w:tcPr>
          <w:p w14:paraId="3CF0516F" w14:textId="77777777" w:rsidR="005044E5" w:rsidRPr="00795A10" w:rsidRDefault="005044E5" w:rsidP="005044E5">
            <w:pPr>
              <w:spacing w:after="0" w:line="276" w:lineRule="auto"/>
              <w:jc w:val="center"/>
              <w:rPr>
                <w:color w:val="767171"/>
              </w:rPr>
            </w:pPr>
            <w:r w:rsidRPr="00795A10">
              <w:rPr>
                <w:color w:val="767171"/>
              </w:rPr>
              <w:t>Renovable</w:t>
            </w:r>
          </w:p>
        </w:tc>
        <w:tc>
          <w:tcPr>
            <w:tcW w:w="2459" w:type="dxa"/>
            <w:tcBorders>
              <w:top w:val="nil"/>
              <w:left w:val="nil"/>
              <w:bottom w:val="single" w:sz="4" w:space="0" w:color="auto"/>
              <w:right w:val="single" w:sz="4" w:space="0" w:color="auto"/>
            </w:tcBorders>
            <w:shd w:val="clear" w:color="auto" w:fill="auto"/>
            <w:vAlign w:val="center"/>
            <w:hideMark/>
          </w:tcPr>
          <w:p w14:paraId="6A70E5F0" w14:textId="3277C39C" w:rsidR="005044E5" w:rsidRPr="00795A10" w:rsidRDefault="006B5B06" w:rsidP="005044E5">
            <w:pPr>
              <w:spacing w:after="0" w:line="276" w:lineRule="auto"/>
              <w:jc w:val="center"/>
              <w:rPr>
                <w:color w:val="767171"/>
              </w:rPr>
            </w:pPr>
            <w:r w:rsidRPr="00795A10">
              <w:rPr>
                <w:color w:val="767171"/>
              </w:rPr>
              <w:t>1258.4</w:t>
            </w:r>
          </w:p>
        </w:tc>
      </w:tr>
      <w:tr w:rsidR="006D0445" w:rsidRPr="006D0445" w14:paraId="3CA1A6B5" w14:textId="77777777" w:rsidTr="005044E5">
        <w:trPr>
          <w:trHeight w:val="257"/>
        </w:trPr>
        <w:tc>
          <w:tcPr>
            <w:tcW w:w="2830" w:type="dxa"/>
            <w:vMerge/>
            <w:tcBorders>
              <w:top w:val="nil"/>
              <w:left w:val="single" w:sz="4" w:space="0" w:color="auto"/>
              <w:bottom w:val="single" w:sz="4" w:space="0" w:color="auto"/>
              <w:right w:val="single" w:sz="4" w:space="0" w:color="auto"/>
            </w:tcBorders>
            <w:vAlign w:val="center"/>
            <w:hideMark/>
          </w:tcPr>
          <w:p w14:paraId="0721D78E" w14:textId="77777777" w:rsidR="005044E5" w:rsidRPr="00795A10" w:rsidRDefault="005044E5" w:rsidP="005044E5">
            <w:pPr>
              <w:spacing w:after="0" w:line="240" w:lineRule="auto"/>
              <w:jc w:val="left"/>
              <w:rPr>
                <w:rFonts w:eastAsia="Times New Roman"/>
                <w:color w:val="767171"/>
              </w:rPr>
            </w:pPr>
          </w:p>
        </w:tc>
        <w:tc>
          <w:tcPr>
            <w:tcW w:w="1134" w:type="dxa"/>
            <w:tcBorders>
              <w:top w:val="nil"/>
              <w:left w:val="nil"/>
              <w:bottom w:val="single" w:sz="4" w:space="0" w:color="auto"/>
              <w:right w:val="single" w:sz="4" w:space="0" w:color="auto"/>
            </w:tcBorders>
            <w:shd w:val="clear" w:color="auto" w:fill="auto"/>
            <w:vAlign w:val="center"/>
            <w:hideMark/>
          </w:tcPr>
          <w:p w14:paraId="385720B4" w14:textId="732C3AE1" w:rsidR="005044E5" w:rsidRPr="00795A10" w:rsidRDefault="000D19BD" w:rsidP="005044E5">
            <w:pPr>
              <w:spacing w:after="0" w:line="276" w:lineRule="auto"/>
              <w:jc w:val="center"/>
              <w:rPr>
                <w:color w:val="767171"/>
              </w:rPr>
            </w:pPr>
            <w:r w:rsidRPr="00795A10">
              <w:rPr>
                <w:color w:val="767171"/>
              </w:rPr>
              <w:t>3</w:t>
            </w:r>
          </w:p>
        </w:tc>
        <w:tc>
          <w:tcPr>
            <w:tcW w:w="1701" w:type="dxa"/>
            <w:tcBorders>
              <w:top w:val="nil"/>
              <w:left w:val="nil"/>
              <w:bottom w:val="single" w:sz="4" w:space="0" w:color="auto"/>
              <w:right w:val="single" w:sz="4" w:space="0" w:color="auto"/>
            </w:tcBorders>
            <w:shd w:val="clear" w:color="auto" w:fill="auto"/>
            <w:vAlign w:val="center"/>
            <w:hideMark/>
          </w:tcPr>
          <w:p w14:paraId="018E6320" w14:textId="77777777" w:rsidR="005044E5" w:rsidRPr="00795A10" w:rsidRDefault="005044E5" w:rsidP="005044E5">
            <w:pPr>
              <w:spacing w:after="0" w:line="276" w:lineRule="auto"/>
              <w:jc w:val="center"/>
              <w:rPr>
                <w:color w:val="767171"/>
              </w:rPr>
            </w:pPr>
            <w:r w:rsidRPr="00795A10">
              <w:rPr>
                <w:color w:val="767171"/>
              </w:rPr>
              <w:t>Termoeléctricas</w:t>
            </w:r>
          </w:p>
        </w:tc>
        <w:tc>
          <w:tcPr>
            <w:tcW w:w="2459" w:type="dxa"/>
            <w:tcBorders>
              <w:top w:val="nil"/>
              <w:left w:val="nil"/>
              <w:bottom w:val="single" w:sz="4" w:space="0" w:color="auto"/>
              <w:right w:val="single" w:sz="4" w:space="0" w:color="auto"/>
            </w:tcBorders>
            <w:shd w:val="clear" w:color="auto" w:fill="auto"/>
            <w:vAlign w:val="center"/>
            <w:hideMark/>
          </w:tcPr>
          <w:p w14:paraId="4E7D6BE9" w14:textId="7787D637" w:rsidR="005044E5" w:rsidRPr="00795A10" w:rsidRDefault="006B5B06" w:rsidP="005044E5">
            <w:pPr>
              <w:spacing w:after="0" w:line="276" w:lineRule="auto"/>
              <w:jc w:val="center"/>
              <w:rPr>
                <w:color w:val="767171"/>
              </w:rPr>
            </w:pPr>
            <w:r w:rsidRPr="00795A10">
              <w:rPr>
                <w:color w:val="767171"/>
              </w:rPr>
              <w:t>874</w:t>
            </w:r>
          </w:p>
        </w:tc>
      </w:tr>
      <w:tr w:rsidR="006D0445" w:rsidRPr="006D0445" w14:paraId="6CA5533B" w14:textId="77777777" w:rsidTr="005044E5">
        <w:trPr>
          <w:trHeight w:val="257"/>
        </w:trPr>
        <w:tc>
          <w:tcPr>
            <w:tcW w:w="2830" w:type="dxa"/>
            <w:vMerge w:val="restart"/>
            <w:tcBorders>
              <w:top w:val="nil"/>
              <w:left w:val="single" w:sz="4" w:space="0" w:color="auto"/>
              <w:bottom w:val="single" w:sz="4" w:space="0" w:color="auto"/>
              <w:right w:val="single" w:sz="4" w:space="0" w:color="auto"/>
            </w:tcBorders>
            <w:shd w:val="clear" w:color="auto" w:fill="auto"/>
            <w:vAlign w:val="center"/>
            <w:hideMark/>
          </w:tcPr>
          <w:p w14:paraId="208543A0" w14:textId="14AFD3AD" w:rsidR="005044E5" w:rsidRPr="00795A10" w:rsidRDefault="005044E5" w:rsidP="005044E5">
            <w:pPr>
              <w:spacing w:after="0" w:line="240" w:lineRule="auto"/>
              <w:jc w:val="left"/>
              <w:rPr>
                <w:rFonts w:eastAsia="Times New Roman"/>
                <w:color w:val="767171"/>
              </w:rPr>
            </w:pPr>
            <w:r w:rsidRPr="00795A10">
              <w:rPr>
                <w:rFonts w:eastAsia="Times New Roman"/>
                <w:color w:val="767171"/>
              </w:rPr>
              <w:t>Autorización Puesta Servicio Obras Eléctricas</w:t>
            </w:r>
          </w:p>
        </w:tc>
        <w:tc>
          <w:tcPr>
            <w:tcW w:w="1134" w:type="dxa"/>
            <w:tcBorders>
              <w:top w:val="nil"/>
              <w:left w:val="nil"/>
              <w:bottom w:val="single" w:sz="4" w:space="0" w:color="auto"/>
              <w:right w:val="single" w:sz="4" w:space="0" w:color="auto"/>
            </w:tcBorders>
            <w:shd w:val="clear" w:color="auto" w:fill="auto"/>
            <w:vAlign w:val="center"/>
            <w:hideMark/>
          </w:tcPr>
          <w:p w14:paraId="33800ABF" w14:textId="3361D128" w:rsidR="005044E5" w:rsidRPr="00795A10" w:rsidRDefault="006B5B06" w:rsidP="005044E5">
            <w:pPr>
              <w:spacing w:after="0" w:line="276" w:lineRule="auto"/>
              <w:jc w:val="center"/>
              <w:rPr>
                <w:color w:val="767171"/>
              </w:rPr>
            </w:pPr>
            <w:r w:rsidRPr="00795A10">
              <w:rPr>
                <w:color w:val="767171"/>
              </w:rPr>
              <w:t>3</w:t>
            </w:r>
          </w:p>
        </w:tc>
        <w:tc>
          <w:tcPr>
            <w:tcW w:w="1701" w:type="dxa"/>
            <w:tcBorders>
              <w:top w:val="nil"/>
              <w:left w:val="nil"/>
              <w:bottom w:val="single" w:sz="4" w:space="0" w:color="auto"/>
              <w:right w:val="single" w:sz="4" w:space="0" w:color="auto"/>
            </w:tcBorders>
            <w:shd w:val="clear" w:color="auto" w:fill="auto"/>
            <w:vAlign w:val="center"/>
            <w:hideMark/>
          </w:tcPr>
          <w:p w14:paraId="52290F03" w14:textId="77777777" w:rsidR="005044E5" w:rsidRPr="00795A10" w:rsidRDefault="005044E5" w:rsidP="005044E5">
            <w:pPr>
              <w:spacing w:after="0" w:line="276" w:lineRule="auto"/>
              <w:jc w:val="center"/>
              <w:rPr>
                <w:color w:val="767171"/>
              </w:rPr>
            </w:pPr>
            <w:r w:rsidRPr="00795A10">
              <w:rPr>
                <w:color w:val="767171"/>
              </w:rPr>
              <w:t>Renovable</w:t>
            </w:r>
          </w:p>
        </w:tc>
        <w:tc>
          <w:tcPr>
            <w:tcW w:w="2459" w:type="dxa"/>
            <w:tcBorders>
              <w:top w:val="nil"/>
              <w:left w:val="nil"/>
              <w:bottom w:val="single" w:sz="4" w:space="0" w:color="auto"/>
              <w:right w:val="single" w:sz="4" w:space="0" w:color="auto"/>
            </w:tcBorders>
            <w:shd w:val="clear" w:color="auto" w:fill="auto"/>
            <w:vAlign w:val="center"/>
            <w:hideMark/>
          </w:tcPr>
          <w:p w14:paraId="0C31C6D3" w14:textId="77777777" w:rsidR="005044E5" w:rsidRPr="00795A10" w:rsidRDefault="005044E5" w:rsidP="005044E5">
            <w:pPr>
              <w:spacing w:after="0" w:line="276" w:lineRule="auto"/>
              <w:jc w:val="center"/>
              <w:rPr>
                <w:color w:val="767171"/>
              </w:rPr>
            </w:pPr>
            <w:r w:rsidRPr="00795A10">
              <w:rPr>
                <w:color w:val="767171"/>
              </w:rPr>
              <w:t>269.6</w:t>
            </w:r>
          </w:p>
        </w:tc>
      </w:tr>
      <w:tr w:rsidR="006D0445" w:rsidRPr="006D0445" w14:paraId="660784E6" w14:textId="77777777" w:rsidTr="005044E5">
        <w:trPr>
          <w:trHeight w:val="257"/>
        </w:trPr>
        <w:tc>
          <w:tcPr>
            <w:tcW w:w="2830" w:type="dxa"/>
            <w:vMerge/>
            <w:tcBorders>
              <w:top w:val="nil"/>
              <w:left w:val="single" w:sz="4" w:space="0" w:color="auto"/>
              <w:bottom w:val="single" w:sz="4" w:space="0" w:color="auto"/>
              <w:right w:val="single" w:sz="4" w:space="0" w:color="auto"/>
            </w:tcBorders>
            <w:vAlign w:val="center"/>
            <w:hideMark/>
          </w:tcPr>
          <w:p w14:paraId="1D7702AF" w14:textId="77777777" w:rsidR="005044E5" w:rsidRPr="00795A10" w:rsidRDefault="005044E5" w:rsidP="005044E5">
            <w:pPr>
              <w:spacing w:after="0" w:line="240" w:lineRule="auto"/>
              <w:jc w:val="left"/>
              <w:rPr>
                <w:rFonts w:eastAsia="Times New Roman"/>
                <w:color w:val="767171"/>
              </w:rPr>
            </w:pPr>
          </w:p>
        </w:tc>
        <w:tc>
          <w:tcPr>
            <w:tcW w:w="1134" w:type="dxa"/>
            <w:tcBorders>
              <w:top w:val="nil"/>
              <w:left w:val="nil"/>
              <w:bottom w:val="single" w:sz="4" w:space="0" w:color="auto"/>
              <w:right w:val="single" w:sz="4" w:space="0" w:color="auto"/>
            </w:tcBorders>
            <w:shd w:val="clear" w:color="auto" w:fill="auto"/>
            <w:vAlign w:val="center"/>
            <w:hideMark/>
          </w:tcPr>
          <w:p w14:paraId="79AEBDFA" w14:textId="3C20538B" w:rsidR="005044E5" w:rsidRPr="00795A10" w:rsidRDefault="006B5B06" w:rsidP="005044E5">
            <w:pPr>
              <w:spacing w:after="0" w:line="276" w:lineRule="auto"/>
              <w:jc w:val="center"/>
              <w:rPr>
                <w:color w:val="767171"/>
              </w:rPr>
            </w:pPr>
            <w:r w:rsidRPr="00795A10">
              <w:rPr>
                <w:color w:val="767171"/>
              </w:rPr>
              <w:t>2</w:t>
            </w:r>
          </w:p>
        </w:tc>
        <w:tc>
          <w:tcPr>
            <w:tcW w:w="1701" w:type="dxa"/>
            <w:tcBorders>
              <w:top w:val="nil"/>
              <w:left w:val="nil"/>
              <w:bottom w:val="single" w:sz="4" w:space="0" w:color="auto"/>
              <w:right w:val="single" w:sz="4" w:space="0" w:color="auto"/>
            </w:tcBorders>
            <w:shd w:val="clear" w:color="auto" w:fill="auto"/>
            <w:vAlign w:val="center"/>
            <w:hideMark/>
          </w:tcPr>
          <w:p w14:paraId="3FBB07D2" w14:textId="77777777" w:rsidR="005044E5" w:rsidRPr="00795A10" w:rsidRDefault="005044E5" w:rsidP="005044E5">
            <w:pPr>
              <w:spacing w:after="0" w:line="276" w:lineRule="auto"/>
              <w:jc w:val="center"/>
              <w:rPr>
                <w:color w:val="767171"/>
              </w:rPr>
            </w:pPr>
            <w:r w:rsidRPr="00795A10">
              <w:rPr>
                <w:color w:val="767171"/>
              </w:rPr>
              <w:t>Termoeléctricas</w:t>
            </w:r>
          </w:p>
        </w:tc>
        <w:tc>
          <w:tcPr>
            <w:tcW w:w="2459" w:type="dxa"/>
            <w:tcBorders>
              <w:top w:val="nil"/>
              <w:left w:val="nil"/>
              <w:bottom w:val="single" w:sz="4" w:space="0" w:color="auto"/>
              <w:right w:val="single" w:sz="4" w:space="0" w:color="auto"/>
            </w:tcBorders>
            <w:shd w:val="clear" w:color="auto" w:fill="auto"/>
            <w:vAlign w:val="center"/>
            <w:hideMark/>
          </w:tcPr>
          <w:p w14:paraId="0527E1A1" w14:textId="77777777" w:rsidR="005044E5" w:rsidRPr="00795A10" w:rsidRDefault="005044E5" w:rsidP="005044E5">
            <w:pPr>
              <w:spacing w:after="0" w:line="276" w:lineRule="auto"/>
              <w:jc w:val="center"/>
              <w:rPr>
                <w:color w:val="767171"/>
              </w:rPr>
            </w:pPr>
            <w:r w:rsidRPr="00795A10">
              <w:rPr>
                <w:color w:val="767171"/>
              </w:rPr>
              <w:t>364.8</w:t>
            </w:r>
          </w:p>
        </w:tc>
      </w:tr>
      <w:tr w:rsidR="006D0445" w:rsidRPr="006D0445" w14:paraId="176479BD" w14:textId="77777777" w:rsidTr="005044E5">
        <w:trPr>
          <w:trHeight w:val="257"/>
        </w:trPr>
        <w:tc>
          <w:tcPr>
            <w:tcW w:w="2830" w:type="dxa"/>
            <w:vMerge/>
            <w:tcBorders>
              <w:top w:val="nil"/>
              <w:left w:val="single" w:sz="4" w:space="0" w:color="auto"/>
              <w:bottom w:val="single" w:sz="4" w:space="0" w:color="auto"/>
              <w:right w:val="single" w:sz="4" w:space="0" w:color="auto"/>
            </w:tcBorders>
            <w:vAlign w:val="center"/>
            <w:hideMark/>
          </w:tcPr>
          <w:p w14:paraId="49825A39" w14:textId="77777777" w:rsidR="005044E5" w:rsidRPr="00795A10" w:rsidRDefault="005044E5" w:rsidP="005044E5">
            <w:pPr>
              <w:spacing w:after="0" w:line="240" w:lineRule="auto"/>
              <w:jc w:val="left"/>
              <w:rPr>
                <w:rFonts w:eastAsia="Times New Roman"/>
                <w:color w:val="767171"/>
              </w:rPr>
            </w:pPr>
          </w:p>
        </w:tc>
        <w:tc>
          <w:tcPr>
            <w:tcW w:w="1134" w:type="dxa"/>
            <w:tcBorders>
              <w:top w:val="nil"/>
              <w:left w:val="nil"/>
              <w:bottom w:val="single" w:sz="4" w:space="0" w:color="auto"/>
              <w:right w:val="single" w:sz="4" w:space="0" w:color="auto"/>
            </w:tcBorders>
            <w:shd w:val="clear" w:color="auto" w:fill="auto"/>
            <w:vAlign w:val="center"/>
            <w:hideMark/>
          </w:tcPr>
          <w:p w14:paraId="28CC216A" w14:textId="77A980B4" w:rsidR="005044E5" w:rsidRPr="00795A10" w:rsidRDefault="006B5B06" w:rsidP="005044E5">
            <w:pPr>
              <w:spacing w:after="0" w:line="276" w:lineRule="auto"/>
              <w:jc w:val="center"/>
              <w:rPr>
                <w:color w:val="767171"/>
              </w:rPr>
            </w:pPr>
            <w:r w:rsidRPr="00795A10">
              <w:rPr>
                <w:color w:val="767171"/>
              </w:rPr>
              <w:t>1</w:t>
            </w:r>
          </w:p>
        </w:tc>
        <w:tc>
          <w:tcPr>
            <w:tcW w:w="1701" w:type="dxa"/>
            <w:tcBorders>
              <w:top w:val="nil"/>
              <w:left w:val="nil"/>
              <w:bottom w:val="single" w:sz="4" w:space="0" w:color="auto"/>
              <w:right w:val="single" w:sz="4" w:space="0" w:color="auto"/>
            </w:tcBorders>
            <w:shd w:val="clear" w:color="auto" w:fill="auto"/>
            <w:vAlign w:val="center"/>
            <w:hideMark/>
          </w:tcPr>
          <w:p w14:paraId="3A2A97C8" w14:textId="77777777" w:rsidR="005044E5" w:rsidRPr="00795A10" w:rsidRDefault="005044E5" w:rsidP="005044E5">
            <w:pPr>
              <w:spacing w:after="0" w:line="276" w:lineRule="auto"/>
              <w:jc w:val="center"/>
              <w:rPr>
                <w:color w:val="767171"/>
              </w:rPr>
            </w:pPr>
            <w:r w:rsidRPr="00795A10">
              <w:rPr>
                <w:color w:val="767171"/>
              </w:rPr>
              <w:t>Líneas</w:t>
            </w:r>
          </w:p>
        </w:tc>
        <w:tc>
          <w:tcPr>
            <w:tcW w:w="2459" w:type="dxa"/>
            <w:tcBorders>
              <w:top w:val="nil"/>
              <w:left w:val="nil"/>
              <w:bottom w:val="single" w:sz="4" w:space="0" w:color="auto"/>
              <w:right w:val="single" w:sz="4" w:space="0" w:color="auto"/>
            </w:tcBorders>
            <w:shd w:val="clear" w:color="auto" w:fill="auto"/>
            <w:vAlign w:val="center"/>
            <w:hideMark/>
          </w:tcPr>
          <w:p w14:paraId="0F0D96F2" w14:textId="77777777" w:rsidR="005044E5" w:rsidRPr="00795A10" w:rsidRDefault="005044E5" w:rsidP="005044E5">
            <w:pPr>
              <w:spacing w:after="0" w:line="276" w:lineRule="auto"/>
              <w:jc w:val="center"/>
              <w:rPr>
                <w:color w:val="767171"/>
              </w:rPr>
            </w:pPr>
            <w:r w:rsidRPr="00795A10">
              <w:rPr>
                <w:color w:val="767171"/>
              </w:rPr>
              <w:t>138, 69</w:t>
            </w:r>
          </w:p>
        </w:tc>
      </w:tr>
      <w:tr w:rsidR="006D0445" w:rsidRPr="006D0445" w14:paraId="60B53B3B" w14:textId="77777777" w:rsidTr="005044E5">
        <w:trPr>
          <w:trHeight w:val="516"/>
        </w:trPr>
        <w:tc>
          <w:tcPr>
            <w:tcW w:w="2830" w:type="dxa"/>
            <w:vMerge/>
            <w:tcBorders>
              <w:top w:val="nil"/>
              <w:left w:val="single" w:sz="4" w:space="0" w:color="auto"/>
              <w:bottom w:val="single" w:sz="4" w:space="0" w:color="auto"/>
              <w:right w:val="single" w:sz="4" w:space="0" w:color="auto"/>
            </w:tcBorders>
            <w:vAlign w:val="center"/>
            <w:hideMark/>
          </w:tcPr>
          <w:p w14:paraId="049F0781" w14:textId="77777777" w:rsidR="005044E5" w:rsidRPr="00795A10" w:rsidRDefault="005044E5" w:rsidP="005044E5">
            <w:pPr>
              <w:spacing w:after="0" w:line="240" w:lineRule="auto"/>
              <w:jc w:val="left"/>
              <w:rPr>
                <w:rFonts w:eastAsia="Times New Roman"/>
                <w:color w:val="767171"/>
              </w:rPr>
            </w:pPr>
          </w:p>
        </w:tc>
        <w:tc>
          <w:tcPr>
            <w:tcW w:w="1134" w:type="dxa"/>
            <w:tcBorders>
              <w:top w:val="nil"/>
              <w:left w:val="nil"/>
              <w:bottom w:val="single" w:sz="4" w:space="0" w:color="auto"/>
              <w:right w:val="single" w:sz="4" w:space="0" w:color="auto"/>
            </w:tcBorders>
            <w:shd w:val="clear" w:color="auto" w:fill="auto"/>
            <w:vAlign w:val="center"/>
            <w:hideMark/>
          </w:tcPr>
          <w:p w14:paraId="63EF8A0C" w14:textId="7B96F79B" w:rsidR="005044E5" w:rsidRPr="00795A10" w:rsidRDefault="006B5B06" w:rsidP="005044E5">
            <w:pPr>
              <w:spacing w:after="0" w:line="276" w:lineRule="auto"/>
              <w:jc w:val="center"/>
              <w:rPr>
                <w:color w:val="767171"/>
              </w:rPr>
            </w:pPr>
            <w:r w:rsidRPr="00795A10">
              <w:rPr>
                <w:color w:val="767171"/>
              </w:rPr>
              <w:t>1</w:t>
            </w:r>
          </w:p>
        </w:tc>
        <w:tc>
          <w:tcPr>
            <w:tcW w:w="1701" w:type="dxa"/>
            <w:tcBorders>
              <w:top w:val="nil"/>
              <w:left w:val="nil"/>
              <w:bottom w:val="single" w:sz="4" w:space="0" w:color="auto"/>
              <w:right w:val="single" w:sz="4" w:space="0" w:color="auto"/>
            </w:tcBorders>
            <w:shd w:val="clear" w:color="auto" w:fill="auto"/>
            <w:vAlign w:val="center"/>
            <w:hideMark/>
          </w:tcPr>
          <w:p w14:paraId="778FD250" w14:textId="77777777" w:rsidR="005044E5" w:rsidRPr="00795A10" w:rsidRDefault="005044E5" w:rsidP="005044E5">
            <w:pPr>
              <w:spacing w:after="0" w:line="276" w:lineRule="auto"/>
              <w:jc w:val="center"/>
              <w:rPr>
                <w:color w:val="767171"/>
              </w:rPr>
            </w:pPr>
            <w:r w:rsidRPr="00795A10">
              <w:rPr>
                <w:color w:val="767171"/>
              </w:rPr>
              <w:t>Subestaciones</w:t>
            </w:r>
          </w:p>
        </w:tc>
        <w:tc>
          <w:tcPr>
            <w:tcW w:w="2459" w:type="dxa"/>
            <w:tcBorders>
              <w:top w:val="nil"/>
              <w:left w:val="nil"/>
              <w:bottom w:val="single" w:sz="4" w:space="0" w:color="auto"/>
              <w:right w:val="single" w:sz="4" w:space="0" w:color="auto"/>
            </w:tcBorders>
            <w:shd w:val="clear" w:color="auto" w:fill="auto"/>
            <w:vAlign w:val="center"/>
            <w:hideMark/>
          </w:tcPr>
          <w:p w14:paraId="63842CBD" w14:textId="77777777" w:rsidR="005044E5" w:rsidRPr="00795A10" w:rsidRDefault="005044E5" w:rsidP="005044E5">
            <w:pPr>
              <w:spacing w:after="0" w:line="276" w:lineRule="auto"/>
              <w:jc w:val="center"/>
              <w:rPr>
                <w:color w:val="767171"/>
              </w:rPr>
            </w:pPr>
            <w:r w:rsidRPr="00795A10">
              <w:rPr>
                <w:color w:val="767171"/>
              </w:rPr>
              <w:t xml:space="preserve">138/4.16 KV, 50 </w:t>
            </w:r>
            <w:proofErr w:type="spellStart"/>
            <w:r w:rsidRPr="00795A10">
              <w:rPr>
                <w:color w:val="767171"/>
              </w:rPr>
              <w:t>MVA</w:t>
            </w:r>
            <w:proofErr w:type="spellEnd"/>
            <w:r w:rsidRPr="00795A10">
              <w:rPr>
                <w:color w:val="767171"/>
              </w:rPr>
              <w:t xml:space="preserve">, 69/13.8 KV, 16 </w:t>
            </w:r>
            <w:proofErr w:type="spellStart"/>
            <w:r w:rsidRPr="00795A10">
              <w:rPr>
                <w:color w:val="767171"/>
              </w:rPr>
              <w:t>MVA</w:t>
            </w:r>
            <w:proofErr w:type="spellEnd"/>
          </w:p>
        </w:tc>
      </w:tr>
      <w:tr w:rsidR="006D0445" w:rsidRPr="006D0445" w14:paraId="29B389DC" w14:textId="77777777" w:rsidTr="005044E5">
        <w:trPr>
          <w:trHeight w:val="51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3AE27D8" w14:textId="77777777" w:rsidR="005044E5" w:rsidRPr="00795A10" w:rsidRDefault="005044E5" w:rsidP="005044E5">
            <w:pPr>
              <w:spacing w:after="0" w:line="240" w:lineRule="auto"/>
              <w:jc w:val="left"/>
              <w:rPr>
                <w:rFonts w:eastAsia="Times New Roman"/>
                <w:color w:val="767171"/>
              </w:rPr>
            </w:pPr>
            <w:r w:rsidRPr="00795A10">
              <w:rPr>
                <w:rFonts w:eastAsia="Times New Roman"/>
                <w:color w:val="767171"/>
              </w:rPr>
              <w:t>Emisión de autorizaciones para el ejercicio de la condición de UNR</w:t>
            </w:r>
          </w:p>
        </w:tc>
        <w:tc>
          <w:tcPr>
            <w:tcW w:w="1134" w:type="dxa"/>
            <w:tcBorders>
              <w:top w:val="nil"/>
              <w:left w:val="nil"/>
              <w:bottom w:val="single" w:sz="4" w:space="0" w:color="auto"/>
              <w:right w:val="single" w:sz="4" w:space="0" w:color="auto"/>
            </w:tcBorders>
            <w:shd w:val="clear" w:color="auto" w:fill="auto"/>
            <w:vAlign w:val="center"/>
            <w:hideMark/>
          </w:tcPr>
          <w:p w14:paraId="6B3B420A" w14:textId="5F382805" w:rsidR="005044E5" w:rsidRPr="00795A10" w:rsidRDefault="000D19BD" w:rsidP="005044E5">
            <w:pPr>
              <w:spacing w:after="0" w:line="276" w:lineRule="auto"/>
              <w:jc w:val="center"/>
              <w:rPr>
                <w:color w:val="767171"/>
              </w:rPr>
            </w:pPr>
            <w:r w:rsidRPr="00795A10">
              <w:rPr>
                <w:color w:val="767171"/>
              </w:rPr>
              <w:t>1</w:t>
            </w:r>
            <w:r w:rsidR="006B5B06" w:rsidRPr="00795A10">
              <w:rPr>
                <w:color w:val="767171"/>
              </w:rPr>
              <w:t>0</w:t>
            </w:r>
          </w:p>
        </w:tc>
        <w:tc>
          <w:tcPr>
            <w:tcW w:w="1701" w:type="dxa"/>
            <w:tcBorders>
              <w:top w:val="nil"/>
              <w:left w:val="nil"/>
              <w:bottom w:val="single" w:sz="4" w:space="0" w:color="auto"/>
              <w:right w:val="single" w:sz="4" w:space="0" w:color="auto"/>
            </w:tcBorders>
            <w:shd w:val="clear" w:color="auto" w:fill="auto"/>
            <w:vAlign w:val="center"/>
            <w:hideMark/>
          </w:tcPr>
          <w:p w14:paraId="5B6158CA" w14:textId="77777777" w:rsidR="005044E5" w:rsidRPr="00795A10" w:rsidRDefault="005044E5" w:rsidP="005044E5">
            <w:pPr>
              <w:spacing w:after="0" w:line="276" w:lineRule="auto"/>
              <w:jc w:val="center"/>
              <w:rPr>
                <w:color w:val="767171"/>
              </w:rPr>
            </w:pPr>
            <w:r w:rsidRPr="00795A10">
              <w:rPr>
                <w:color w:val="767171"/>
              </w:rPr>
              <w:t>Subestaciones</w:t>
            </w:r>
          </w:p>
        </w:tc>
        <w:tc>
          <w:tcPr>
            <w:tcW w:w="2459" w:type="dxa"/>
            <w:tcBorders>
              <w:top w:val="nil"/>
              <w:left w:val="nil"/>
              <w:bottom w:val="single" w:sz="4" w:space="0" w:color="auto"/>
              <w:right w:val="single" w:sz="4" w:space="0" w:color="auto"/>
            </w:tcBorders>
            <w:shd w:val="clear" w:color="auto" w:fill="auto"/>
            <w:vAlign w:val="center"/>
            <w:hideMark/>
          </w:tcPr>
          <w:p w14:paraId="40983199" w14:textId="77777777" w:rsidR="005044E5" w:rsidRPr="00795A10" w:rsidRDefault="005044E5" w:rsidP="005044E5">
            <w:pPr>
              <w:spacing w:after="0" w:line="276" w:lineRule="auto"/>
              <w:jc w:val="center"/>
              <w:rPr>
                <w:color w:val="767171"/>
              </w:rPr>
            </w:pPr>
            <w:r w:rsidRPr="00795A10">
              <w:rPr>
                <w:color w:val="767171"/>
              </w:rPr>
              <w:t>N/A</w:t>
            </w:r>
          </w:p>
        </w:tc>
      </w:tr>
    </w:tbl>
    <w:p w14:paraId="1342C733" w14:textId="3387EB78" w:rsidR="00774876" w:rsidRPr="006D0445" w:rsidRDefault="00D51928" w:rsidP="00BB560B">
      <w:pPr>
        <w:jc w:val="left"/>
        <w:rPr>
          <w:b/>
          <w:bCs/>
          <w:color w:val="767171"/>
        </w:rPr>
      </w:pPr>
      <w:r w:rsidRPr="006D0445">
        <w:rPr>
          <w:rFonts w:eastAsia="Times New Roman"/>
          <w:color w:val="767171"/>
          <w:sz w:val="18"/>
          <w:szCs w:val="18"/>
        </w:rPr>
        <w:t xml:space="preserve">Fuente: </w:t>
      </w:r>
      <w:r w:rsidR="00BB560B" w:rsidRPr="006D0445">
        <w:rPr>
          <w:rFonts w:eastAsia="Times New Roman"/>
          <w:color w:val="767171"/>
          <w:sz w:val="18"/>
          <w:szCs w:val="18"/>
        </w:rPr>
        <w:t>Dirección Fiscalización Mercado Eléctrico Mayorista</w:t>
      </w:r>
      <w:r w:rsidRPr="006D0445">
        <w:rPr>
          <w:rFonts w:eastAsia="Times New Roman"/>
          <w:color w:val="767171"/>
          <w:sz w:val="16"/>
          <w:szCs w:val="16"/>
        </w:rPr>
        <w:t>.</w:t>
      </w:r>
    </w:p>
    <w:p w14:paraId="2495D453" w14:textId="3219369C" w:rsidR="0001546A" w:rsidRPr="002639F7" w:rsidRDefault="006B136E" w:rsidP="00EB4CC7">
      <w:pPr>
        <w:spacing w:before="360"/>
        <w:jc w:val="left"/>
        <w:rPr>
          <w:b/>
          <w:bCs/>
          <w:color w:val="767171"/>
        </w:rPr>
      </w:pPr>
      <w:bookmarkStart w:id="15" w:name="_Hlk152925426"/>
      <w:r w:rsidRPr="002639F7">
        <w:rPr>
          <w:b/>
          <w:bCs/>
          <w:color w:val="767171"/>
        </w:rPr>
        <w:t>Regulación Del Sector Eléctrico</w:t>
      </w:r>
    </w:p>
    <w:p w14:paraId="0EBCF3F9" w14:textId="77777777" w:rsidR="00C1416E" w:rsidRPr="00161FBC" w:rsidRDefault="00C9459D" w:rsidP="00C9459D">
      <w:pPr>
        <w:rPr>
          <w:color w:val="767171"/>
        </w:rPr>
      </w:pPr>
      <w:r w:rsidRPr="00161FBC">
        <w:rPr>
          <w:color w:val="767171"/>
        </w:rPr>
        <w:t>La S</w:t>
      </w:r>
      <w:r w:rsidR="001B79C4" w:rsidRPr="00161FBC">
        <w:rPr>
          <w:color w:val="767171"/>
        </w:rPr>
        <w:t>uperintendencia de electricidad como ente regulador del sector eléctrico dom</w:t>
      </w:r>
      <w:r w:rsidR="009744ED" w:rsidRPr="00161FBC">
        <w:rPr>
          <w:color w:val="767171"/>
        </w:rPr>
        <w:t>inicano, es la responsable de la elaboración de las normas técnicas de seguridad y de calidad</w:t>
      </w:r>
      <w:r w:rsidR="006B6EBF" w:rsidRPr="00161FBC">
        <w:rPr>
          <w:color w:val="767171"/>
        </w:rPr>
        <w:t xml:space="preserve"> de servicio que deben cumplir las Empresas Eléctricas</w:t>
      </w:r>
      <w:r w:rsidR="009744ED" w:rsidRPr="00161FBC">
        <w:rPr>
          <w:color w:val="767171"/>
        </w:rPr>
        <w:t xml:space="preserve">; </w:t>
      </w:r>
      <w:r w:rsidR="00466570" w:rsidRPr="00161FBC">
        <w:rPr>
          <w:color w:val="767171"/>
        </w:rPr>
        <w:t>l</w:t>
      </w:r>
      <w:r w:rsidR="009744ED" w:rsidRPr="00161FBC">
        <w:rPr>
          <w:color w:val="767171"/>
        </w:rPr>
        <w:t>a determinación de</w:t>
      </w:r>
      <w:r w:rsidR="006B6EBF" w:rsidRPr="00161FBC">
        <w:rPr>
          <w:color w:val="767171"/>
        </w:rPr>
        <w:t xml:space="preserve"> las</w:t>
      </w:r>
      <w:r w:rsidR="009744ED" w:rsidRPr="00161FBC">
        <w:rPr>
          <w:color w:val="767171"/>
        </w:rPr>
        <w:t xml:space="preserve"> tarifas </w:t>
      </w:r>
      <w:r w:rsidR="006B6EBF" w:rsidRPr="00161FBC">
        <w:rPr>
          <w:color w:val="767171"/>
        </w:rPr>
        <w:t xml:space="preserve">del servicio eléctrico </w:t>
      </w:r>
      <w:r w:rsidR="009744ED" w:rsidRPr="00161FBC">
        <w:rPr>
          <w:color w:val="767171"/>
        </w:rPr>
        <w:t xml:space="preserve">y peajes </w:t>
      </w:r>
      <w:r w:rsidR="006B6EBF" w:rsidRPr="00161FBC">
        <w:rPr>
          <w:color w:val="767171"/>
        </w:rPr>
        <w:t>sujetos a regulación</w:t>
      </w:r>
      <w:r w:rsidR="009744ED" w:rsidRPr="00161FBC">
        <w:rPr>
          <w:color w:val="767171"/>
        </w:rPr>
        <w:t>.</w:t>
      </w:r>
      <w:r w:rsidR="007566DA" w:rsidRPr="00161FBC">
        <w:rPr>
          <w:color w:val="767171"/>
        </w:rPr>
        <w:t xml:space="preserve"> </w:t>
      </w:r>
    </w:p>
    <w:p w14:paraId="70519587" w14:textId="668EC8DF" w:rsidR="001B79C4" w:rsidRPr="00161FBC" w:rsidRDefault="007566DA" w:rsidP="00C9459D">
      <w:pPr>
        <w:rPr>
          <w:color w:val="767171"/>
        </w:rPr>
      </w:pPr>
      <w:r w:rsidRPr="00161FBC">
        <w:rPr>
          <w:color w:val="767171"/>
        </w:rPr>
        <w:t xml:space="preserve">A continuación, se detallan las acciones ejecutadas por la SIE en este año </w:t>
      </w:r>
      <w:r w:rsidR="00466570" w:rsidRPr="00161FBC">
        <w:rPr>
          <w:color w:val="767171"/>
        </w:rPr>
        <w:t>con relación a</w:t>
      </w:r>
      <w:r w:rsidRPr="00161FBC">
        <w:rPr>
          <w:color w:val="767171"/>
        </w:rPr>
        <w:t xml:space="preserve"> la Regulación del Sector Eléctrico.</w:t>
      </w:r>
    </w:p>
    <w:p w14:paraId="35B49590" w14:textId="3FCDFB3F" w:rsidR="001B79C4" w:rsidRPr="00161FBC" w:rsidRDefault="007566DA" w:rsidP="00C9459D">
      <w:pPr>
        <w:rPr>
          <w:b/>
          <w:bCs/>
          <w:color w:val="767171"/>
        </w:rPr>
      </w:pPr>
      <w:r w:rsidRPr="00161FBC">
        <w:rPr>
          <w:b/>
          <w:bCs/>
          <w:color w:val="767171"/>
        </w:rPr>
        <w:t>Propuestas de Reglamentos Técnicos</w:t>
      </w:r>
    </w:p>
    <w:p w14:paraId="7EEA75A3" w14:textId="56D0FC62" w:rsidR="00C9459D" w:rsidRPr="00161FBC" w:rsidRDefault="007566DA" w:rsidP="00C9459D">
      <w:pPr>
        <w:rPr>
          <w:color w:val="767171"/>
        </w:rPr>
      </w:pPr>
      <w:r w:rsidRPr="00161FBC">
        <w:rPr>
          <w:color w:val="767171"/>
        </w:rPr>
        <w:t>El principal objetivo de los reglamentos técnicos es el de organizar el sector eléctrico definiendo las buenas prácticas y mejor uso de las instalaciones eléctricas, reducir las pérdidas, los gastos de operación y mantenimiento de las Empresas Distribuidoras, contribuir a la seguridad de las personas e instalaciones, garantizar la calidad del servicio y preservar el medio ambiente</w:t>
      </w:r>
      <w:r w:rsidR="007F20C9" w:rsidRPr="00161FBC">
        <w:rPr>
          <w:color w:val="767171"/>
        </w:rPr>
        <w:t>.</w:t>
      </w:r>
      <w:r w:rsidR="007217D6" w:rsidRPr="00161FBC">
        <w:rPr>
          <w:color w:val="767171"/>
        </w:rPr>
        <w:t xml:space="preserve"> En el </w:t>
      </w:r>
      <w:r w:rsidR="00F2650B" w:rsidRPr="00161FBC">
        <w:rPr>
          <w:color w:val="767171"/>
        </w:rPr>
        <w:t>2024</w:t>
      </w:r>
      <w:r w:rsidR="007217D6" w:rsidRPr="00161FBC">
        <w:rPr>
          <w:color w:val="767171"/>
        </w:rPr>
        <w:t xml:space="preserve"> fueron trabajados los siguientes documentos</w:t>
      </w:r>
      <w:r w:rsidR="007F20C9" w:rsidRPr="00161FBC">
        <w:rPr>
          <w:color w:val="767171"/>
        </w:rPr>
        <w:t>:</w:t>
      </w:r>
    </w:p>
    <w:p w14:paraId="0B3A3B29" w14:textId="11A1A80D" w:rsidR="007F20C9" w:rsidRPr="00161FBC" w:rsidRDefault="007F20C9" w:rsidP="006119A9">
      <w:pPr>
        <w:spacing w:after="0"/>
        <w:rPr>
          <w:rFonts w:eastAsia="Calibri"/>
          <w:noProof/>
          <w:color w:val="767171"/>
        </w:rPr>
      </w:pPr>
      <w:r w:rsidRPr="002639F7">
        <w:rPr>
          <w:rFonts w:eastAsia="Calibri"/>
          <w:noProof/>
          <w:color w:val="767171"/>
        </w:rPr>
        <w:t>Reglamento de Diseño y Construcción de Centros de Transformación (Subestaciones MT/BT):</w:t>
      </w:r>
      <w:r w:rsidRPr="00161FBC">
        <w:rPr>
          <w:rFonts w:eastAsia="Calibri"/>
          <w:noProof/>
          <w:color w:val="767171"/>
        </w:rPr>
        <w:t xml:space="preserve"> Debido a que las interconexiones eléctricas de proyectos inmobiliarios, comerciales e industriales se rigen por el Reglamento R-022 del Ministerio de Obras Públicas y Comunicaciones (MOPC) (promulgado en 1998), se desarrolló un reglamento actualizado alineado con los avances tecnológicos y normativas vigentes. Este reglamento fue socializado con las Empresas Distribuidoras y Sistemas Aislados en </w:t>
      </w:r>
      <w:r w:rsidRPr="002639F7">
        <w:rPr>
          <w:rFonts w:eastAsia="Calibri"/>
          <w:noProof/>
          <w:color w:val="767171"/>
        </w:rPr>
        <w:t>octubre de 2024.</w:t>
      </w:r>
    </w:p>
    <w:p w14:paraId="7EFE65A9" w14:textId="77777777" w:rsidR="007217D6" w:rsidRPr="00161FBC" w:rsidRDefault="007217D6" w:rsidP="007217D6">
      <w:pPr>
        <w:pStyle w:val="Prrafodelista"/>
        <w:spacing w:after="240"/>
        <w:ind w:left="714"/>
        <w:rPr>
          <w:rFonts w:eastAsia="Calibri"/>
          <w:noProof/>
          <w:color w:val="767171"/>
          <w:sz w:val="2"/>
          <w:szCs w:val="2"/>
        </w:rPr>
      </w:pPr>
    </w:p>
    <w:p w14:paraId="0BB87BD9" w14:textId="77777777" w:rsidR="007217D6" w:rsidRPr="00161FBC" w:rsidRDefault="007217D6" w:rsidP="00466570">
      <w:pPr>
        <w:spacing w:after="0"/>
        <w:rPr>
          <w:rFonts w:eastAsia="Calibri"/>
          <w:noProof/>
          <w:color w:val="767171"/>
          <w:sz w:val="2"/>
          <w:szCs w:val="2"/>
        </w:rPr>
      </w:pPr>
    </w:p>
    <w:p w14:paraId="56C9E4C2" w14:textId="4384AB48" w:rsidR="00FC39FD" w:rsidRPr="00161FBC" w:rsidRDefault="007217D6" w:rsidP="006119A9">
      <w:pPr>
        <w:spacing w:after="0"/>
        <w:rPr>
          <w:rFonts w:eastAsia="Calibri"/>
          <w:noProof/>
          <w:color w:val="767171"/>
        </w:rPr>
      </w:pPr>
      <w:r w:rsidRPr="002639F7">
        <w:rPr>
          <w:rFonts w:eastAsia="Calibri"/>
          <w:noProof/>
          <w:color w:val="767171"/>
        </w:rPr>
        <w:lastRenderedPageBreak/>
        <w:t>Hoja de Ruta para el Marco Regulatorio de Sistemas de Almacenamiento de Energía:</w:t>
      </w:r>
      <w:r w:rsidR="002639F7">
        <w:rPr>
          <w:rFonts w:eastAsia="Calibri"/>
          <w:b/>
          <w:bCs/>
          <w:noProof/>
          <w:color w:val="767171"/>
        </w:rPr>
        <w:t xml:space="preserve"> </w:t>
      </w:r>
      <w:r w:rsidR="00FC39FD" w:rsidRPr="00161FBC">
        <w:rPr>
          <w:rFonts w:eastAsia="Calibri"/>
          <w:noProof/>
          <w:color w:val="767171"/>
        </w:rPr>
        <w:t xml:space="preserve">Se realizó el taller de socialización "Workshop Proyecto Almacenamiento de Energía en RD" se realizó el 29 de febrero de 2024, el cual tuvo como objetivo compartir con los actores del sector eléctrico dominicano los avances del proyecto, que busca desarrollar una hoja de ruta regulatoria para el despliegue de sistemas de almacenamiento de energía en baterías (BESS) en el país. </w:t>
      </w:r>
    </w:p>
    <w:p w14:paraId="086F0776" w14:textId="1A59D047" w:rsidR="007217D6" w:rsidRPr="00161FBC" w:rsidRDefault="007217D6" w:rsidP="00AE6336">
      <w:pPr>
        <w:pStyle w:val="Prrafodelista"/>
        <w:numPr>
          <w:ilvl w:val="0"/>
          <w:numId w:val="7"/>
        </w:numPr>
        <w:rPr>
          <w:rFonts w:eastAsia="Calibri"/>
          <w:noProof/>
          <w:color w:val="767171"/>
          <w:sz w:val="2"/>
          <w:szCs w:val="2"/>
        </w:rPr>
      </w:pPr>
    </w:p>
    <w:p w14:paraId="2EDD9F42" w14:textId="00DEDD2D" w:rsidR="00E92CEA" w:rsidRPr="00161FBC" w:rsidRDefault="00E92CEA" w:rsidP="006119A9">
      <w:pPr>
        <w:rPr>
          <w:rFonts w:eastAsia="Calibri"/>
          <w:noProof/>
          <w:color w:val="767171"/>
        </w:rPr>
      </w:pPr>
      <w:r w:rsidRPr="002639F7">
        <w:rPr>
          <w:rFonts w:eastAsia="Calibri"/>
          <w:noProof/>
          <w:color w:val="767171"/>
        </w:rPr>
        <w:t>Reglamento de Coordinación de Protecciones en Redes de Media Tensión:</w:t>
      </w:r>
      <w:r w:rsidRPr="00161FBC">
        <w:rPr>
          <w:rFonts w:eastAsia="Calibri"/>
          <w:noProof/>
          <w:color w:val="767171"/>
        </w:rPr>
        <w:t xml:space="preserve"> Este reglamento</w:t>
      </w:r>
      <w:r w:rsidR="00750300" w:rsidRPr="00161FBC">
        <w:rPr>
          <w:rFonts w:eastAsia="Calibri"/>
          <w:noProof/>
          <w:color w:val="767171"/>
        </w:rPr>
        <w:t xml:space="preserve"> </w:t>
      </w:r>
      <w:r w:rsidRPr="00161FBC">
        <w:rPr>
          <w:rFonts w:eastAsia="Calibri"/>
          <w:noProof/>
          <w:color w:val="767171"/>
        </w:rPr>
        <w:t>fue diseñado para facilitar la fiscalización de los elementos de protección en los circuitos de distribución. Fue socializado con las Empresas Distribuidoras en octubre de 2024</w:t>
      </w:r>
      <w:r w:rsidR="00750300" w:rsidRPr="00161FBC">
        <w:rPr>
          <w:rFonts w:eastAsia="Calibri"/>
          <w:noProof/>
          <w:color w:val="767171"/>
        </w:rPr>
        <w:t>.</w:t>
      </w:r>
    </w:p>
    <w:p w14:paraId="36C4FF94" w14:textId="6BCBD77F" w:rsidR="00E92CEA" w:rsidRPr="00161FBC" w:rsidRDefault="00116818" w:rsidP="006119A9">
      <w:pPr>
        <w:rPr>
          <w:rFonts w:eastAsia="Calibri"/>
          <w:noProof/>
          <w:color w:val="767171"/>
        </w:rPr>
      </w:pPr>
      <w:bookmarkStart w:id="16" w:name="_Hlk183770869"/>
      <w:r w:rsidRPr="002639F7">
        <w:rPr>
          <w:rFonts w:eastAsia="Calibri"/>
          <w:noProof/>
          <w:color w:val="767171"/>
        </w:rPr>
        <w:t>Normas de Diseño e Instalación de Redes Soterradas de Distribución:</w:t>
      </w:r>
      <w:r w:rsidRPr="00161FBC">
        <w:rPr>
          <w:rFonts w:eastAsia="Calibri"/>
          <w:noProof/>
          <w:color w:val="767171"/>
        </w:rPr>
        <w:t xml:space="preserve"> Esta propuesta fue publicada bajo modalidad de Consulta Pública en octubre de 2024, con un plazo de 45 días para remisión de observaciones y emisión prevista para diciembre de 2024, para su validación y aprobación.</w:t>
      </w:r>
      <w:bookmarkEnd w:id="16"/>
    </w:p>
    <w:p w14:paraId="1F7CE180" w14:textId="0EE39B84" w:rsidR="007217D6" w:rsidRPr="00161FBC" w:rsidRDefault="007217D6" w:rsidP="00C9459D">
      <w:pPr>
        <w:rPr>
          <w:b/>
          <w:bCs/>
          <w:color w:val="767171"/>
        </w:rPr>
      </w:pPr>
      <w:r w:rsidRPr="00161FBC">
        <w:rPr>
          <w:b/>
          <w:bCs/>
          <w:color w:val="767171"/>
        </w:rPr>
        <w:t>Actualización de Normativas Vigentes</w:t>
      </w:r>
    </w:p>
    <w:p w14:paraId="2C659DB0" w14:textId="5CE5550C" w:rsidR="00BC5F4A" w:rsidRPr="00161FBC" w:rsidRDefault="009071A5" w:rsidP="006119A9">
      <w:pPr>
        <w:rPr>
          <w:rFonts w:eastAsia="Calibri"/>
          <w:noProof/>
          <w:color w:val="767171"/>
        </w:rPr>
      </w:pPr>
      <w:r w:rsidRPr="002639F7">
        <w:rPr>
          <w:rFonts w:eastAsia="Calibri"/>
          <w:noProof/>
          <w:color w:val="767171"/>
        </w:rPr>
        <w:t>Reglamento para Revisión de Suministros y Tratamiento de Reclamaciones y Denuncias de Fraudes (Resolución SIE-01-2008):</w:t>
      </w:r>
      <w:r w:rsidRPr="00161FBC">
        <w:rPr>
          <w:rFonts w:eastAsia="Calibri"/>
          <w:noProof/>
          <w:color w:val="767171"/>
        </w:rPr>
        <w:t xml:space="preserve"> En 2024 fue conformada una Mesa Técnica institucional para la actualización este reglamento. Se prevé su publicación bajo Consulta Pública en diciembre de 2024.</w:t>
      </w:r>
    </w:p>
    <w:p w14:paraId="6458F00F" w14:textId="0FA813ED" w:rsidR="009071A5" w:rsidRPr="00161FBC" w:rsidRDefault="009071A5" w:rsidP="006119A9">
      <w:pPr>
        <w:rPr>
          <w:rFonts w:eastAsia="Calibri"/>
          <w:noProof/>
          <w:color w:val="767171"/>
        </w:rPr>
      </w:pPr>
      <w:r w:rsidRPr="002639F7">
        <w:rPr>
          <w:rFonts w:eastAsia="Calibri"/>
          <w:noProof/>
          <w:color w:val="767171"/>
        </w:rPr>
        <w:t>Reglamento para la Aprobación, Interconexión y Operación de Instalaciones de Generación Distribuida:</w:t>
      </w:r>
      <w:r w:rsidRPr="00161FBC">
        <w:rPr>
          <w:rFonts w:eastAsia="Calibri"/>
          <w:noProof/>
          <w:color w:val="767171"/>
        </w:rPr>
        <w:t xml:space="preserve"> Esta actualización fue desarrollada a través de una Mesa de Trabajo conformada por expertos y publicada para Consulta Pública en octubre de 2024, con cierre en noviembre. Como resultado de la vista pública, se recibieron observaciones de 14 agentes del sector.</w:t>
      </w:r>
    </w:p>
    <w:p w14:paraId="3EA2358C" w14:textId="4FDA9D2C" w:rsidR="00143807" w:rsidRPr="00161FBC" w:rsidRDefault="00143807" w:rsidP="006119A9">
      <w:pPr>
        <w:rPr>
          <w:rFonts w:eastAsia="Calibri"/>
          <w:noProof/>
          <w:color w:val="767171"/>
        </w:rPr>
      </w:pPr>
      <w:r w:rsidRPr="002639F7">
        <w:rPr>
          <w:rFonts w:eastAsia="Calibri"/>
          <w:noProof/>
          <w:color w:val="767171"/>
        </w:rPr>
        <w:t>Código Eléctrico Nacional (CEN):</w:t>
      </w:r>
      <w:r w:rsidRPr="00161FBC">
        <w:rPr>
          <w:rFonts w:eastAsia="Calibri"/>
          <w:noProof/>
          <w:color w:val="767171"/>
        </w:rPr>
        <w:t xml:space="preserve"> Publicado en modalidad de Consulta Pública hasta el 21 de noviembre de 2024, con promulgación prevista para diciembre.</w:t>
      </w:r>
    </w:p>
    <w:p w14:paraId="601EEA19" w14:textId="77777777" w:rsidR="00143807" w:rsidRPr="00161FBC" w:rsidRDefault="00143807" w:rsidP="006119A9">
      <w:pPr>
        <w:rPr>
          <w:rFonts w:eastAsia="Calibri"/>
          <w:noProof/>
          <w:color w:val="767171"/>
        </w:rPr>
      </w:pPr>
      <w:r w:rsidRPr="002639F7">
        <w:rPr>
          <w:rFonts w:eastAsia="Calibri"/>
          <w:noProof/>
          <w:color w:val="767171"/>
        </w:rPr>
        <w:t>Reglamento Técnico para Alumbrado de las Vías Públicas:</w:t>
      </w:r>
      <w:r w:rsidRPr="00161FBC">
        <w:rPr>
          <w:rFonts w:eastAsia="Calibri"/>
          <w:noProof/>
          <w:color w:val="767171"/>
        </w:rPr>
        <w:t xml:space="preserve"> La actualización fue realizada por un Comité de Normas especializado y será publicada en diciembre de 2024.</w:t>
      </w:r>
    </w:p>
    <w:p w14:paraId="161F7555" w14:textId="5CB9771C" w:rsidR="00456569" w:rsidRPr="002639F7" w:rsidRDefault="00456569" w:rsidP="00456569">
      <w:pPr>
        <w:rPr>
          <w:b/>
          <w:bCs/>
          <w:color w:val="767171"/>
        </w:rPr>
      </w:pPr>
      <w:r w:rsidRPr="002639F7">
        <w:rPr>
          <w:b/>
          <w:bCs/>
          <w:color w:val="767171"/>
        </w:rPr>
        <w:t xml:space="preserve">Actividades desarrolladas </w:t>
      </w:r>
      <w:r w:rsidR="00543B99" w:rsidRPr="002639F7">
        <w:rPr>
          <w:b/>
          <w:bCs/>
          <w:color w:val="767171"/>
        </w:rPr>
        <w:t>con relación a</w:t>
      </w:r>
      <w:r w:rsidRPr="002639F7">
        <w:rPr>
          <w:b/>
          <w:bCs/>
          <w:color w:val="767171"/>
        </w:rPr>
        <w:t xml:space="preserve"> la Transparencia del Sector </w:t>
      </w:r>
      <w:r w:rsidR="00113E48" w:rsidRPr="002639F7">
        <w:rPr>
          <w:b/>
          <w:bCs/>
          <w:color w:val="767171"/>
        </w:rPr>
        <w:t>Eléctrico</w:t>
      </w:r>
    </w:p>
    <w:p w14:paraId="0FEE3C05" w14:textId="44FF1542" w:rsidR="00C345E3" w:rsidRPr="00161FBC" w:rsidRDefault="001760ED" w:rsidP="006119A9">
      <w:pPr>
        <w:rPr>
          <w:rFonts w:eastAsia="Calibri"/>
          <w:noProof/>
          <w:color w:val="767171"/>
        </w:rPr>
      </w:pPr>
      <w:r w:rsidRPr="002639F7">
        <w:rPr>
          <w:rFonts w:eastAsia="Calibri"/>
          <w:noProof/>
          <w:color w:val="767171"/>
        </w:rPr>
        <w:t>Sistema Único de Cuentas (SUC):</w:t>
      </w:r>
      <w:r w:rsidRPr="00161FBC">
        <w:rPr>
          <w:rFonts w:eastAsia="Calibri"/>
          <w:b/>
          <w:bCs/>
          <w:noProof/>
          <w:color w:val="767171"/>
        </w:rPr>
        <w:t xml:space="preserve"> </w:t>
      </w:r>
      <w:bookmarkStart w:id="17" w:name="_Hlk183779113"/>
      <w:r w:rsidR="00C345E3" w:rsidRPr="00161FBC">
        <w:rPr>
          <w:rFonts w:eastAsia="Calibri"/>
          <w:noProof/>
          <w:color w:val="767171"/>
        </w:rPr>
        <w:t>Implementación de la consultoría “Calidad de datos y focalización de indicadores del SUC”, con asistencia de BA Energy Solutions y fondos del Banco Mundial.</w:t>
      </w:r>
      <w:bookmarkEnd w:id="17"/>
    </w:p>
    <w:p w14:paraId="1F5BA76A" w14:textId="1A325B49" w:rsidR="00386A14" w:rsidRDefault="00456569" w:rsidP="00386A14">
      <w:pPr>
        <w:rPr>
          <w:rFonts w:eastAsia="Calibri"/>
          <w:noProof/>
          <w:color w:val="767171"/>
        </w:rPr>
      </w:pPr>
      <w:r w:rsidRPr="00161FBC">
        <w:rPr>
          <w:rFonts w:eastAsia="Calibri"/>
          <w:noProof/>
          <w:color w:val="767171"/>
        </w:rPr>
        <w:t xml:space="preserve">Como parte del acuerdo interinstitucional firmado con el SIUBEN, la SIE ha aportado las informaciones necesarias para la mejora en la implementación del subsidio BONOLUZ. Además, hemos dado soporte funcional a las decisiones que toma SUPÉRATE junto al CUEDES en el mejoramiento de los procesos del BONOLUZ. </w:t>
      </w:r>
      <w:r w:rsidR="00386A14">
        <w:rPr>
          <w:rFonts w:eastAsia="Calibri"/>
          <w:noProof/>
          <w:color w:val="767171"/>
        </w:rPr>
        <w:br w:type="page"/>
      </w:r>
    </w:p>
    <w:p w14:paraId="7B023981" w14:textId="567C1487" w:rsidR="00CF4B4E" w:rsidRPr="00161FBC" w:rsidRDefault="00CF4B4E" w:rsidP="006119A9">
      <w:pPr>
        <w:rPr>
          <w:rFonts w:eastAsia="Calibri"/>
          <w:noProof/>
          <w:color w:val="767171"/>
        </w:rPr>
      </w:pPr>
      <w:r w:rsidRPr="002639F7">
        <w:rPr>
          <w:color w:val="767171"/>
        </w:rPr>
        <w:lastRenderedPageBreak/>
        <w:t>Determinación de niveles aceptables de penetración de generación distribuida:</w:t>
      </w:r>
      <w:r w:rsidRPr="00161FBC">
        <w:rPr>
          <w:color w:val="767171"/>
        </w:rPr>
        <w:t xml:space="preserve"> Se evaluó técnicamente el borrador del contrato, actualmente en proceso de firma.</w:t>
      </w:r>
    </w:p>
    <w:p w14:paraId="4BBE7CA3" w14:textId="77777777" w:rsidR="00CF4B4E" w:rsidRPr="00161FBC" w:rsidRDefault="00CF4B4E" w:rsidP="006119A9">
      <w:pPr>
        <w:rPr>
          <w:rFonts w:eastAsia="Calibri"/>
          <w:noProof/>
          <w:color w:val="767171"/>
        </w:rPr>
      </w:pPr>
      <w:r w:rsidRPr="002639F7">
        <w:rPr>
          <w:color w:val="767171"/>
        </w:rPr>
        <w:t>Valorización de costos unitarios de Unidades Constructivas en redes de distribución:</w:t>
      </w:r>
      <w:r w:rsidRPr="00161FBC">
        <w:rPr>
          <w:color w:val="767171"/>
        </w:rPr>
        <w:t xml:space="preserve"> El proceso de contratación concluyó en octubre de 2024, y la consultoría se lanzó en noviembre.</w:t>
      </w:r>
    </w:p>
    <w:p w14:paraId="1C620442" w14:textId="3B8227AA" w:rsidR="00CF4B4E" w:rsidRPr="00161FBC" w:rsidRDefault="00CF4B4E" w:rsidP="006119A9">
      <w:pPr>
        <w:rPr>
          <w:rFonts w:eastAsia="Calibri"/>
          <w:noProof/>
          <w:color w:val="767171"/>
        </w:rPr>
      </w:pPr>
      <w:r w:rsidRPr="002639F7">
        <w:rPr>
          <w:color w:val="767171"/>
        </w:rPr>
        <w:t>Diseño y Construcción de Redes de Alta Tensión y Subestaciones:</w:t>
      </w:r>
      <w:r w:rsidRPr="00161FBC">
        <w:rPr>
          <w:color w:val="767171"/>
        </w:rPr>
        <w:t xml:space="preserve"> Est</w:t>
      </w:r>
      <w:r w:rsidR="006119A9" w:rsidRPr="00161FBC">
        <w:rPr>
          <w:color w:val="767171"/>
        </w:rPr>
        <w:t>e proyecto normativo se encuentra en desarrollo.</w:t>
      </w:r>
    </w:p>
    <w:p w14:paraId="2BA6FE43" w14:textId="6D870720" w:rsidR="00610A97" w:rsidRPr="00161FBC" w:rsidRDefault="00610A97" w:rsidP="006119A9">
      <w:pPr>
        <w:rPr>
          <w:rFonts w:eastAsia="Calibri"/>
          <w:noProof/>
          <w:color w:val="767171"/>
        </w:rPr>
      </w:pPr>
      <w:r w:rsidRPr="00161FBC">
        <w:rPr>
          <w:b/>
          <w:bCs/>
          <w:color w:val="767171"/>
        </w:rPr>
        <w:t>Informes de Indicadores del sector</w:t>
      </w:r>
    </w:p>
    <w:p w14:paraId="69E2FD95" w14:textId="340D42EA" w:rsidR="00610A97" w:rsidRPr="00161FBC" w:rsidRDefault="00610A97" w:rsidP="00610A97">
      <w:pPr>
        <w:rPr>
          <w:color w:val="767171"/>
        </w:rPr>
      </w:pPr>
      <w:r w:rsidRPr="00161FBC">
        <w:rPr>
          <w:color w:val="767171"/>
        </w:rPr>
        <w:t xml:space="preserve">En cumplimiento a lo establecido en el Pacto Nacional para la Reforma del Sector Eléctrico, en donde se determinó que La SIE es la encargada de monitorear los principales indicadores de desempeño del Sector, en el </w:t>
      </w:r>
      <w:r w:rsidR="00F2650B" w:rsidRPr="00161FBC">
        <w:rPr>
          <w:color w:val="767171"/>
        </w:rPr>
        <w:t>2024</w:t>
      </w:r>
      <w:r w:rsidRPr="00161FBC">
        <w:rPr>
          <w:color w:val="767171"/>
        </w:rPr>
        <w:t xml:space="preserve"> se emitieron los siguientes informes:</w:t>
      </w:r>
    </w:p>
    <w:p w14:paraId="0365975E" w14:textId="5A14F83A" w:rsidR="00610A97" w:rsidRPr="00161FBC" w:rsidRDefault="00610A97" w:rsidP="00AE6336">
      <w:pPr>
        <w:pStyle w:val="Prrafodelista"/>
        <w:numPr>
          <w:ilvl w:val="0"/>
          <w:numId w:val="12"/>
        </w:numPr>
        <w:rPr>
          <w:rFonts w:eastAsia="Calibri"/>
          <w:noProof/>
          <w:color w:val="767171"/>
        </w:rPr>
      </w:pPr>
      <w:r w:rsidRPr="00161FBC">
        <w:rPr>
          <w:rFonts w:eastAsia="Calibri"/>
          <w:noProof/>
          <w:color w:val="767171"/>
        </w:rPr>
        <w:t>Informe Técnico Monitoreo Indicadores De Desempeño Pacto Nacional Para La Reforma Del Sector Eléctrico, a diciembre 202</w:t>
      </w:r>
      <w:r w:rsidR="00B95485" w:rsidRPr="00161FBC">
        <w:rPr>
          <w:rFonts w:eastAsia="Calibri"/>
          <w:noProof/>
          <w:color w:val="767171"/>
        </w:rPr>
        <w:t>3</w:t>
      </w:r>
      <w:r w:rsidRPr="00161FBC">
        <w:rPr>
          <w:rFonts w:eastAsia="Calibri"/>
          <w:noProof/>
          <w:color w:val="767171"/>
        </w:rPr>
        <w:t>.</w:t>
      </w:r>
    </w:p>
    <w:p w14:paraId="6B6CA8BE" w14:textId="7E296DDD" w:rsidR="00610A97" w:rsidRPr="00161FBC" w:rsidRDefault="00610A97" w:rsidP="00AE6336">
      <w:pPr>
        <w:pStyle w:val="Prrafodelista"/>
        <w:numPr>
          <w:ilvl w:val="0"/>
          <w:numId w:val="12"/>
        </w:numPr>
        <w:rPr>
          <w:rFonts w:eastAsia="Calibri"/>
          <w:noProof/>
          <w:color w:val="767171"/>
        </w:rPr>
      </w:pPr>
      <w:r w:rsidRPr="00161FBC">
        <w:rPr>
          <w:rFonts w:eastAsia="Calibri"/>
          <w:noProof/>
          <w:color w:val="767171"/>
        </w:rPr>
        <w:t xml:space="preserve">Informe Técnico Monitoreo Indicadores De Desempeño Pacto Nacional Para La Reforma Del Sector Eléctrico, Trimestre enero -marzo </w:t>
      </w:r>
      <w:r w:rsidR="00F2650B" w:rsidRPr="00161FBC">
        <w:rPr>
          <w:rFonts w:eastAsia="Calibri"/>
          <w:noProof/>
          <w:color w:val="767171"/>
        </w:rPr>
        <w:t>2024</w:t>
      </w:r>
      <w:r w:rsidRPr="00161FBC">
        <w:rPr>
          <w:rFonts w:eastAsia="Calibri"/>
          <w:noProof/>
          <w:color w:val="767171"/>
        </w:rPr>
        <w:t>.</w:t>
      </w:r>
    </w:p>
    <w:p w14:paraId="429278AF" w14:textId="491216A4" w:rsidR="00610A97" w:rsidRPr="00161FBC" w:rsidRDefault="00610A97" w:rsidP="00AE6336">
      <w:pPr>
        <w:pStyle w:val="Prrafodelista"/>
        <w:numPr>
          <w:ilvl w:val="0"/>
          <w:numId w:val="12"/>
        </w:numPr>
        <w:rPr>
          <w:rFonts w:eastAsia="Calibri"/>
          <w:noProof/>
          <w:color w:val="767171"/>
        </w:rPr>
      </w:pPr>
      <w:r w:rsidRPr="00161FBC">
        <w:rPr>
          <w:rFonts w:eastAsia="Calibri"/>
          <w:noProof/>
          <w:color w:val="767171"/>
        </w:rPr>
        <w:t xml:space="preserve">Informe Técnico Monitoreo Indicadores De Desempeño Pacto Nacional Para La Reforma Del Sector Eléctrico, Trimestre abril -junio </w:t>
      </w:r>
      <w:r w:rsidR="00F2650B" w:rsidRPr="00161FBC">
        <w:rPr>
          <w:rFonts w:eastAsia="Calibri"/>
          <w:noProof/>
          <w:color w:val="767171"/>
        </w:rPr>
        <w:t>2024</w:t>
      </w:r>
      <w:r w:rsidRPr="00161FBC">
        <w:rPr>
          <w:rFonts w:eastAsia="Calibri"/>
          <w:noProof/>
          <w:color w:val="767171"/>
        </w:rPr>
        <w:t>.</w:t>
      </w:r>
    </w:p>
    <w:p w14:paraId="621D82BF" w14:textId="2A7CCC39" w:rsidR="00610A97" w:rsidRPr="00161FBC" w:rsidRDefault="00610A97" w:rsidP="00AE6336">
      <w:pPr>
        <w:pStyle w:val="Prrafodelista"/>
        <w:numPr>
          <w:ilvl w:val="0"/>
          <w:numId w:val="12"/>
        </w:numPr>
        <w:rPr>
          <w:rFonts w:eastAsia="Calibri"/>
          <w:noProof/>
          <w:color w:val="767171"/>
        </w:rPr>
      </w:pPr>
      <w:r w:rsidRPr="00161FBC">
        <w:rPr>
          <w:rFonts w:eastAsia="Calibri"/>
          <w:noProof/>
          <w:color w:val="767171"/>
        </w:rPr>
        <w:t xml:space="preserve">Informe Técnico Monitoreo Indicadores De Desempeño Pacto Nacional Para La Reforma Del Sector Eléctrico, Trimestre julio - septiembre </w:t>
      </w:r>
      <w:r w:rsidR="00F2650B" w:rsidRPr="00161FBC">
        <w:rPr>
          <w:rFonts w:eastAsia="Calibri"/>
          <w:noProof/>
          <w:color w:val="767171"/>
        </w:rPr>
        <w:t>2024</w:t>
      </w:r>
      <w:r w:rsidRPr="00161FBC">
        <w:rPr>
          <w:rFonts w:eastAsia="Calibri"/>
          <w:noProof/>
          <w:color w:val="767171"/>
        </w:rPr>
        <w:t>.</w:t>
      </w:r>
    </w:p>
    <w:p w14:paraId="451EBD62" w14:textId="77777777" w:rsidR="00B95485" w:rsidRPr="00161FBC" w:rsidRDefault="00B95485" w:rsidP="00B95485">
      <w:pPr>
        <w:rPr>
          <w:rFonts w:eastAsia="Calibri"/>
          <w:noProof/>
          <w:color w:val="767171"/>
        </w:rPr>
      </w:pPr>
      <w:r w:rsidRPr="00161FBC">
        <w:rPr>
          <w:rFonts w:eastAsia="Calibri"/>
          <w:b/>
          <w:bCs/>
          <w:noProof/>
          <w:color w:val="767171"/>
        </w:rPr>
        <w:t xml:space="preserve">Análisis de Impacto Regulatorio (AIR) </w:t>
      </w:r>
      <w:r w:rsidRPr="00161FBC">
        <w:rPr>
          <w:rFonts w:eastAsia="Calibri"/>
          <w:noProof/>
          <w:color w:val="767171"/>
        </w:rPr>
        <w:t>es una herramienta que ayuda a evaluar problemas públicos y a tomar decisiones basadas en evidencia. Durante 2024 se elaboraron los siguientes informes para propuestas regulatorias:</w:t>
      </w:r>
    </w:p>
    <w:p w14:paraId="475422A1" w14:textId="77777777" w:rsidR="00B95485" w:rsidRPr="00161FBC" w:rsidRDefault="00B95485" w:rsidP="00AE6336">
      <w:pPr>
        <w:pStyle w:val="Prrafodelista"/>
        <w:numPr>
          <w:ilvl w:val="0"/>
          <w:numId w:val="12"/>
        </w:numPr>
        <w:rPr>
          <w:rFonts w:eastAsia="Calibri"/>
          <w:noProof/>
          <w:color w:val="767171"/>
        </w:rPr>
      </w:pPr>
      <w:r w:rsidRPr="00161FBC">
        <w:rPr>
          <w:rFonts w:eastAsia="Calibri"/>
          <w:noProof/>
          <w:color w:val="767171"/>
        </w:rPr>
        <w:t>AIR Ex Ante del Reglamento Técnico de Alumbrado Público.</w:t>
      </w:r>
    </w:p>
    <w:p w14:paraId="01C16604" w14:textId="77777777" w:rsidR="00B95485" w:rsidRPr="00161FBC" w:rsidRDefault="00B95485" w:rsidP="00AE6336">
      <w:pPr>
        <w:pStyle w:val="Prrafodelista"/>
        <w:numPr>
          <w:ilvl w:val="0"/>
          <w:numId w:val="12"/>
        </w:numPr>
        <w:rPr>
          <w:rFonts w:eastAsia="Calibri"/>
          <w:noProof/>
          <w:color w:val="767171"/>
        </w:rPr>
      </w:pPr>
      <w:r w:rsidRPr="00161FBC">
        <w:rPr>
          <w:rFonts w:eastAsia="Calibri"/>
          <w:noProof/>
          <w:color w:val="767171"/>
        </w:rPr>
        <w:t>AIR Ex Ante del Reglamento para el Diseño y Construcción de Redes Soterradas.</w:t>
      </w:r>
    </w:p>
    <w:p w14:paraId="73734DAA" w14:textId="77777777" w:rsidR="00B95485" w:rsidRPr="00161FBC" w:rsidRDefault="00B95485" w:rsidP="00AE6336">
      <w:pPr>
        <w:pStyle w:val="Prrafodelista"/>
        <w:numPr>
          <w:ilvl w:val="0"/>
          <w:numId w:val="12"/>
        </w:numPr>
        <w:rPr>
          <w:rFonts w:eastAsia="Calibri"/>
          <w:noProof/>
          <w:color w:val="767171"/>
        </w:rPr>
      </w:pPr>
      <w:r w:rsidRPr="00161FBC">
        <w:rPr>
          <w:rFonts w:eastAsia="Calibri"/>
          <w:noProof/>
          <w:color w:val="767171"/>
        </w:rPr>
        <w:t>AIR Ex Ante del Código Eléctrico Nacional.</w:t>
      </w:r>
    </w:p>
    <w:p w14:paraId="29776507" w14:textId="77777777" w:rsidR="00B95485" w:rsidRPr="00161FBC" w:rsidRDefault="00B95485" w:rsidP="00AE6336">
      <w:pPr>
        <w:pStyle w:val="Prrafodelista"/>
        <w:numPr>
          <w:ilvl w:val="0"/>
          <w:numId w:val="12"/>
        </w:numPr>
        <w:rPr>
          <w:rFonts w:eastAsia="Calibri"/>
          <w:noProof/>
          <w:color w:val="767171"/>
        </w:rPr>
      </w:pPr>
      <w:r w:rsidRPr="00161FBC">
        <w:rPr>
          <w:rFonts w:eastAsia="Calibri"/>
          <w:noProof/>
          <w:color w:val="767171"/>
        </w:rPr>
        <w:t>AIR Ex Ante de la Tabla Homologada de Consumo de Equipos Eléctricos (THCEP).</w:t>
      </w:r>
    </w:p>
    <w:p w14:paraId="25F55874" w14:textId="014357B2" w:rsidR="00386A14" w:rsidRDefault="00B95485" w:rsidP="00B95485">
      <w:pPr>
        <w:rPr>
          <w:rFonts w:eastAsia="Calibri"/>
          <w:noProof/>
          <w:color w:val="767171"/>
        </w:rPr>
      </w:pPr>
      <w:r w:rsidRPr="00386A14">
        <w:rPr>
          <w:rFonts w:eastAsia="Calibri"/>
          <w:noProof/>
          <w:color w:val="767171"/>
        </w:rPr>
        <w:t>Evaluación de activos eléctricos: Se realizaron informes para la evaluación de activos eléctricos de las empresas El Progreso del Limón (EPDL), Compañía Luz y Fuerza de Las Terrenas (CLFLT) y Puerto Plata Electricidad (PPE), como parte del proceso de determinación del Valor Agregado de Distribución (VAD) utilizado en el cálculo tarifario.</w:t>
      </w:r>
    </w:p>
    <w:p w14:paraId="0F880AF4" w14:textId="77777777" w:rsidR="00386A14" w:rsidRDefault="00386A14">
      <w:pPr>
        <w:spacing w:line="259" w:lineRule="auto"/>
        <w:jc w:val="left"/>
        <w:rPr>
          <w:rFonts w:eastAsia="Calibri"/>
          <w:noProof/>
          <w:color w:val="767171"/>
        </w:rPr>
      </w:pPr>
      <w:r>
        <w:rPr>
          <w:rFonts w:eastAsia="Calibri"/>
          <w:noProof/>
          <w:color w:val="767171"/>
        </w:rPr>
        <w:br w:type="page"/>
      </w:r>
    </w:p>
    <w:p w14:paraId="0A9EAEE2" w14:textId="746CB051" w:rsidR="00456569" w:rsidRPr="00161FBC" w:rsidRDefault="00461FB2" w:rsidP="00456569">
      <w:pPr>
        <w:rPr>
          <w:b/>
          <w:bCs/>
          <w:color w:val="767171"/>
        </w:rPr>
      </w:pPr>
      <w:r w:rsidRPr="00161FBC">
        <w:rPr>
          <w:b/>
          <w:bCs/>
          <w:color w:val="767171"/>
        </w:rPr>
        <w:lastRenderedPageBreak/>
        <w:t>Determinación de las tarifas del servicio eléctrico y peajes</w:t>
      </w:r>
    </w:p>
    <w:p w14:paraId="6E36C1ED" w14:textId="429FD2E1" w:rsidR="00461FB2" w:rsidRPr="00161FBC" w:rsidRDefault="00461FB2" w:rsidP="00456569">
      <w:pPr>
        <w:rPr>
          <w:color w:val="767171"/>
        </w:rPr>
      </w:pPr>
      <w:r w:rsidRPr="00161FBC">
        <w:rPr>
          <w:color w:val="767171"/>
        </w:rPr>
        <w:t xml:space="preserve">En cuanto a la determinación y fijación de las tarifas a aplicar a usuarios regulados servidos por las Empresas Distribuidoras, ser llevaron a cabo las siguientes ejecutorias: </w:t>
      </w:r>
    </w:p>
    <w:p w14:paraId="5447B513" w14:textId="4C2DBA79" w:rsidR="00461FB2" w:rsidRPr="00161FBC" w:rsidRDefault="00461FB2" w:rsidP="006119A9">
      <w:pPr>
        <w:rPr>
          <w:color w:val="767171"/>
        </w:rPr>
      </w:pPr>
      <w:r w:rsidRPr="00161FBC">
        <w:rPr>
          <w:color w:val="767171"/>
        </w:rPr>
        <w:t>Cuarenta (40) Resoluciones de Tarifas emitidas, a ser aplicadas a los usuarios regulados del servicio público de distribución de electricidad (</w:t>
      </w:r>
      <w:proofErr w:type="spellStart"/>
      <w:r w:rsidRPr="00161FBC">
        <w:rPr>
          <w:color w:val="767171"/>
        </w:rPr>
        <w:t>PPE</w:t>
      </w:r>
      <w:proofErr w:type="spellEnd"/>
      <w:r w:rsidRPr="00161FBC">
        <w:rPr>
          <w:color w:val="767171"/>
        </w:rPr>
        <w:t xml:space="preserve">, </w:t>
      </w:r>
      <w:proofErr w:type="spellStart"/>
      <w:r w:rsidRPr="00161FBC">
        <w:rPr>
          <w:color w:val="767171"/>
        </w:rPr>
        <w:t>EDEs</w:t>
      </w:r>
      <w:proofErr w:type="spellEnd"/>
      <w:r w:rsidRPr="00161FBC">
        <w:rPr>
          <w:color w:val="767171"/>
        </w:rPr>
        <w:t xml:space="preserve">, </w:t>
      </w:r>
      <w:proofErr w:type="spellStart"/>
      <w:r w:rsidRPr="00161FBC">
        <w:rPr>
          <w:color w:val="767171"/>
        </w:rPr>
        <w:t>EPDL</w:t>
      </w:r>
      <w:proofErr w:type="spellEnd"/>
      <w:r w:rsidRPr="00161FBC">
        <w:rPr>
          <w:color w:val="767171"/>
        </w:rPr>
        <w:t xml:space="preserve">, </w:t>
      </w:r>
      <w:proofErr w:type="spellStart"/>
      <w:r w:rsidRPr="00161FBC">
        <w:rPr>
          <w:color w:val="767171"/>
        </w:rPr>
        <w:t>CLFLT</w:t>
      </w:r>
      <w:proofErr w:type="spellEnd"/>
      <w:r w:rsidRPr="00161FBC">
        <w:rPr>
          <w:color w:val="767171"/>
        </w:rPr>
        <w:t>).</w:t>
      </w:r>
    </w:p>
    <w:p w14:paraId="042B44ED" w14:textId="293E3F7E" w:rsidR="00C14F40" w:rsidRPr="00161FBC" w:rsidRDefault="00F26FBB" w:rsidP="006119A9">
      <w:pPr>
        <w:rPr>
          <w:color w:val="767171"/>
        </w:rPr>
      </w:pPr>
      <w:r w:rsidRPr="00161FBC">
        <w:rPr>
          <w:color w:val="767171"/>
        </w:rPr>
        <w:t>Cuatro</w:t>
      </w:r>
      <w:r w:rsidR="00461FB2" w:rsidRPr="00161FBC">
        <w:rPr>
          <w:color w:val="767171"/>
        </w:rPr>
        <w:t xml:space="preserve"> (</w:t>
      </w:r>
      <w:r w:rsidR="00B95485" w:rsidRPr="00161FBC">
        <w:rPr>
          <w:color w:val="767171"/>
        </w:rPr>
        <w:t>4</w:t>
      </w:r>
      <w:r w:rsidR="00461FB2" w:rsidRPr="00161FBC">
        <w:rPr>
          <w:color w:val="767171"/>
        </w:rPr>
        <w:t>) Resoluciones de Tarifas emitidas, Aplicables a las Estaciones de Recarga de Vehículos Eléctricos.</w:t>
      </w:r>
      <w:r w:rsidR="00F6439D" w:rsidRPr="00161FBC">
        <w:rPr>
          <w:color w:val="767171"/>
        </w:rPr>
        <w:t>0</w:t>
      </w:r>
    </w:p>
    <w:p w14:paraId="4FD928FA" w14:textId="77777777" w:rsidR="00C14F40" w:rsidRPr="00161FBC" w:rsidRDefault="00C14F40" w:rsidP="006119A9">
      <w:pPr>
        <w:rPr>
          <w:color w:val="767171"/>
        </w:rPr>
      </w:pPr>
      <w:r w:rsidRPr="00161FBC">
        <w:rPr>
          <w:color w:val="767171"/>
        </w:rPr>
        <w:t xml:space="preserve">Estudios presentados en consulta pública para </w:t>
      </w:r>
      <w:proofErr w:type="spellStart"/>
      <w:r w:rsidRPr="00161FBC">
        <w:rPr>
          <w:color w:val="767171"/>
        </w:rPr>
        <w:t>PPE</w:t>
      </w:r>
      <w:proofErr w:type="spellEnd"/>
      <w:r w:rsidRPr="00161FBC">
        <w:rPr>
          <w:color w:val="767171"/>
        </w:rPr>
        <w:t xml:space="preserve">, </w:t>
      </w:r>
      <w:proofErr w:type="spellStart"/>
      <w:r w:rsidRPr="00161FBC">
        <w:rPr>
          <w:color w:val="767171"/>
        </w:rPr>
        <w:t>CLFLT</w:t>
      </w:r>
      <w:proofErr w:type="spellEnd"/>
      <w:r w:rsidRPr="00161FBC">
        <w:rPr>
          <w:color w:val="767171"/>
        </w:rPr>
        <w:t xml:space="preserve"> y </w:t>
      </w:r>
      <w:proofErr w:type="spellStart"/>
      <w:r w:rsidRPr="00161FBC">
        <w:rPr>
          <w:color w:val="767171"/>
        </w:rPr>
        <w:t>EPDL</w:t>
      </w:r>
      <w:proofErr w:type="spellEnd"/>
      <w:r w:rsidRPr="00161FBC">
        <w:rPr>
          <w:color w:val="767171"/>
        </w:rPr>
        <w:t>, con análisis de impacto tarifario considerando observaciones recibidas.</w:t>
      </w:r>
    </w:p>
    <w:p w14:paraId="70A4FED0" w14:textId="2E8E775B" w:rsidR="00C14F40" w:rsidRPr="00161FBC" w:rsidRDefault="00C14F40" w:rsidP="006119A9">
      <w:pPr>
        <w:rPr>
          <w:color w:val="767171"/>
        </w:rPr>
      </w:pPr>
      <w:r w:rsidRPr="00161FBC">
        <w:rPr>
          <w:color w:val="767171"/>
        </w:rPr>
        <w:t>Desarrollo de la metodología de cálculo de tarifas de peaje para usuarios no regulados (UNR).</w:t>
      </w:r>
    </w:p>
    <w:p w14:paraId="11F8CE0F" w14:textId="77777777" w:rsidR="00EC25EB" w:rsidRPr="00161FBC" w:rsidRDefault="00EC25EB" w:rsidP="006119A9">
      <w:pPr>
        <w:rPr>
          <w:color w:val="767171"/>
        </w:rPr>
      </w:pPr>
      <w:r w:rsidRPr="00161FBC">
        <w:rPr>
          <w:color w:val="767171"/>
        </w:rPr>
        <w:t>Conclusión de consultoría sobre “</w:t>
      </w:r>
      <w:r w:rsidR="00461FB2" w:rsidRPr="00161FBC">
        <w:rPr>
          <w:color w:val="767171"/>
        </w:rPr>
        <w:t>Determinación Peajes Distribución y Tarifas Suministro Energía Eléctrica</w:t>
      </w:r>
      <w:r w:rsidRPr="00161FBC">
        <w:rPr>
          <w:color w:val="767171"/>
        </w:rPr>
        <w:t>”</w:t>
      </w:r>
      <w:r w:rsidR="00461FB2" w:rsidRPr="00161FBC">
        <w:rPr>
          <w:color w:val="767171"/>
        </w:rPr>
        <w:t xml:space="preserve"> a Clientes Regulados para las Concesiones de Distribución de: Consorcio Energético Punta Cana – Macao; Compañía de Electricidad de </w:t>
      </w:r>
      <w:proofErr w:type="spellStart"/>
      <w:r w:rsidR="00461FB2" w:rsidRPr="00161FBC">
        <w:rPr>
          <w:color w:val="767171"/>
        </w:rPr>
        <w:t>Bayahíbe</w:t>
      </w:r>
      <w:proofErr w:type="spellEnd"/>
      <w:r w:rsidR="00461FB2" w:rsidRPr="00161FBC">
        <w:rPr>
          <w:color w:val="767171"/>
        </w:rPr>
        <w:t xml:space="preserve">; Corporación Turística y Servicios Punta Cana; </w:t>
      </w:r>
      <w:proofErr w:type="spellStart"/>
      <w:r w:rsidR="00461FB2" w:rsidRPr="00161FBC">
        <w:rPr>
          <w:color w:val="767171"/>
        </w:rPr>
        <w:t>Cap</w:t>
      </w:r>
      <w:proofErr w:type="spellEnd"/>
      <w:r w:rsidR="00461FB2" w:rsidRPr="00161FBC">
        <w:rPr>
          <w:color w:val="767171"/>
        </w:rPr>
        <w:t xml:space="preserve"> Cana Caribe; y </w:t>
      </w:r>
      <w:proofErr w:type="spellStart"/>
      <w:r w:rsidR="00461FB2" w:rsidRPr="00161FBC">
        <w:rPr>
          <w:color w:val="767171"/>
        </w:rPr>
        <w:t>Costasur</w:t>
      </w:r>
      <w:proofErr w:type="spellEnd"/>
      <w:r w:rsidR="00461FB2" w:rsidRPr="00161FBC">
        <w:rPr>
          <w:color w:val="767171"/>
        </w:rPr>
        <w:t xml:space="preserve"> </w:t>
      </w:r>
      <w:proofErr w:type="gramStart"/>
      <w:r w:rsidR="00461FB2" w:rsidRPr="00161FBC">
        <w:rPr>
          <w:color w:val="767171"/>
        </w:rPr>
        <w:t>Dominicana</w:t>
      </w:r>
      <w:proofErr w:type="gramEnd"/>
      <w:r w:rsidR="00461FB2" w:rsidRPr="00161FBC">
        <w:rPr>
          <w:color w:val="767171"/>
        </w:rPr>
        <w:t>”.</w:t>
      </w:r>
    </w:p>
    <w:p w14:paraId="639FAA3F" w14:textId="4C36F690" w:rsidR="00C14F40" w:rsidRPr="00161FBC" w:rsidRDefault="00FF1A62" w:rsidP="006119A9">
      <w:pPr>
        <w:rPr>
          <w:color w:val="767171"/>
        </w:rPr>
      </w:pPr>
      <w:r w:rsidRPr="00161FBC">
        <w:rPr>
          <w:color w:val="767171"/>
        </w:rPr>
        <w:t xml:space="preserve">Informes sobre el reconocimiento de déficit tarifario de la empresa El Progreso del </w:t>
      </w:r>
      <w:r w:rsidR="00533DCA" w:rsidRPr="00161FBC">
        <w:rPr>
          <w:color w:val="767171"/>
        </w:rPr>
        <w:t>Limón</w:t>
      </w:r>
      <w:r w:rsidRPr="00161FBC">
        <w:rPr>
          <w:color w:val="767171"/>
        </w:rPr>
        <w:t xml:space="preserve">, </w:t>
      </w:r>
      <w:proofErr w:type="spellStart"/>
      <w:r w:rsidRPr="00161FBC">
        <w:rPr>
          <w:color w:val="767171"/>
        </w:rPr>
        <w:t>S.R.L</w:t>
      </w:r>
      <w:proofErr w:type="spellEnd"/>
      <w:r w:rsidR="00EC25EB" w:rsidRPr="00161FBC">
        <w:rPr>
          <w:color w:val="767171"/>
        </w:rPr>
        <w:t xml:space="preserve"> (</w:t>
      </w:r>
      <w:proofErr w:type="spellStart"/>
      <w:r w:rsidR="00EC25EB" w:rsidRPr="00161FBC">
        <w:rPr>
          <w:color w:val="767171"/>
        </w:rPr>
        <w:t>EDPL</w:t>
      </w:r>
      <w:proofErr w:type="spellEnd"/>
      <w:r w:rsidR="00EC25EB" w:rsidRPr="00161FBC">
        <w:rPr>
          <w:color w:val="767171"/>
        </w:rPr>
        <w:t>)</w:t>
      </w:r>
      <w:r w:rsidRPr="00161FBC">
        <w:rPr>
          <w:color w:val="767171"/>
        </w:rPr>
        <w:t>, en conjunto con el Ministerio de Hacienda.</w:t>
      </w:r>
    </w:p>
    <w:p w14:paraId="1CA74574" w14:textId="0B543126" w:rsidR="00BC5F4A" w:rsidRPr="00161FBC" w:rsidRDefault="00C9635A" w:rsidP="006119A9">
      <w:pPr>
        <w:spacing w:after="200"/>
        <w:rPr>
          <w:color w:val="767171"/>
        </w:rPr>
      </w:pPr>
      <w:r w:rsidRPr="00161FBC">
        <w:rPr>
          <w:color w:val="767171"/>
        </w:rPr>
        <w:t>Elaboración Términos de referencia para el estudio Estrategia de Redes Inteligentes en la República Dominicana.</w:t>
      </w:r>
    </w:p>
    <w:p w14:paraId="68A582A8" w14:textId="01C8297C" w:rsidR="00F26FBB" w:rsidRPr="00161FBC" w:rsidRDefault="00F26FBB" w:rsidP="008A1A95">
      <w:pPr>
        <w:spacing w:after="200"/>
        <w:rPr>
          <w:color w:val="767171"/>
        </w:rPr>
      </w:pPr>
      <w:r w:rsidRPr="00161FBC">
        <w:rPr>
          <w:color w:val="767171"/>
        </w:rPr>
        <w:t>Elaboración de Informes Análisis de Impacto Regulatorio, conforme Procedimiento de Audiencia P</w:t>
      </w:r>
      <w:r w:rsidR="000D3426" w:rsidRPr="00161FBC">
        <w:rPr>
          <w:color w:val="767171"/>
        </w:rPr>
        <w:t>ú</w:t>
      </w:r>
      <w:r w:rsidRPr="00161FBC">
        <w:rPr>
          <w:color w:val="767171"/>
        </w:rPr>
        <w:t>blica establecido del Ministerio Administración Pública (</w:t>
      </w:r>
      <w:proofErr w:type="spellStart"/>
      <w:r w:rsidRPr="00161FBC">
        <w:rPr>
          <w:color w:val="767171"/>
        </w:rPr>
        <w:t>MAP</w:t>
      </w:r>
      <w:proofErr w:type="spellEnd"/>
      <w:r w:rsidRPr="00161FBC">
        <w:rPr>
          <w:color w:val="767171"/>
        </w:rPr>
        <w:t>), para Determinación de Peajes de Distribución y Tarifas Suministro Energía Eléctrica a Clientes Regulados de la Empresas de Distribución:</w:t>
      </w:r>
    </w:p>
    <w:p w14:paraId="30925195" w14:textId="77777777" w:rsidR="00F26FBB" w:rsidRPr="00161FBC" w:rsidRDefault="00F26FBB" w:rsidP="00A40D5A">
      <w:pPr>
        <w:pStyle w:val="Prrafodelista"/>
        <w:numPr>
          <w:ilvl w:val="0"/>
          <w:numId w:val="13"/>
        </w:numPr>
        <w:spacing w:after="200"/>
        <w:rPr>
          <w:color w:val="767171"/>
        </w:rPr>
      </w:pPr>
      <w:r w:rsidRPr="00161FBC">
        <w:rPr>
          <w:color w:val="767171"/>
        </w:rPr>
        <w:t>Puerto Plata Electricidad,</w:t>
      </w:r>
    </w:p>
    <w:p w14:paraId="78507FD7" w14:textId="77777777" w:rsidR="00F26FBB" w:rsidRPr="00161FBC" w:rsidRDefault="00F26FBB" w:rsidP="00A40D5A">
      <w:pPr>
        <w:pStyle w:val="Prrafodelista"/>
        <w:numPr>
          <w:ilvl w:val="0"/>
          <w:numId w:val="13"/>
        </w:numPr>
        <w:spacing w:after="200"/>
        <w:rPr>
          <w:color w:val="767171"/>
        </w:rPr>
      </w:pPr>
      <w:r w:rsidRPr="00161FBC">
        <w:rPr>
          <w:color w:val="767171"/>
        </w:rPr>
        <w:t>Compañía Luz y Fuerza de Las Terrenas</w:t>
      </w:r>
    </w:p>
    <w:p w14:paraId="43455C95" w14:textId="77777777" w:rsidR="00F26FBB" w:rsidRPr="00161FBC" w:rsidRDefault="00F26FBB" w:rsidP="00A40D5A">
      <w:pPr>
        <w:pStyle w:val="Prrafodelista"/>
        <w:numPr>
          <w:ilvl w:val="0"/>
          <w:numId w:val="13"/>
        </w:numPr>
        <w:spacing w:after="200"/>
        <w:rPr>
          <w:color w:val="767171"/>
        </w:rPr>
      </w:pPr>
      <w:r w:rsidRPr="00161FBC">
        <w:rPr>
          <w:color w:val="767171"/>
        </w:rPr>
        <w:t xml:space="preserve">El Progreso del Limón </w:t>
      </w:r>
    </w:p>
    <w:p w14:paraId="09210945" w14:textId="286F306B" w:rsidR="00F26FBB" w:rsidRPr="00161FBC" w:rsidRDefault="00F26FBB" w:rsidP="00A40D5A">
      <w:pPr>
        <w:pStyle w:val="Prrafodelista"/>
        <w:numPr>
          <w:ilvl w:val="0"/>
          <w:numId w:val="13"/>
        </w:numPr>
        <w:spacing w:after="200"/>
        <w:rPr>
          <w:color w:val="767171"/>
        </w:rPr>
      </w:pPr>
      <w:r w:rsidRPr="00161FBC">
        <w:rPr>
          <w:color w:val="767171"/>
        </w:rPr>
        <w:t>Determinación de la Tarifa Técnica y Ajuste de la Tarifa de Referencia para la Empresa Distribuidora de Electricidad del Norte S.A. (</w:t>
      </w:r>
      <w:proofErr w:type="spellStart"/>
      <w:r w:rsidRPr="00161FBC">
        <w:rPr>
          <w:color w:val="767171"/>
        </w:rPr>
        <w:t>EDENORTE</w:t>
      </w:r>
      <w:proofErr w:type="spellEnd"/>
      <w:r w:rsidRPr="00161FBC">
        <w:rPr>
          <w:color w:val="767171"/>
        </w:rPr>
        <w:t xml:space="preserve"> DOMINICANA S.A.), Edesur Dominicana, S.A. y Empresa Distribuidora de Electricidad del Este, S.A. (</w:t>
      </w:r>
      <w:proofErr w:type="spellStart"/>
      <w:r w:rsidRPr="00161FBC">
        <w:rPr>
          <w:color w:val="767171"/>
        </w:rPr>
        <w:t>EDEESTE</w:t>
      </w:r>
      <w:proofErr w:type="spellEnd"/>
      <w:r w:rsidRPr="00161FBC">
        <w:rPr>
          <w:color w:val="767171"/>
        </w:rPr>
        <w:t>)¨</w:t>
      </w:r>
    </w:p>
    <w:p w14:paraId="4FFEAE88" w14:textId="77777777" w:rsidR="00F26FBB" w:rsidRPr="00161FBC" w:rsidRDefault="00F26FBB" w:rsidP="008A1A95">
      <w:pPr>
        <w:spacing w:after="0"/>
        <w:rPr>
          <w:rFonts w:eastAsia="Calibri"/>
          <w:noProof/>
          <w:color w:val="767171"/>
        </w:rPr>
      </w:pPr>
      <w:r w:rsidRPr="00161FBC">
        <w:rPr>
          <w:b/>
          <w:bCs/>
          <w:color w:val="767171"/>
        </w:rPr>
        <w:t>Actividades desarrolladas con relación a Asuntos Económicos Regulatorios</w:t>
      </w:r>
    </w:p>
    <w:p w14:paraId="0ED852B9" w14:textId="03B746D9" w:rsidR="00F26FBB" w:rsidRPr="00161FBC" w:rsidRDefault="00F26FBB" w:rsidP="008A1A95">
      <w:pPr>
        <w:spacing w:after="0"/>
        <w:rPr>
          <w:color w:val="767171"/>
        </w:rPr>
      </w:pPr>
      <w:r w:rsidRPr="00161FBC">
        <w:rPr>
          <w:color w:val="767171"/>
        </w:rPr>
        <w:t xml:space="preserve">La SIE desarrolla actividades relacionadas al monitoreo y análisis de diversas variables económicas relacionadas al sector eléctrico, así como el estudio del </w:t>
      </w:r>
      <w:r w:rsidRPr="00161FBC">
        <w:rPr>
          <w:color w:val="767171"/>
        </w:rPr>
        <w:lastRenderedPageBreak/>
        <w:t xml:space="preserve">impacto económico de las medidas regulatorias que se proponen para este sector; En esta línea a continuación se mencionan las actividades ejecutadas </w:t>
      </w:r>
      <w:r w:rsidR="000B1B78">
        <w:rPr>
          <w:color w:val="767171"/>
        </w:rPr>
        <w:t>en el 2024:</w:t>
      </w:r>
    </w:p>
    <w:p w14:paraId="1BEA3809" w14:textId="3EA0D200" w:rsidR="00F26FBB" w:rsidRPr="00161FBC" w:rsidRDefault="00FB5963" w:rsidP="008A1A95">
      <w:pPr>
        <w:spacing w:after="0"/>
        <w:rPr>
          <w:color w:val="767171"/>
        </w:rPr>
      </w:pPr>
      <w:r w:rsidRPr="00161FBC">
        <w:rPr>
          <w:color w:val="767171"/>
        </w:rPr>
        <w:t xml:space="preserve">Conforme a lo establecido en el punto 5.2.1, sobre “Emitir una normativa mediante resolución que permita a las empresas distribuidoras subcontratar la actividad de comercialización”, la SIE </w:t>
      </w:r>
      <w:r w:rsidR="008652A9" w:rsidRPr="00161FBC">
        <w:rPr>
          <w:color w:val="767171"/>
        </w:rPr>
        <w:t xml:space="preserve">completó el diseño de los </w:t>
      </w:r>
      <w:r w:rsidR="008652A9" w:rsidRPr="00161FBC">
        <w:rPr>
          <w:rStyle w:val="Textoennegrita"/>
          <w:b w:val="0"/>
          <w:bCs w:val="0"/>
          <w:color w:val="767171"/>
        </w:rPr>
        <w:t>Términos de Referencia (TDR)</w:t>
      </w:r>
      <w:r w:rsidR="008652A9" w:rsidRPr="00161FBC">
        <w:rPr>
          <w:color w:val="767171"/>
        </w:rPr>
        <w:t xml:space="preserve"> para la contratación de una consultoría que evalúe las alternativas regulatorias recomendadas, en línea con el marco legal vigente. Como parte de las actividades relacionadas, se convocaron reuniones con diversas entidades del sector para identificar expectativas y coordinar acciones futuras.</w:t>
      </w:r>
    </w:p>
    <w:p w14:paraId="1F484B8E" w14:textId="63E7A292" w:rsidR="002C4905" w:rsidRPr="00161FBC" w:rsidRDefault="00FB5963" w:rsidP="008A1A95">
      <w:pPr>
        <w:spacing w:after="0"/>
        <w:rPr>
          <w:rFonts w:eastAsia="Calibri"/>
          <w:noProof/>
          <w:color w:val="767171"/>
        </w:rPr>
      </w:pPr>
      <w:r w:rsidRPr="00161FBC">
        <w:rPr>
          <w:color w:val="767171"/>
        </w:rPr>
        <w:t>Conforme a lo establecido en el punto 9.6.2, del Pacto Eléctrico, s</w:t>
      </w:r>
      <w:r w:rsidR="00F26FBB" w:rsidRPr="00161FBC">
        <w:rPr>
          <w:color w:val="767171"/>
        </w:rPr>
        <w:t>e desarroll</w:t>
      </w:r>
      <w:r w:rsidRPr="00161FBC">
        <w:rPr>
          <w:color w:val="767171"/>
        </w:rPr>
        <w:t>ó la propuesta para</w:t>
      </w:r>
      <w:r w:rsidR="00F26FBB" w:rsidRPr="00161FBC">
        <w:rPr>
          <w:color w:val="767171"/>
        </w:rPr>
        <w:t xml:space="preserve"> el estudio </w:t>
      </w:r>
      <w:r w:rsidRPr="00161FBC">
        <w:rPr>
          <w:color w:val="767171"/>
        </w:rPr>
        <w:t>de</w:t>
      </w:r>
      <w:r w:rsidR="00F26FBB" w:rsidRPr="00161FBC">
        <w:rPr>
          <w:color w:val="767171"/>
        </w:rPr>
        <w:t xml:space="preserve"> evaluar la viabilidad técnica de la transferencia de los activos de transmisión 69kV a las </w:t>
      </w:r>
      <w:proofErr w:type="spellStart"/>
      <w:r w:rsidR="00F26FBB" w:rsidRPr="00161FBC">
        <w:rPr>
          <w:color w:val="767171"/>
        </w:rPr>
        <w:t>EDES</w:t>
      </w:r>
      <w:proofErr w:type="spellEnd"/>
      <w:r w:rsidR="00F26FBB" w:rsidRPr="00161FBC">
        <w:rPr>
          <w:color w:val="767171"/>
        </w:rPr>
        <w:t xml:space="preserve">. </w:t>
      </w:r>
      <w:r w:rsidRPr="00161FBC">
        <w:rPr>
          <w:color w:val="767171"/>
        </w:rPr>
        <w:t>A noviembre del 2024, se realizó la convocatoria a las partes interesadas, para garantizar una visión integral en la propuesta final.</w:t>
      </w:r>
      <w:bookmarkEnd w:id="15"/>
    </w:p>
    <w:p w14:paraId="41CD6F1C" w14:textId="2C4D52FA" w:rsidR="00445799" w:rsidRPr="00161FBC" w:rsidRDefault="00895359" w:rsidP="00EB4CC7">
      <w:pPr>
        <w:jc w:val="left"/>
        <w:rPr>
          <w:b/>
          <w:bCs/>
          <w:color w:val="767171"/>
        </w:rPr>
      </w:pPr>
      <w:r w:rsidRPr="00161FBC">
        <w:rPr>
          <w:b/>
          <w:bCs/>
          <w:color w:val="767171"/>
        </w:rPr>
        <w:t>Fiscalización Del Mercado Eléctrico Minorista</w:t>
      </w:r>
    </w:p>
    <w:p w14:paraId="51800A82" w14:textId="77777777" w:rsidR="00392BC1" w:rsidRPr="00161FBC" w:rsidRDefault="00392BC1" w:rsidP="008A1A95">
      <w:pPr>
        <w:rPr>
          <w:color w:val="767171"/>
        </w:rPr>
      </w:pPr>
      <w:bookmarkStart w:id="18" w:name="_Toc152111954"/>
      <w:r w:rsidRPr="00161FBC">
        <w:rPr>
          <w:color w:val="767171"/>
        </w:rPr>
        <w:t>La Superintendencia de Electricidad a través de la Dirección de Fiscalización del Mercado Eléctrico Minorista (</w:t>
      </w:r>
      <w:proofErr w:type="spellStart"/>
      <w:r w:rsidRPr="00161FBC">
        <w:rPr>
          <w:color w:val="767171"/>
        </w:rPr>
        <w:t>DFMEMI</w:t>
      </w:r>
      <w:proofErr w:type="spellEnd"/>
      <w:r w:rsidRPr="00161FBC">
        <w:rPr>
          <w:color w:val="767171"/>
        </w:rPr>
        <w:t>), tiene la responsabilidad de asegurar la integridad y transparencia en el subsector distribución y comercialización. Según lo establecido en el artículo 24 de la Ley General de Electricidad 125-01, dentro de las funciones y atribuciones de la SIE se encuentran:</w:t>
      </w:r>
    </w:p>
    <w:p w14:paraId="38200441" w14:textId="77777777" w:rsidR="00392BC1" w:rsidRPr="00161FBC" w:rsidRDefault="00392BC1" w:rsidP="008A1A95">
      <w:pPr>
        <w:pStyle w:val="Prrafodelista"/>
        <w:numPr>
          <w:ilvl w:val="0"/>
          <w:numId w:val="20"/>
        </w:numPr>
        <w:rPr>
          <w:color w:val="767171"/>
        </w:rPr>
      </w:pPr>
      <w:r w:rsidRPr="00161FBC">
        <w:rPr>
          <w:color w:val="767171"/>
        </w:rPr>
        <w:t>Monitorear el cumplimiento de la calidad y continuidad del suministro eléctrico mediante la verificación de indicadores y estadísticas de las empresas distribuidoras. En adición, la vigilancia de indicadores de rendimiento es clave para detectar posibles anomalías o tendencias observables en el funcionamiento del Mercado Eléctrico Minorista;</w:t>
      </w:r>
    </w:p>
    <w:p w14:paraId="3F500216" w14:textId="77777777" w:rsidR="00392BC1" w:rsidRPr="00161FBC" w:rsidRDefault="00392BC1" w:rsidP="008A1A95">
      <w:pPr>
        <w:pStyle w:val="Prrafodelista"/>
        <w:numPr>
          <w:ilvl w:val="0"/>
          <w:numId w:val="20"/>
        </w:numPr>
        <w:rPr>
          <w:color w:val="767171"/>
        </w:rPr>
      </w:pPr>
      <w:r w:rsidRPr="00161FBC">
        <w:rPr>
          <w:color w:val="767171"/>
        </w:rPr>
        <w:t xml:space="preserve">Fiscalizar el cumplimiento de las disposiciones legales y reglamentarias de la distribución y comercialización de electricidad, asegurando la integridad física de las infraestructuras de distribución y la transparencia en los procesos de comercialización; </w:t>
      </w:r>
    </w:p>
    <w:p w14:paraId="7B6CE2FA" w14:textId="77777777" w:rsidR="00392BC1" w:rsidRPr="00161FBC" w:rsidRDefault="00392BC1" w:rsidP="008A1A95">
      <w:pPr>
        <w:pStyle w:val="Prrafodelista"/>
        <w:numPr>
          <w:ilvl w:val="0"/>
          <w:numId w:val="20"/>
        </w:numPr>
        <w:rPr>
          <w:color w:val="767171"/>
        </w:rPr>
      </w:pPr>
      <w:r w:rsidRPr="00161FBC">
        <w:rPr>
          <w:color w:val="767171"/>
        </w:rPr>
        <w:t xml:space="preserve">Auditar las informaciones financieras, técnicas, económicas y de cualquier otra naturaleza con fines de dar seguimiento a los planes de inversiones de las empresas distribuidoras, lineamientos del pacto eléctrico y disposiciones regulatorias vigentes; </w:t>
      </w:r>
    </w:p>
    <w:p w14:paraId="1B4C7A9F" w14:textId="77777777" w:rsidR="00392BC1" w:rsidRPr="00161FBC" w:rsidRDefault="00392BC1" w:rsidP="008A1A95">
      <w:pPr>
        <w:pStyle w:val="Prrafodelista"/>
        <w:numPr>
          <w:ilvl w:val="0"/>
          <w:numId w:val="20"/>
        </w:numPr>
        <w:rPr>
          <w:b/>
          <w:bCs/>
          <w:color w:val="767171"/>
        </w:rPr>
      </w:pPr>
      <w:r w:rsidRPr="00161FBC">
        <w:rPr>
          <w:color w:val="767171"/>
        </w:rPr>
        <w:t xml:space="preserve">Supervisar el cumplimiento de las Distribuidoras respecto a las decisiones e instrucciones de la SIE, así como el cumplimiento de los planes de mejoras propuestos por dichas empresas ante las NO Conformidades surgidas de los monitoreos, fiscalizaciones y auditoras. También, para proponer las modificaciones y/o actualizaciones de normativas existente o la necesidad de nuevas regulaciones; </w:t>
      </w:r>
    </w:p>
    <w:p w14:paraId="6008EB85" w14:textId="77777777" w:rsidR="00392BC1" w:rsidRPr="00161FBC" w:rsidRDefault="00392BC1" w:rsidP="008A1A95">
      <w:pPr>
        <w:pStyle w:val="Prrafodelista"/>
        <w:numPr>
          <w:ilvl w:val="0"/>
          <w:numId w:val="20"/>
        </w:numPr>
        <w:rPr>
          <w:color w:val="767171"/>
        </w:rPr>
      </w:pPr>
      <w:r w:rsidRPr="00161FBC">
        <w:rPr>
          <w:color w:val="767171"/>
        </w:rPr>
        <w:t xml:space="preserve">Persecución del Fraude junto a la Procuraduría General Adjunta para el Sistema Eléctrico </w:t>
      </w:r>
      <w:r w:rsidRPr="00161FBC">
        <w:rPr>
          <w:color w:val="767171"/>
        </w:rPr>
        <w:lastRenderedPageBreak/>
        <w:t>(PGASE) para levantar el Acta de Fraude Eléctrico, a requerimiento de las Distribuidoras o de persona física o moral interesada</w:t>
      </w:r>
    </w:p>
    <w:p w14:paraId="51402B47" w14:textId="7DD85873" w:rsidR="00392BC1" w:rsidRPr="00161FBC" w:rsidRDefault="00392BC1" w:rsidP="008A1A95">
      <w:pPr>
        <w:rPr>
          <w:color w:val="767171"/>
        </w:rPr>
      </w:pPr>
      <w:r w:rsidRPr="00161FBC">
        <w:rPr>
          <w:color w:val="767171"/>
        </w:rPr>
        <w:t>A continuación, se detallan las ejecutorias realizadas</w:t>
      </w:r>
      <w:r w:rsidR="000B1B78">
        <w:rPr>
          <w:color w:val="767171"/>
        </w:rPr>
        <w:t xml:space="preserve"> </w:t>
      </w:r>
      <w:r w:rsidRPr="00161FBC">
        <w:rPr>
          <w:color w:val="767171"/>
        </w:rPr>
        <w:t>para la fiscalización del Mercado Eléctrico Minorista:</w:t>
      </w:r>
    </w:p>
    <w:p w14:paraId="65F49F5B" w14:textId="77777777" w:rsidR="00392BC1" w:rsidRPr="00161FBC" w:rsidRDefault="00392BC1" w:rsidP="008A1A95">
      <w:pPr>
        <w:rPr>
          <w:b/>
          <w:bCs/>
          <w:color w:val="767171"/>
        </w:rPr>
      </w:pPr>
      <w:r w:rsidRPr="00161FBC">
        <w:rPr>
          <w:b/>
          <w:bCs/>
          <w:color w:val="767171"/>
        </w:rPr>
        <w:t>Resumen de Fiscalizaciones y Certificaciones</w:t>
      </w:r>
    </w:p>
    <w:p w14:paraId="33772A96" w14:textId="4CA137A9" w:rsidR="00392BC1" w:rsidRPr="00161FBC" w:rsidRDefault="00392BC1" w:rsidP="008A1A95">
      <w:pPr>
        <w:rPr>
          <w:color w:val="767171"/>
        </w:rPr>
      </w:pPr>
      <w:r w:rsidRPr="00161FBC">
        <w:rPr>
          <w:color w:val="767171"/>
        </w:rPr>
        <w:t xml:space="preserve">Se realizaron </w:t>
      </w:r>
      <w:r w:rsidR="005D2999" w:rsidRPr="00161FBC">
        <w:rPr>
          <w:color w:val="767171"/>
        </w:rPr>
        <w:t>ciento catorce (</w:t>
      </w:r>
      <w:r w:rsidRPr="00161FBC">
        <w:rPr>
          <w:color w:val="767171"/>
        </w:rPr>
        <w:t>114</w:t>
      </w:r>
      <w:r w:rsidR="005D2999" w:rsidRPr="00161FBC">
        <w:rPr>
          <w:color w:val="767171"/>
        </w:rPr>
        <w:t>)</w:t>
      </w:r>
      <w:r w:rsidRPr="00161FBC">
        <w:rPr>
          <w:color w:val="767171"/>
        </w:rPr>
        <w:t xml:space="preserve"> fiscalizaciones que garantizan que las empresas distribuidoras operen de acuerdo con las regulaciones de carácter técnico y comercial, protegiendo a los consumidores y fomentando la transparencia en el sector.</w:t>
      </w:r>
    </w:p>
    <w:p w14:paraId="6CA2FBF0" w14:textId="156F0CB1" w:rsidR="00392BC1" w:rsidRPr="00161FBC" w:rsidRDefault="00392BC1" w:rsidP="008A1A95">
      <w:pPr>
        <w:rPr>
          <w:color w:val="767171"/>
        </w:rPr>
      </w:pPr>
      <w:r w:rsidRPr="00161FBC">
        <w:rPr>
          <w:color w:val="767171"/>
        </w:rPr>
        <w:t>Se emitieron ciento diecinueve (119) certificaciones que aseguran la legalidad y la propiedad de las instalaciones eléctricas, lo que facilita transacciones legales y el desarrollo de procesos judiciales.</w:t>
      </w:r>
    </w:p>
    <w:p w14:paraId="23882B14" w14:textId="6B7560FB" w:rsidR="00392BC1" w:rsidRPr="00161FBC" w:rsidRDefault="00392BC1" w:rsidP="008A1A95">
      <w:pPr>
        <w:rPr>
          <w:color w:val="767171"/>
        </w:rPr>
      </w:pPr>
      <w:r w:rsidRPr="00161FBC">
        <w:rPr>
          <w:color w:val="767171"/>
        </w:rPr>
        <w:t>Se gestionaron cincuenta y nueve (59) respuestas a casos foráneos, atendiendo tanto consultas externas como internas con el objetivo de resolver problemas y proporcionar claridad en asuntos regulatorios y técnicos, garantizando el cumplimiento de procedimientos establecidos.</w:t>
      </w:r>
    </w:p>
    <w:p w14:paraId="4A922DEC" w14:textId="0E19814E" w:rsidR="00392BC1" w:rsidRPr="00161FBC" w:rsidRDefault="00392BC1" w:rsidP="008A1A95">
      <w:pPr>
        <w:rPr>
          <w:color w:val="767171"/>
        </w:rPr>
      </w:pPr>
      <w:r w:rsidRPr="00161FBC">
        <w:rPr>
          <w:color w:val="767171"/>
        </w:rPr>
        <w:t>Se atendieron seis (6) casos de resolución de conflictos para resolver conflictos entre actores del sector, promoviendo soluciones justas que mejoren la calidad del servicio y el buen funcionamiento del sistema eléctrico.</w:t>
      </w:r>
    </w:p>
    <w:p w14:paraId="788E94AE" w14:textId="7CCCEBB3" w:rsidR="00392BC1" w:rsidRPr="00161FBC" w:rsidRDefault="00392BC1" w:rsidP="008A1A95">
      <w:pPr>
        <w:rPr>
          <w:color w:val="767171"/>
        </w:rPr>
      </w:pPr>
      <w:r w:rsidRPr="00161FBC">
        <w:rPr>
          <w:color w:val="767171"/>
        </w:rPr>
        <w:t>Se emitieron dos (2) opiniones técnicas que sirven para aclarar dudas y orientar decisiones regulatorias, asegurando que se mantenga la calidad y seguridad del sistema eléctrico.</w:t>
      </w:r>
    </w:p>
    <w:p w14:paraId="61036D9D" w14:textId="053F267D" w:rsidR="00392BC1" w:rsidRPr="00161FBC" w:rsidRDefault="00392BC1" w:rsidP="008A1A95">
      <w:pPr>
        <w:rPr>
          <w:b/>
          <w:bCs/>
          <w:color w:val="767171"/>
        </w:rPr>
      </w:pPr>
      <w:r w:rsidRPr="00161FBC">
        <w:rPr>
          <w:b/>
          <w:bCs/>
          <w:color w:val="767171"/>
        </w:rPr>
        <w:t>Gestión de Denuncias por Fraude Eléctrico</w:t>
      </w:r>
    </w:p>
    <w:p w14:paraId="5B910C01" w14:textId="72A3CEB4" w:rsidR="00392BC1" w:rsidRPr="00161FBC" w:rsidRDefault="00392BC1" w:rsidP="008A1A95">
      <w:pPr>
        <w:rPr>
          <w:color w:val="767171"/>
        </w:rPr>
      </w:pPr>
      <w:r w:rsidRPr="00161FBC">
        <w:rPr>
          <w:color w:val="767171"/>
        </w:rPr>
        <w:t xml:space="preserve">Durante el 2024 la SIE a través de la Dirección del mercado eléctrico minorista con su unidad de Peritaje, gestionaron mil doscientos treinta y siete (1,237) denuncias de fraude eléctrico, de las cuales mil veinte (1,020) fueron presentados por las empresas distribuidoras estatales y </w:t>
      </w:r>
      <w:r w:rsidR="005D2999" w:rsidRPr="00161FBC">
        <w:rPr>
          <w:color w:val="767171"/>
        </w:rPr>
        <w:t>doscientos diecisiete (</w:t>
      </w:r>
      <w:r w:rsidRPr="00161FBC">
        <w:rPr>
          <w:color w:val="767171"/>
        </w:rPr>
        <w:t>217</w:t>
      </w:r>
      <w:r w:rsidR="005D2999" w:rsidRPr="00161FBC">
        <w:rPr>
          <w:color w:val="767171"/>
        </w:rPr>
        <w:t>)</w:t>
      </w:r>
      <w:r w:rsidRPr="00161FBC">
        <w:rPr>
          <w:color w:val="767171"/>
        </w:rPr>
        <w:t xml:space="preserve"> por clientes contra terceros u otros concesionarios. Del total, </w:t>
      </w:r>
      <w:r w:rsidR="005D2999" w:rsidRPr="00161FBC">
        <w:rPr>
          <w:color w:val="767171"/>
        </w:rPr>
        <w:t>quinientos setenta (</w:t>
      </w:r>
      <w:r w:rsidRPr="00161FBC">
        <w:rPr>
          <w:color w:val="767171"/>
        </w:rPr>
        <w:t>570</w:t>
      </w:r>
      <w:r w:rsidR="005D2999" w:rsidRPr="00161FBC">
        <w:rPr>
          <w:color w:val="767171"/>
        </w:rPr>
        <w:t>)</w:t>
      </w:r>
      <w:r w:rsidRPr="00161FBC">
        <w:rPr>
          <w:color w:val="767171"/>
        </w:rPr>
        <w:t xml:space="preserve"> denuncias fueron desestimadas o declaradas fallidas por falta de pruebas.</w:t>
      </w:r>
    </w:p>
    <w:p w14:paraId="4FD3374A" w14:textId="0199B75F" w:rsidR="00392BC1" w:rsidRPr="00161FBC" w:rsidRDefault="00392BC1" w:rsidP="008A1A95">
      <w:pPr>
        <w:rPr>
          <w:color w:val="767171"/>
        </w:rPr>
      </w:pPr>
      <w:r w:rsidRPr="00161FBC">
        <w:rPr>
          <w:color w:val="767171"/>
        </w:rPr>
        <w:t xml:space="preserve">Como resultado del proceso de revisión técnica y legal, se elaboraron y remitieron </w:t>
      </w:r>
      <w:r w:rsidR="005D2999" w:rsidRPr="00161FBC">
        <w:rPr>
          <w:color w:val="767171"/>
        </w:rPr>
        <w:t>cuatrocientos cinco (</w:t>
      </w:r>
      <w:r w:rsidRPr="00161FBC">
        <w:rPr>
          <w:color w:val="767171"/>
        </w:rPr>
        <w:t>405</w:t>
      </w:r>
      <w:r w:rsidR="005D2999" w:rsidRPr="00161FBC">
        <w:rPr>
          <w:color w:val="767171"/>
        </w:rPr>
        <w:t>)</w:t>
      </w:r>
      <w:r w:rsidRPr="00161FBC">
        <w:rPr>
          <w:color w:val="767171"/>
        </w:rPr>
        <w:t xml:space="preserve"> actas a la Procuraduría General Adjunta para el Sistema Eléctrico (PGASE). Estas acciones permitieron la recuperación de 13,895,883 kWh de energía equivalentes a RD$ 147,001,794.07, aportando beneficios directos al sector eléctrico.</w:t>
      </w:r>
    </w:p>
    <w:p w14:paraId="264505DF" w14:textId="1637545A" w:rsidR="00392BC1" w:rsidRPr="00161FBC" w:rsidRDefault="00392BC1" w:rsidP="008A1A95">
      <w:pPr>
        <w:rPr>
          <w:color w:val="767171"/>
        </w:rPr>
      </w:pPr>
      <w:r w:rsidRPr="00161FBC">
        <w:rPr>
          <w:color w:val="767171"/>
        </w:rPr>
        <w:t xml:space="preserve">Así mismo, mediante la resolución de </w:t>
      </w:r>
      <w:r w:rsidR="005D2999" w:rsidRPr="00161FBC">
        <w:rPr>
          <w:color w:val="767171"/>
        </w:rPr>
        <w:t>sesenta y cuatro (</w:t>
      </w:r>
      <w:r w:rsidRPr="00161FBC">
        <w:rPr>
          <w:color w:val="767171"/>
        </w:rPr>
        <w:t>64</w:t>
      </w:r>
      <w:r w:rsidR="005D2999" w:rsidRPr="00161FBC">
        <w:rPr>
          <w:color w:val="767171"/>
        </w:rPr>
        <w:t>)</w:t>
      </w:r>
      <w:r w:rsidRPr="00161FBC">
        <w:rPr>
          <w:color w:val="767171"/>
        </w:rPr>
        <w:t xml:space="preserve"> expedientes a través de conciliaciones entre empresas distribuidoras y usuarios, se generaron la recuperación de 128,010 kWh de energía para un equivalente de RD$ 5,611,030.18, </w:t>
      </w:r>
      <w:r w:rsidRPr="00161FBC">
        <w:rPr>
          <w:color w:val="767171"/>
        </w:rPr>
        <w:lastRenderedPageBreak/>
        <w:t>fortaleciendo las relaciones entre las partes y reduciendo el impacto de las pérdidas eléctricas.</w:t>
      </w:r>
    </w:p>
    <w:p w14:paraId="1301F45F" w14:textId="3AF95565" w:rsidR="00392BC1" w:rsidRPr="00161FBC" w:rsidRDefault="00392BC1" w:rsidP="008A1A95">
      <w:pPr>
        <w:rPr>
          <w:color w:val="767171"/>
        </w:rPr>
      </w:pPr>
      <w:r w:rsidRPr="00161FBC">
        <w:rPr>
          <w:color w:val="767171"/>
        </w:rPr>
        <w:t xml:space="preserve">En el 2024 se verificaron </w:t>
      </w:r>
      <w:r w:rsidR="005D2999" w:rsidRPr="00161FBC">
        <w:rPr>
          <w:color w:val="767171"/>
        </w:rPr>
        <w:t>cinco mil seiscientos cuarenta y cuatro (</w:t>
      </w:r>
      <w:r w:rsidRPr="00161FBC">
        <w:rPr>
          <w:color w:val="767171"/>
        </w:rPr>
        <w:t>5,644</w:t>
      </w:r>
      <w:r w:rsidR="005D2999" w:rsidRPr="00161FBC">
        <w:rPr>
          <w:color w:val="767171"/>
        </w:rPr>
        <w:t>)</w:t>
      </w:r>
      <w:r w:rsidRPr="00161FBC">
        <w:rPr>
          <w:color w:val="767171"/>
        </w:rPr>
        <w:t xml:space="preserve"> medidores en los laboratorios del Instituto Dominicano para la Calidad (INDOCAL), de las cuales </w:t>
      </w:r>
      <w:r w:rsidR="005D2999" w:rsidRPr="00161FBC">
        <w:rPr>
          <w:color w:val="767171"/>
        </w:rPr>
        <w:t>cinco mil cuatrocientos veinticinco (</w:t>
      </w:r>
      <w:r w:rsidRPr="00161FBC">
        <w:rPr>
          <w:color w:val="767171"/>
        </w:rPr>
        <w:t>5,425</w:t>
      </w:r>
      <w:r w:rsidR="005D2999" w:rsidRPr="00161FBC">
        <w:rPr>
          <w:color w:val="767171"/>
        </w:rPr>
        <w:t>)</w:t>
      </w:r>
      <w:r w:rsidRPr="00161FBC">
        <w:rPr>
          <w:color w:val="767171"/>
        </w:rPr>
        <w:t xml:space="preserve"> correspondieron a procesos administrativos y </w:t>
      </w:r>
      <w:r w:rsidR="005D2999" w:rsidRPr="00161FBC">
        <w:rPr>
          <w:color w:val="767171"/>
        </w:rPr>
        <w:t>doscientos diecinueve (</w:t>
      </w:r>
      <w:r w:rsidRPr="00161FBC">
        <w:rPr>
          <w:color w:val="767171"/>
        </w:rPr>
        <w:t>219</w:t>
      </w:r>
      <w:r w:rsidR="005D2999" w:rsidRPr="00161FBC">
        <w:rPr>
          <w:color w:val="767171"/>
        </w:rPr>
        <w:t>)</w:t>
      </w:r>
      <w:r w:rsidRPr="00161FBC">
        <w:rPr>
          <w:color w:val="767171"/>
        </w:rPr>
        <w:t xml:space="preserve"> a casos gestionados por la vía penal, asegurando la precisión de los dispositivos de medición y contribuyendo a la transparencia y confiabilidad en el consumo eléctrico reportado.</w:t>
      </w:r>
    </w:p>
    <w:p w14:paraId="610A7593" w14:textId="628BDA27" w:rsidR="002C4905" w:rsidRPr="00161FBC" w:rsidRDefault="00392BC1" w:rsidP="008A1A95">
      <w:pPr>
        <w:rPr>
          <w:color w:val="767171"/>
        </w:rPr>
      </w:pPr>
      <w:r w:rsidRPr="00161FBC">
        <w:rPr>
          <w:color w:val="767171"/>
        </w:rPr>
        <w:t>El desarrollo y cumplimiento de las actividades realizadas por la Dirección de Fiscalización del Mercado Eléctrico Minorista refuerzan el compromiso de la Superintendencia de Electricidad con la transparencia, la eficiencia y la aplicación de la normativa vigente. Estas acciones consolidan la legitimidad de la SIE como ente fiscalizador y regulador del sector eléctrico, fortaleciendo su imagen institucional y generando confianza en los actores del mercado y en la ciudadanía, elementos esenciales para el desarrollo sostenible del sistema eléctrico nacional.</w:t>
      </w:r>
    </w:p>
    <w:bookmarkEnd w:id="18"/>
    <w:p w14:paraId="41AA60E8" w14:textId="72239B18" w:rsidR="005E6948" w:rsidRPr="00161FBC" w:rsidRDefault="00895359" w:rsidP="00EB4CC7">
      <w:pPr>
        <w:jc w:val="left"/>
        <w:rPr>
          <w:b/>
          <w:bCs/>
          <w:color w:val="767171"/>
        </w:rPr>
      </w:pPr>
      <w:r w:rsidRPr="00161FBC">
        <w:rPr>
          <w:b/>
          <w:bCs/>
          <w:color w:val="767171"/>
        </w:rPr>
        <w:t xml:space="preserve">Protección </w:t>
      </w:r>
      <w:r w:rsidR="00B73EF2" w:rsidRPr="00161FBC">
        <w:rPr>
          <w:b/>
          <w:bCs/>
          <w:color w:val="767171"/>
        </w:rPr>
        <w:t>a</w:t>
      </w:r>
      <w:r w:rsidRPr="00161FBC">
        <w:rPr>
          <w:b/>
          <w:bCs/>
          <w:color w:val="767171"/>
        </w:rPr>
        <w:t xml:space="preserve">l Consumidor </w:t>
      </w:r>
      <w:r w:rsidR="00B73EF2" w:rsidRPr="00161FBC">
        <w:rPr>
          <w:b/>
          <w:bCs/>
          <w:color w:val="767171"/>
        </w:rPr>
        <w:t>y</w:t>
      </w:r>
      <w:r w:rsidRPr="00161FBC">
        <w:rPr>
          <w:b/>
          <w:bCs/>
          <w:color w:val="767171"/>
        </w:rPr>
        <w:t xml:space="preserve"> Peritaje</w:t>
      </w:r>
    </w:p>
    <w:p w14:paraId="5BAEF805" w14:textId="66540151" w:rsidR="00561B85" w:rsidRPr="00161FBC" w:rsidRDefault="002E0E10" w:rsidP="008A1A95">
      <w:pPr>
        <w:rPr>
          <w:color w:val="767171"/>
        </w:rPr>
      </w:pPr>
      <w:r w:rsidRPr="00161FBC">
        <w:rPr>
          <w:color w:val="767171"/>
        </w:rPr>
        <w:t xml:space="preserve">Con la promulgación de la Ley General de Electricidad (LGE) 125-01, en el </w:t>
      </w:r>
      <w:r w:rsidR="00AE03F5" w:rsidRPr="00161FBC">
        <w:rPr>
          <w:color w:val="767171"/>
        </w:rPr>
        <w:t>artículo</w:t>
      </w:r>
      <w:r w:rsidRPr="00161FBC">
        <w:rPr>
          <w:color w:val="767171"/>
        </w:rPr>
        <w:t xml:space="preserve"> 121 se creó la Dirección de Protección al Consumidor de electricidad (Protecom) de la </w:t>
      </w:r>
      <w:r w:rsidR="00AE03F5" w:rsidRPr="00161FBC">
        <w:rPr>
          <w:color w:val="767171"/>
        </w:rPr>
        <w:t>Superintendencia</w:t>
      </w:r>
      <w:r w:rsidRPr="00161FBC">
        <w:rPr>
          <w:color w:val="767171"/>
        </w:rPr>
        <w:t xml:space="preserve"> de Electricidad</w:t>
      </w:r>
      <w:r w:rsidR="006829CB" w:rsidRPr="00161FBC">
        <w:rPr>
          <w:color w:val="767171"/>
        </w:rPr>
        <w:t xml:space="preserve">; </w:t>
      </w:r>
      <w:r w:rsidRPr="00161FBC">
        <w:rPr>
          <w:color w:val="767171"/>
        </w:rPr>
        <w:t>la cual tiene como función atender y dirimir sobre los reclamos de los consumidores de servicio público frente a las facturaciones, mala calidad de los servicios o cualquier queja motivada por exceso o actuaciones indebidas de las empresas distribuidoras de electricidad</w:t>
      </w:r>
      <w:r w:rsidR="003B342F" w:rsidRPr="00161FBC">
        <w:rPr>
          <w:color w:val="767171"/>
        </w:rPr>
        <w:t xml:space="preserve">. </w:t>
      </w:r>
      <w:r w:rsidR="00561B85" w:rsidRPr="00161FBC">
        <w:rPr>
          <w:color w:val="767171"/>
        </w:rPr>
        <w:t xml:space="preserve">Actualmente, la Dirección de Protecom </w:t>
      </w:r>
      <w:r w:rsidR="003B342F" w:rsidRPr="00161FBC">
        <w:rPr>
          <w:color w:val="767171"/>
        </w:rPr>
        <w:t>tiene</w:t>
      </w:r>
      <w:r w:rsidR="00561B85" w:rsidRPr="00161FBC">
        <w:rPr>
          <w:color w:val="767171"/>
        </w:rPr>
        <w:t xml:space="preserve"> una presencia en todo el territorio nacional con un total de </w:t>
      </w:r>
      <w:r w:rsidR="003B342F" w:rsidRPr="00161FBC">
        <w:rPr>
          <w:color w:val="767171"/>
        </w:rPr>
        <w:t xml:space="preserve">treinta y </w:t>
      </w:r>
      <w:r w:rsidR="00B73EF2" w:rsidRPr="00161FBC">
        <w:rPr>
          <w:color w:val="767171"/>
        </w:rPr>
        <w:t>dos</w:t>
      </w:r>
      <w:r w:rsidR="003B342F" w:rsidRPr="00161FBC">
        <w:rPr>
          <w:color w:val="767171"/>
        </w:rPr>
        <w:t xml:space="preserve"> (</w:t>
      </w:r>
      <w:r w:rsidR="00561B85" w:rsidRPr="00161FBC">
        <w:rPr>
          <w:color w:val="767171"/>
        </w:rPr>
        <w:t>3</w:t>
      </w:r>
      <w:r w:rsidR="00B73EF2" w:rsidRPr="00161FBC">
        <w:rPr>
          <w:color w:val="767171"/>
        </w:rPr>
        <w:t>2</w:t>
      </w:r>
      <w:r w:rsidR="003B342F" w:rsidRPr="00161FBC">
        <w:rPr>
          <w:color w:val="767171"/>
        </w:rPr>
        <w:t>)</w:t>
      </w:r>
      <w:r w:rsidR="00561B85" w:rsidRPr="00161FBC">
        <w:rPr>
          <w:color w:val="767171"/>
        </w:rPr>
        <w:t xml:space="preserve"> oficinas en las diferentes provincias del país</w:t>
      </w:r>
      <w:r w:rsidR="00AE03F5" w:rsidRPr="00161FBC">
        <w:rPr>
          <w:color w:val="767171"/>
        </w:rPr>
        <w:t>.</w:t>
      </w:r>
    </w:p>
    <w:p w14:paraId="2983F835" w14:textId="638A3E15" w:rsidR="0095582C" w:rsidRPr="00161FBC" w:rsidRDefault="0074605C" w:rsidP="008A1A95">
      <w:pPr>
        <w:rPr>
          <w:color w:val="767171"/>
        </w:rPr>
      </w:pPr>
      <w:r w:rsidRPr="00161FBC">
        <w:rPr>
          <w:color w:val="767171"/>
        </w:rPr>
        <w:t>D</w:t>
      </w:r>
      <w:r w:rsidR="0095582C" w:rsidRPr="00161FBC">
        <w:rPr>
          <w:color w:val="767171"/>
        </w:rPr>
        <w:t>urante</w:t>
      </w:r>
      <w:r w:rsidRPr="00161FBC">
        <w:rPr>
          <w:color w:val="767171"/>
        </w:rPr>
        <w:t xml:space="preserve"> este año </w:t>
      </w:r>
      <w:r w:rsidR="00F2650B" w:rsidRPr="00161FBC">
        <w:rPr>
          <w:color w:val="767171"/>
        </w:rPr>
        <w:t>2024</w:t>
      </w:r>
      <w:r w:rsidRPr="00161FBC">
        <w:rPr>
          <w:color w:val="767171"/>
        </w:rPr>
        <w:t xml:space="preserve"> se han recibido</w:t>
      </w:r>
      <w:r w:rsidR="0077543D" w:rsidRPr="00161FBC">
        <w:rPr>
          <w:color w:val="767171"/>
        </w:rPr>
        <w:t xml:space="preserve"> la mayor cantidad de reclamaciones presentadas en un año en las oficinas de Protecom, con </w:t>
      </w:r>
      <w:bookmarkStart w:id="19" w:name="_Hlk184295061"/>
      <w:r w:rsidR="0077543D" w:rsidRPr="00161FBC">
        <w:rPr>
          <w:color w:val="767171"/>
        </w:rPr>
        <w:t>un total</w:t>
      </w:r>
      <w:r w:rsidRPr="00161FBC">
        <w:rPr>
          <w:color w:val="767171"/>
        </w:rPr>
        <w:t xml:space="preserve"> sesenta y </w:t>
      </w:r>
      <w:r w:rsidR="00B73EF2" w:rsidRPr="00161FBC">
        <w:rPr>
          <w:color w:val="767171"/>
        </w:rPr>
        <w:t>nueve</w:t>
      </w:r>
      <w:r w:rsidRPr="00161FBC">
        <w:rPr>
          <w:color w:val="767171"/>
        </w:rPr>
        <w:t xml:space="preserve"> mil </w:t>
      </w:r>
      <w:r w:rsidR="00B73EF2" w:rsidRPr="00161FBC">
        <w:rPr>
          <w:color w:val="767171"/>
        </w:rPr>
        <w:t>cuatro</w:t>
      </w:r>
      <w:r w:rsidRPr="00161FBC">
        <w:rPr>
          <w:color w:val="767171"/>
        </w:rPr>
        <w:t xml:space="preserve">cientos </w:t>
      </w:r>
      <w:r w:rsidR="00B73EF2" w:rsidRPr="00161FBC">
        <w:rPr>
          <w:color w:val="767171"/>
        </w:rPr>
        <w:t>veinte y nueve</w:t>
      </w:r>
      <w:r w:rsidRPr="00161FBC">
        <w:rPr>
          <w:color w:val="767171"/>
        </w:rPr>
        <w:t xml:space="preserve"> (6</w:t>
      </w:r>
      <w:r w:rsidR="00B73EF2" w:rsidRPr="00161FBC">
        <w:rPr>
          <w:color w:val="767171"/>
        </w:rPr>
        <w:t>9</w:t>
      </w:r>
      <w:r w:rsidRPr="00161FBC">
        <w:rPr>
          <w:color w:val="767171"/>
        </w:rPr>
        <w:t>,</w:t>
      </w:r>
      <w:r w:rsidR="00B73EF2" w:rsidRPr="00161FBC">
        <w:rPr>
          <w:color w:val="767171"/>
        </w:rPr>
        <w:t>429</w:t>
      </w:r>
      <w:r w:rsidRPr="00161FBC">
        <w:rPr>
          <w:color w:val="767171"/>
        </w:rPr>
        <w:t xml:space="preserve">) reclamaciones </w:t>
      </w:r>
      <w:bookmarkEnd w:id="19"/>
      <w:r w:rsidRPr="00161FBC">
        <w:rPr>
          <w:color w:val="767171"/>
        </w:rPr>
        <w:t>y</w:t>
      </w:r>
      <w:r w:rsidR="0077543D" w:rsidRPr="00161FBC">
        <w:rPr>
          <w:color w:val="767171"/>
        </w:rPr>
        <w:t xml:space="preserve"> se han</w:t>
      </w:r>
      <w:r w:rsidRPr="00161FBC">
        <w:rPr>
          <w:color w:val="767171"/>
        </w:rPr>
        <w:t xml:space="preserve"> </w:t>
      </w:r>
      <w:r w:rsidR="00190715" w:rsidRPr="00161FBC">
        <w:rPr>
          <w:color w:val="767171"/>
        </w:rPr>
        <w:t>atendi</w:t>
      </w:r>
      <w:r w:rsidRPr="00161FBC">
        <w:rPr>
          <w:color w:val="767171"/>
        </w:rPr>
        <w:t>do</w:t>
      </w:r>
      <w:r w:rsidR="00190715" w:rsidRPr="00161FBC">
        <w:rPr>
          <w:color w:val="767171"/>
        </w:rPr>
        <w:t xml:space="preserve"> un </w:t>
      </w:r>
      <w:bookmarkStart w:id="20" w:name="_Hlk184295104"/>
      <w:r w:rsidR="00190715" w:rsidRPr="00161FBC">
        <w:rPr>
          <w:color w:val="767171"/>
        </w:rPr>
        <w:t>total de</w:t>
      </w:r>
      <w:r w:rsidR="00D63897" w:rsidRPr="00161FBC">
        <w:rPr>
          <w:color w:val="767171"/>
        </w:rPr>
        <w:t xml:space="preserve"> </w:t>
      </w:r>
      <w:r w:rsidR="00B73EF2" w:rsidRPr="00161FBC">
        <w:rPr>
          <w:color w:val="767171"/>
        </w:rPr>
        <w:t>sesenta y un mil ciento setenta y cinco (61,175)</w:t>
      </w:r>
      <w:bookmarkEnd w:id="20"/>
      <w:r w:rsidR="0077543D" w:rsidRPr="00161FBC">
        <w:rPr>
          <w:color w:val="767171"/>
        </w:rPr>
        <w:t>;</w:t>
      </w:r>
      <w:r w:rsidR="0095582C" w:rsidRPr="00161FBC">
        <w:rPr>
          <w:color w:val="767171"/>
        </w:rPr>
        <w:t xml:space="preserve"> de las cuales</w:t>
      </w:r>
      <w:r w:rsidR="00673395" w:rsidRPr="00161FBC">
        <w:rPr>
          <w:color w:val="767171"/>
        </w:rPr>
        <w:t xml:space="preserve"> </w:t>
      </w:r>
      <w:bookmarkStart w:id="21" w:name="_Hlk184295203"/>
      <w:r w:rsidR="00673395" w:rsidRPr="00161FBC">
        <w:rPr>
          <w:color w:val="767171"/>
        </w:rPr>
        <w:t>veint</w:t>
      </w:r>
      <w:r w:rsidR="00B73EF2" w:rsidRPr="00161FBC">
        <w:rPr>
          <w:color w:val="767171"/>
        </w:rPr>
        <w:t>isiete</w:t>
      </w:r>
      <w:r w:rsidR="00673395" w:rsidRPr="00161FBC">
        <w:rPr>
          <w:color w:val="767171"/>
        </w:rPr>
        <w:t xml:space="preserve"> mil </w:t>
      </w:r>
      <w:r w:rsidR="00B73EF2" w:rsidRPr="00161FBC">
        <w:rPr>
          <w:color w:val="767171"/>
        </w:rPr>
        <w:t>ocho</w:t>
      </w:r>
      <w:r w:rsidR="005A65D0" w:rsidRPr="00161FBC">
        <w:rPr>
          <w:color w:val="767171"/>
        </w:rPr>
        <w:t>cientos</w:t>
      </w:r>
      <w:r w:rsidR="00673395" w:rsidRPr="00161FBC">
        <w:rPr>
          <w:color w:val="767171"/>
        </w:rPr>
        <w:t xml:space="preserve"> cuarenta y </w:t>
      </w:r>
      <w:r w:rsidR="005A65D0" w:rsidRPr="00161FBC">
        <w:rPr>
          <w:color w:val="767171"/>
        </w:rPr>
        <w:t>ocho</w:t>
      </w:r>
      <w:r w:rsidR="00673395" w:rsidRPr="00161FBC">
        <w:rPr>
          <w:color w:val="767171"/>
        </w:rPr>
        <w:t xml:space="preserve"> (2</w:t>
      </w:r>
      <w:r w:rsidR="00B73EF2" w:rsidRPr="00161FBC">
        <w:rPr>
          <w:color w:val="767171"/>
        </w:rPr>
        <w:t>7</w:t>
      </w:r>
      <w:r w:rsidR="00673395" w:rsidRPr="00161FBC">
        <w:rPr>
          <w:color w:val="767171"/>
        </w:rPr>
        <w:t>,</w:t>
      </w:r>
      <w:r w:rsidR="00B73EF2" w:rsidRPr="00161FBC">
        <w:rPr>
          <w:color w:val="767171"/>
        </w:rPr>
        <w:t>8</w:t>
      </w:r>
      <w:r w:rsidR="005A65D0" w:rsidRPr="00161FBC">
        <w:rPr>
          <w:color w:val="767171"/>
        </w:rPr>
        <w:t>48</w:t>
      </w:r>
      <w:r w:rsidR="00673395" w:rsidRPr="00161FBC">
        <w:rPr>
          <w:color w:val="767171"/>
        </w:rPr>
        <w:t>)</w:t>
      </w:r>
      <w:bookmarkEnd w:id="21"/>
      <w:r w:rsidR="0095582C" w:rsidRPr="00161FBC">
        <w:rPr>
          <w:color w:val="767171"/>
        </w:rPr>
        <w:t xml:space="preserve"> resultaron procedentes a favor del usuario</w:t>
      </w:r>
      <w:r w:rsidR="0099705B" w:rsidRPr="00161FBC">
        <w:rPr>
          <w:color w:val="767171"/>
        </w:rPr>
        <w:t>, lo que representa un</w:t>
      </w:r>
      <w:r w:rsidR="00F74CF2" w:rsidRPr="00161FBC">
        <w:rPr>
          <w:color w:val="767171"/>
        </w:rPr>
        <w:t xml:space="preserve"> cuarenta y seis</w:t>
      </w:r>
      <w:r w:rsidR="0099705B" w:rsidRPr="00161FBC">
        <w:rPr>
          <w:color w:val="767171"/>
        </w:rPr>
        <w:t xml:space="preserve"> </w:t>
      </w:r>
      <w:r w:rsidR="00F74CF2" w:rsidRPr="00161FBC">
        <w:rPr>
          <w:color w:val="767171"/>
        </w:rPr>
        <w:t>(</w:t>
      </w:r>
      <w:r w:rsidR="0099705B" w:rsidRPr="00161FBC">
        <w:rPr>
          <w:color w:val="767171"/>
        </w:rPr>
        <w:t>4</w:t>
      </w:r>
      <w:r w:rsidR="00F74CF2" w:rsidRPr="00161FBC">
        <w:rPr>
          <w:color w:val="767171"/>
        </w:rPr>
        <w:t>6</w:t>
      </w:r>
      <w:r w:rsidR="0099705B" w:rsidRPr="00161FBC">
        <w:rPr>
          <w:color w:val="767171"/>
        </w:rPr>
        <w:t>%</w:t>
      </w:r>
      <w:r w:rsidR="00F74CF2" w:rsidRPr="00161FBC">
        <w:rPr>
          <w:color w:val="767171"/>
        </w:rPr>
        <w:t>)</w:t>
      </w:r>
      <w:r w:rsidR="0099705B" w:rsidRPr="00161FBC">
        <w:rPr>
          <w:color w:val="767171"/>
        </w:rPr>
        <w:t xml:space="preserve"> </w:t>
      </w:r>
      <w:r w:rsidR="0095582C" w:rsidRPr="00161FBC">
        <w:rPr>
          <w:color w:val="767171"/>
        </w:rPr>
        <w:t xml:space="preserve">y </w:t>
      </w:r>
      <w:bookmarkStart w:id="22" w:name="_Hlk184295344"/>
      <w:r w:rsidR="00673395" w:rsidRPr="00161FBC">
        <w:rPr>
          <w:color w:val="767171"/>
        </w:rPr>
        <w:t xml:space="preserve">treinta y </w:t>
      </w:r>
      <w:r w:rsidR="00F74CF2" w:rsidRPr="00161FBC">
        <w:rPr>
          <w:color w:val="767171"/>
        </w:rPr>
        <w:t>tres</w:t>
      </w:r>
      <w:r w:rsidR="00673395" w:rsidRPr="00161FBC">
        <w:rPr>
          <w:color w:val="767171"/>
        </w:rPr>
        <w:t xml:space="preserve"> mil </w:t>
      </w:r>
      <w:r w:rsidR="00F74CF2" w:rsidRPr="00161FBC">
        <w:rPr>
          <w:color w:val="767171"/>
        </w:rPr>
        <w:t>tres</w:t>
      </w:r>
      <w:r w:rsidR="005A65D0" w:rsidRPr="00161FBC">
        <w:rPr>
          <w:color w:val="767171"/>
        </w:rPr>
        <w:t>cientos</w:t>
      </w:r>
      <w:r w:rsidR="00F74CF2" w:rsidRPr="00161FBC">
        <w:rPr>
          <w:color w:val="767171"/>
        </w:rPr>
        <w:t xml:space="preserve"> veintisiete</w:t>
      </w:r>
      <w:r w:rsidR="005A65D0" w:rsidRPr="00161FBC">
        <w:rPr>
          <w:color w:val="767171"/>
        </w:rPr>
        <w:t xml:space="preserve"> </w:t>
      </w:r>
      <w:r w:rsidR="00673395" w:rsidRPr="00161FBC">
        <w:rPr>
          <w:color w:val="767171"/>
        </w:rPr>
        <w:t>(3</w:t>
      </w:r>
      <w:r w:rsidR="00F74CF2" w:rsidRPr="00161FBC">
        <w:rPr>
          <w:color w:val="767171"/>
        </w:rPr>
        <w:t>3</w:t>
      </w:r>
      <w:r w:rsidR="00673395" w:rsidRPr="00161FBC">
        <w:rPr>
          <w:color w:val="767171"/>
        </w:rPr>
        <w:t>,</w:t>
      </w:r>
      <w:r w:rsidR="00F74CF2" w:rsidRPr="00161FBC">
        <w:rPr>
          <w:color w:val="767171"/>
        </w:rPr>
        <w:t>327</w:t>
      </w:r>
      <w:r w:rsidR="00673395" w:rsidRPr="00161FBC">
        <w:rPr>
          <w:color w:val="767171"/>
        </w:rPr>
        <w:t>)</w:t>
      </w:r>
      <w:r w:rsidR="0052782D" w:rsidRPr="00161FBC">
        <w:rPr>
          <w:color w:val="767171"/>
        </w:rPr>
        <w:t xml:space="preserve"> </w:t>
      </w:r>
      <w:r w:rsidR="0095582C" w:rsidRPr="00161FBC">
        <w:rPr>
          <w:color w:val="767171"/>
        </w:rPr>
        <w:t>resultaron improcedentes</w:t>
      </w:r>
      <w:r w:rsidR="0099705B" w:rsidRPr="00161FBC">
        <w:rPr>
          <w:color w:val="767171"/>
        </w:rPr>
        <w:t>, equivalente a un</w:t>
      </w:r>
      <w:r w:rsidR="00F74CF2" w:rsidRPr="00161FBC">
        <w:rPr>
          <w:color w:val="767171"/>
        </w:rPr>
        <w:t xml:space="preserve"> cincuenta y cuatro</w:t>
      </w:r>
      <w:r w:rsidR="0099705B" w:rsidRPr="00161FBC">
        <w:rPr>
          <w:color w:val="767171"/>
        </w:rPr>
        <w:t xml:space="preserve"> </w:t>
      </w:r>
      <w:r w:rsidR="00F74CF2" w:rsidRPr="00161FBC">
        <w:rPr>
          <w:color w:val="767171"/>
        </w:rPr>
        <w:t>(</w:t>
      </w:r>
      <w:r w:rsidR="0099705B" w:rsidRPr="00161FBC">
        <w:rPr>
          <w:color w:val="767171"/>
        </w:rPr>
        <w:t>5</w:t>
      </w:r>
      <w:r w:rsidR="00F74CF2" w:rsidRPr="00161FBC">
        <w:rPr>
          <w:color w:val="767171"/>
        </w:rPr>
        <w:t>4</w:t>
      </w:r>
      <w:r w:rsidR="0099705B" w:rsidRPr="00161FBC">
        <w:rPr>
          <w:color w:val="767171"/>
        </w:rPr>
        <w:t>%</w:t>
      </w:r>
      <w:r w:rsidR="00F74CF2" w:rsidRPr="00161FBC">
        <w:rPr>
          <w:color w:val="767171"/>
        </w:rPr>
        <w:t>)</w:t>
      </w:r>
      <w:r w:rsidR="00C560EA" w:rsidRPr="00161FBC">
        <w:rPr>
          <w:color w:val="767171"/>
        </w:rPr>
        <w:t xml:space="preserve"> </w:t>
      </w:r>
      <w:r w:rsidR="00C560EA" w:rsidRPr="00161FBC">
        <w:rPr>
          <w:rFonts w:eastAsia="Calibri"/>
          <w:color w:val="767171"/>
        </w:rPr>
        <w:t>del total de decisiones emitidas</w:t>
      </w:r>
      <w:r w:rsidR="00F178BF" w:rsidRPr="00161FBC">
        <w:rPr>
          <w:color w:val="767171"/>
        </w:rPr>
        <w:t xml:space="preserve">. </w:t>
      </w:r>
      <w:bookmarkEnd w:id="22"/>
    </w:p>
    <w:p w14:paraId="0BABFF62" w14:textId="79A21954"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3</w:t>
      </w:r>
      <w:r w:rsidRPr="006D0445">
        <w:rPr>
          <w:color w:val="767171"/>
        </w:rPr>
        <w:fldChar w:fldCharType="end"/>
      </w:r>
      <w:r w:rsidRPr="006D0445">
        <w:rPr>
          <w:color w:val="767171"/>
        </w:rPr>
        <w:t>Decisiones Protecom</w:t>
      </w:r>
    </w:p>
    <w:tbl>
      <w:tblPr>
        <w:tblStyle w:val="Tablaconcuadrcula"/>
        <w:tblW w:w="7787" w:type="dxa"/>
        <w:tblLook w:val="04A0" w:firstRow="1" w:lastRow="0" w:firstColumn="1" w:lastColumn="0" w:noHBand="0" w:noVBand="1"/>
      </w:tblPr>
      <w:tblGrid>
        <w:gridCol w:w="1838"/>
        <w:gridCol w:w="1843"/>
        <w:gridCol w:w="1843"/>
        <w:gridCol w:w="2263"/>
      </w:tblGrid>
      <w:tr w:rsidR="006D0445" w:rsidRPr="006D0445" w14:paraId="699D6256" w14:textId="6F0200AF" w:rsidTr="00A40D5A">
        <w:trPr>
          <w:trHeight w:val="983"/>
        </w:trPr>
        <w:tc>
          <w:tcPr>
            <w:tcW w:w="1838" w:type="dxa"/>
            <w:shd w:val="clear" w:color="auto" w:fill="011C50"/>
            <w:vAlign w:val="center"/>
          </w:tcPr>
          <w:p w14:paraId="3974BD08" w14:textId="7F994AF6" w:rsidR="00535A99" w:rsidRPr="00C448FD" w:rsidRDefault="00535A99" w:rsidP="0077543D">
            <w:pPr>
              <w:spacing w:line="276" w:lineRule="auto"/>
              <w:jc w:val="center"/>
              <w:rPr>
                <w:color w:val="FFFFFF" w:themeColor="background1"/>
              </w:rPr>
            </w:pPr>
            <w:proofErr w:type="gramStart"/>
            <w:r w:rsidRPr="00C448FD">
              <w:rPr>
                <w:color w:val="FFFFFF" w:themeColor="background1"/>
              </w:rPr>
              <w:t>Total</w:t>
            </w:r>
            <w:proofErr w:type="gramEnd"/>
            <w:r w:rsidRPr="00C448FD">
              <w:rPr>
                <w:color w:val="FFFFFF" w:themeColor="background1"/>
              </w:rPr>
              <w:t xml:space="preserve"> de Decisiones </w:t>
            </w:r>
            <w:proofErr w:type="spellStart"/>
            <w:r w:rsidRPr="00C448FD">
              <w:rPr>
                <w:color w:val="FFFFFF" w:themeColor="background1"/>
              </w:rPr>
              <w:t>Protecom</w:t>
            </w:r>
            <w:proofErr w:type="spellEnd"/>
          </w:p>
        </w:tc>
        <w:tc>
          <w:tcPr>
            <w:tcW w:w="1843" w:type="dxa"/>
            <w:shd w:val="clear" w:color="auto" w:fill="011C50"/>
            <w:vAlign w:val="center"/>
          </w:tcPr>
          <w:p w14:paraId="4E84B093" w14:textId="17733FDF" w:rsidR="00535A99" w:rsidRPr="00C448FD" w:rsidRDefault="00535A99" w:rsidP="0077543D">
            <w:pPr>
              <w:spacing w:line="276" w:lineRule="auto"/>
              <w:jc w:val="center"/>
              <w:rPr>
                <w:color w:val="FFFFFF" w:themeColor="background1"/>
              </w:rPr>
            </w:pPr>
            <w:r w:rsidRPr="00C448FD">
              <w:rPr>
                <w:color w:val="FFFFFF" w:themeColor="background1"/>
              </w:rPr>
              <w:t>Decisiones Procedentes</w:t>
            </w:r>
          </w:p>
        </w:tc>
        <w:tc>
          <w:tcPr>
            <w:tcW w:w="1843" w:type="dxa"/>
            <w:shd w:val="clear" w:color="auto" w:fill="011C50"/>
            <w:vAlign w:val="center"/>
          </w:tcPr>
          <w:p w14:paraId="5376DAFB" w14:textId="457748E9" w:rsidR="00535A99" w:rsidRPr="00C448FD" w:rsidRDefault="00535A99" w:rsidP="0077543D">
            <w:pPr>
              <w:spacing w:line="276" w:lineRule="auto"/>
              <w:jc w:val="center"/>
              <w:rPr>
                <w:color w:val="FFFFFF" w:themeColor="background1"/>
              </w:rPr>
            </w:pPr>
            <w:r w:rsidRPr="00C448FD">
              <w:rPr>
                <w:color w:val="FFFFFF" w:themeColor="background1"/>
              </w:rPr>
              <w:t>Decisiones Improcedentes</w:t>
            </w:r>
          </w:p>
        </w:tc>
        <w:tc>
          <w:tcPr>
            <w:tcW w:w="2263" w:type="dxa"/>
            <w:tcBorders>
              <w:bottom w:val="nil"/>
            </w:tcBorders>
            <w:shd w:val="clear" w:color="auto" w:fill="011C50"/>
            <w:vAlign w:val="center"/>
          </w:tcPr>
          <w:p w14:paraId="3AE128FE" w14:textId="61DA25CB" w:rsidR="00535A99" w:rsidRPr="00C448FD" w:rsidRDefault="001D084C" w:rsidP="00535A99">
            <w:pPr>
              <w:spacing w:line="276" w:lineRule="auto"/>
              <w:jc w:val="center"/>
              <w:rPr>
                <w:color w:val="FFFFFF" w:themeColor="background1"/>
              </w:rPr>
            </w:pPr>
            <w:r w:rsidRPr="00C448FD">
              <w:rPr>
                <w:color w:val="FFFFFF" w:themeColor="background1"/>
              </w:rPr>
              <w:t>Período</w:t>
            </w:r>
          </w:p>
        </w:tc>
      </w:tr>
      <w:tr w:rsidR="006D0445" w:rsidRPr="006D0445" w14:paraId="08374980" w14:textId="6AEE7602" w:rsidTr="002C4905">
        <w:trPr>
          <w:trHeight w:val="679"/>
        </w:trPr>
        <w:tc>
          <w:tcPr>
            <w:tcW w:w="1838" w:type="dxa"/>
            <w:vAlign w:val="center"/>
          </w:tcPr>
          <w:p w14:paraId="55D27C2B" w14:textId="68B174AB" w:rsidR="00535A99" w:rsidRPr="006D0445" w:rsidRDefault="001D084C" w:rsidP="0077543D">
            <w:pPr>
              <w:jc w:val="center"/>
              <w:rPr>
                <w:color w:val="767171"/>
              </w:rPr>
            </w:pPr>
            <w:r w:rsidRPr="006D0445">
              <w:rPr>
                <w:color w:val="767171"/>
              </w:rPr>
              <w:t>69,429</w:t>
            </w:r>
          </w:p>
        </w:tc>
        <w:tc>
          <w:tcPr>
            <w:tcW w:w="1843" w:type="dxa"/>
            <w:vAlign w:val="center"/>
          </w:tcPr>
          <w:p w14:paraId="06F2724A" w14:textId="375C77D0" w:rsidR="00535A99" w:rsidRPr="006D0445" w:rsidRDefault="001D084C" w:rsidP="0077543D">
            <w:pPr>
              <w:jc w:val="center"/>
              <w:rPr>
                <w:color w:val="767171"/>
              </w:rPr>
            </w:pPr>
            <w:r w:rsidRPr="006D0445">
              <w:rPr>
                <w:color w:val="767171"/>
              </w:rPr>
              <w:t>27,848</w:t>
            </w:r>
            <w:r w:rsidR="00535A99" w:rsidRPr="006D0445">
              <w:rPr>
                <w:color w:val="767171"/>
              </w:rPr>
              <w:t xml:space="preserve"> (4</w:t>
            </w:r>
            <w:r w:rsidRPr="006D0445">
              <w:rPr>
                <w:color w:val="767171"/>
              </w:rPr>
              <w:t>6</w:t>
            </w:r>
            <w:r w:rsidR="00535A99" w:rsidRPr="006D0445">
              <w:rPr>
                <w:color w:val="767171"/>
              </w:rPr>
              <w:t>%)</w:t>
            </w:r>
          </w:p>
        </w:tc>
        <w:tc>
          <w:tcPr>
            <w:tcW w:w="1843" w:type="dxa"/>
            <w:vAlign w:val="center"/>
          </w:tcPr>
          <w:p w14:paraId="1E172D3E" w14:textId="1FB0FA97" w:rsidR="00535A99" w:rsidRPr="006D0445" w:rsidRDefault="001D084C" w:rsidP="0077543D">
            <w:pPr>
              <w:jc w:val="center"/>
              <w:rPr>
                <w:color w:val="767171"/>
              </w:rPr>
            </w:pPr>
            <w:r w:rsidRPr="006D0445">
              <w:rPr>
                <w:color w:val="767171"/>
              </w:rPr>
              <w:t>33,327</w:t>
            </w:r>
            <w:r w:rsidR="00535A99" w:rsidRPr="006D0445">
              <w:rPr>
                <w:color w:val="767171"/>
              </w:rPr>
              <w:t xml:space="preserve"> (5</w:t>
            </w:r>
            <w:r w:rsidRPr="006D0445">
              <w:rPr>
                <w:color w:val="767171"/>
              </w:rPr>
              <w:t>4</w:t>
            </w:r>
            <w:r w:rsidR="00535A99" w:rsidRPr="006D0445">
              <w:rPr>
                <w:color w:val="767171"/>
              </w:rPr>
              <w:t>%)</w:t>
            </w:r>
          </w:p>
        </w:tc>
        <w:tc>
          <w:tcPr>
            <w:tcW w:w="2263" w:type="dxa"/>
            <w:tcBorders>
              <w:top w:val="nil"/>
            </w:tcBorders>
            <w:vAlign w:val="center"/>
          </w:tcPr>
          <w:p w14:paraId="59320D7B" w14:textId="3727D3D4" w:rsidR="00535A99" w:rsidRPr="006D0445" w:rsidRDefault="001D084C" w:rsidP="00535A99">
            <w:pPr>
              <w:jc w:val="center"/>
              <w:rPr>
                <w:color w:val="767171"/>
              </w:rPr>
            </w:pPr>
            <w:r w:rsidRPr="006D0445">
              <w:rPr>
                <w:color w:val="767171"/>
              </w:rPr>
              <w:t xml:space="preserve">Enero – </w:t>
            </w:r>
            <w:r w:rsidR="00386A14">
              <w:rPr>
                <w:color w:val="767171"/>
              </w:rPr>
              <w:t>Dic</w:t>
            </w:r>
            <w:r w:rsidRPr="006D0445">
              <w:rPr>
                <w:color w:val="767171"/>
              </w:rPr>
              <w:t xml:space="preserve"> 2024</w:t>
            </w:r>
          </w:p>
        </w:tc>
      </w:tr>
    </w:tbl>
    <w:p w14:paraId="359E7505" w14:textId="5EC4696F" w:rsidR="00BA7EE6" w:rsidRPr="006D0445" w:rsidRDefault="00FF10CA" w:rsidP="005E6948">
      <w:pPr>
        <w:rPr>
          <w:color w:val="767171"/>
          <w:sz w:val="18"/>
          <w:szCs w:val="18"/>
        </w:rPr>
      </w:pPr>
      <w:r w:rsidRPr="006D0445">
        <w:rPr>
          <w:rFonts w:eastAsia="Times New Roman"/>
          <w:color w:val="767171"/>
          <w:sz w:val="18"/>
          <w:szCs w:val="18"/>
        </w:rPr>
        <w:t>Fuente: Dirección Protecom</w:t>
      </w:r>
    </w:p>
    <w:p w14:paraId="43E5A11E" w14:textId="265F4E6C" w:rsidR="007B0A9D" w:rsidRPr="006D0445" w:rsidRDefault="007B0A9D" w:rsidP="004D1697">
      <w:pPr>
        <w:rPr>
          <w:color w:val="767171"/>
        </w:rPr>
      </w:pPr>
      <w:r w:rsidRPr="006D0445">
        <w:rPr>
          <w:color w:val="767171"/>
        </w:rPr>
        <w:lastRenderedPageBreak/>
        <w:t>Para mejorar el servicio brindado a los usuarios del servicio eléctrico,</w:t>
      </w:r>
      <w:r w:rsidR="00D3510F" w:rsidRPr="006D0445">
        <w:rPr>
          <w:color w:val="767171"/>
        </w:rPr>
        <w:t xml:space="preserve"> en este año</w:t>
      </w:r>
      <w:r w:rsidRPr="006D0445">
        <w:rPr>
          <w:color w:val="767171"/>
        </w:rPr>
        <w:t xml:space="preserve"> se implementaron </w:t>
      </w:r>
      <w:r w:rsidR="00D3510F" w:rsidRPr="006D0445">
        <w:rPr>
          <w:color w:val="767171"/>
        </w:rPr>
        <w:t>las siguientes iniciativas:</w:t>
      </w:r>
    </w:p>
    <w:p w14:paraId="5B6AA225" w14:textId="0AA3EFB0" w:rsidR="002C4905" w:rsidRPr="006D0445" w:rsidRDefault="001D084C" w:rsidP="00AE6336">
      <w:pPr>
        <w:pStyle w:val="Prrafodelista"/>
        <w:numPr>
          <w:ilvl w:val="0"/>
          <w:numId w:val="19"/>
        </w:numPr>
        <w:spacing w:after="0"/>
        <w:rPr>
          <w:color w:val="767171"/>
        </w:rPr>
      </w:pPr>
      <w:r w:rsidRPr="006D0445">
        <w:rPr>
          <w:color w:val="767171"/>
        </w:rPr>
        <w:t>Se reubicaron las oficinas de Cotuí, Las Terrenas u Valverde Mao a lugares más accesibles para los usuarios.</w:t>
      </w:r>
    </w:p>
    <w:p w14:paraId="65A90DFB" w14:textId="39E70282" w:rsidR="00C01D85" w:rsidRPr="006D0445" w:rsidRDefault="00FB0CA1" w:rsidP="00EB4CC7">
      <w:pPr>
        <w:jc w:val="left"/>
        <w:rPr>
          <w:b/>
          <w:bCs/>
          <w:color w:val="767171"/>
        </w:rPr>
      </w:pPr>
      <w:bookmarkStart w:id="23" w:name="_Hlk152921392"/>
      <w:r w:rsidRPr="006D0445">
        <w:rPr>
          <w:b/>
          <w:bCs/>
          <w:color w:val="767171"/>
        </w:rPr>
        <w:t>Recursos Jerárquicos</w:t>
      </w:r>
    </w:p>
    <w:p w14:paraId="0867DD32" w14:textId="4D08E8D0" w:rsidR="00A6259D" w:rsidRPr="006D0445" w:rsidRDefault="00A6259D" w:rsidP="00C01D85">
      <w:pPr>
        <w:rPr>
          <w:rFonts w:eastAsia="Calibri"/>
          <w:color w:val="767171"/>
        </w:rPr>
      </w:pPr>
      <w:bookmarkStart w:id="24" w:name="_Hlk152922936"/>
      <w:r w:rsidRPr="006D0445">
        <w:rPr>
          <w:rFonts w:eastAsia="Calibri"/>
          <w:color w:val="767171"/>
        </w:rPr>
        <w:t>En cumplimiento a lo estipulado en la normativa vigente</w:t>
      </w:r>
      <w:r w:rsidR="00B93644" w:rsidRPr="006D0445">
        <w:rPr>
          <w:rFonts w:eastAsia="Calibri"/>
          <w:color w:val="767171"/>
        </w:rPr>
        <w:t xml:space="preserve"> </w:t>
      </w:r>
      <w:r w:rsidR="002F1564" w:rsidRPr="006D0445">
        <w:rPr>
          <w:rFonts w:eastAsia="Calibri"/>
          <w:color w:val="767171"/>
        </w:rPr>
        <w:t xml:space="preserve">de la Ley 125-01 </w:t>
      </w:r>
      <w:r w:rsidR="00B93644" w:rsidRPr="006D0445">
        <w:rPr>
          <w:rFonts w:eastAsia="Calibri"/>
          <w:color w:val="767171"/>
        </w:rPr>
        <w:t xml:space="preserve">sobre </w:t>
      </w:r>
      <w:r w:rsidR="002F1564" w:rsidRPr="006D0445">
        <w:rPr>
          <w:rFonts w:eastAsia="Calibri"/>
          <w:color w:val="767171"/>
        </w:rPr>
        <w:t xml:space="preserve">el </w:t>
      </w:r>
      <w:r w:rsidR="00331295" w:rsidRPr="006D0445">
        <w:rPr>
          <w:rFonts w:eastAsia="Calibri"/>
          <w:color w:val="767171"/>
        </w:rPr>
        <w:t>sometimiento de los Recursos Jerárquicos y Contenciosos Administrativos interpuestos contra decisiones del PROTECOM, en este año se llevaron a cabo las siguientes ejecutorias:</w:t>
      </w:r>
    </w:p>
    <w:bookmarkEnd w:id="23"/>
    <w:bookmarkEnd w:id="24"/>
    <w:p w14:paraId="0CE21396" w14:textId="3B18366A" w:rsidR="001A0A26" w:rsidRPr="006D0445" w:rsidRDefault="001A0A26" w:rsidP="001A0A26">
      <w:pPr>
        <w:rPr>
          <w:rFonts w:eastAsia="Calibri"/>
          <w:b/>
          <w:bCs/>
          <w:color w:val="767171"/>
        </w:rPr>
      </w:pPr>
      <w:r w:rsidRPr="006D0445">
        <w:rPr>
          <w:rFonts w:eastAsia="Calibri"/>
          <w:b/>
          <w:bCs/>
          <w:color w:val="767171"/>
        </w:rPr>
        <w:t>Impacto En Ciudadanos</w:t>
      </w:r>
    </w:p>
    <w:p w14:paraId="620FA130" w14:textId="4F6E456B" w:rsidR="001A0A26" w:rsidRPr="006D0445" w:rsidRDefault="001A0A26" w:rsidP="001A0A26">
      <w:pPr>
        <w:rPr>
          <w:rFonts w:eastAsia="Calibri"/>
          <w:color w:val="767171"/>
        </w:rPr>
      </w:pPr>
      <w:r w:rsidRPr="006D0445">
        <w:rPr>
          <w:rFonts w:eastAsia="Calibri"/>
          <w:color w:val="767171"/>
        </w:rPr>
        <w:t>Hasta el 30 de noviembre del año 2024, la SIE ha emitido 4,648 resoluciones sobre Recursos Jerárquicos respecto a casos sometidos por los Usuarios contra decisiones de la Dirección de PROTECOM y Peritaje, quedando “Ratificadas” 3,195 y “Anuladas” 1,453, cantidades que equivalen al 69% y al 31%, respectivamente.</w:t>
      </w:r>
    </w:p>
    <w:p w14:paraId="131DF237" w14:textId="0F87E30F" w:rsidR="001A0A26" w:rsidRPr="006D0445" w:rsidRDefault="001A0A26" w:rsidP="001A0A26">
      <w:pPr>
        <w:rPr>
          <w:rFonts w:eastAsia="Calibri"/>
          <w:b/>
          <w:bCs/>
          <w:color w:val="767171"/>
        </w:rPr>
      </w:pPr>
      <w:r w:rsidRPr="006D0445">
        <w:rPr>
          <w:rFonts w:eastAsia="Calibri"/>
          <w:b/>
          <w:bCs/>
          <w:color w:val="767171"/>
        </w:rPr>
        <w:t>Impacto En Las Empresas</w:t>
      </w:r>
    </w:p>
    <w:p w14:paraId="3D5E9EA1" w14:textId="721DFA4C" w:rsidR="001A0A26" w:rsidRPr="006D0445" w:rsidRDefault="001A0A26" w:rsidP="001A0A26">
      <w:pPr>
        <w:rPr>
          <w:rFonts w:eastAsia="Calibri"/>
          <w:color w:val="767171"/>
        </w:rPr>
      </w:pPr>
      <w:r w:rsidRPr="006D0445">
        <w:rPr>
          <w:rFonts w:eastAsia="Calibri"/>
          <w:color w:val="767171"/>
        </w:rPr>
        <w:t xml:space="preserve">La SIE también emitió 78 resoluciones sobre Recursos Jerárquicos sometidos por las Empresas Distribuidoras contra decisiones de la Dirección de PROTECOM y Peritaje, quedando “Ratificadas” 48 decisiones y “Anuladas” 30, cantidades que equivalen al 62% y al 38%, respectivamente. </w:t>
      </w:r>
    </w:p>
    <w:p w14:paraId="5E8EDF77" w14:textId="15A94C5B" w:rsidR="001A0A26" w:rsidRPr="006D0445" w:rsidRDefault="001A0A26" w:rsidP="001A0A26">
      <w:pPr>
        <w:rPr>
          <w:rFonts w:eastAsia="Calibri"/>
          <w:b/>
          <w:bCs/>
          <w:color w:val="767171"/>
        </w:rPr>
      </w:pPr>
      <w:r w:rsidRPr="006D0445">
        <w:rPr>
          <w:rFonts w:eastAsia="Calibri"/>
          <w:b/>
          <w:bCs/>
          <w:color w:val="767171"/>
        </w:rPr>
        <w:t>Impacto En Gobierno</w:t>
      </w:r>
    </w:p>
    <w:p w14:paraId="1EE2187D" w14:textId="4E196C2A" w:rsidR="001A0A26" w:rsidRPr="006D0445" w:rsidRDefault="001A0A26" w:rsidP="001A0A26">
      <w:pPr>
        <w:rPr>
          <w:rFonts w:eastAsia="Calibri"/>
          <w:color w:val="767171"/>
        </w:rPr>
      </w:pPr>
      <w:r w:rsidRPr="006D0445">
        <w:rPr>
          <w:rFonts w:eastAsia="Calibri"/>
          <w:color w:val="767171"/>
        </w:rPr>
        <w:t xml:space="preserve">Durante el período comprendido entre el 2 de enero y el 30 de noviembre del año 2024, la SIE recibió un total de 8,052 Recursos Jerárquicos, habiendo conocido durante dicho período un total de 6,695 casos, sometidos tanto por las Empresas Distribuidoras de Electricidad como por sus clientes. Los recursos conocidos representan al 83% del total de los recursos presentados. </w:t>
      </w:r>
    </w:p>
    <w:p w14:paraId="62D224A3" w14:textId="77777777" w:rsidR="001A0A26" w:rsidRPr="006D0445" w:rsidRDefault="001A0A26" w:rsidP="001A0A26">
      <w:pPr>
        <w:rPr>
          <w:rFonts w:eastAsia="Calibri"/>
          <w:color w:val="767171"/>
        </w:rPr>
      </w:pPr>
      <w:r w:rsidRPr="006D0445">
        <w:rPr>
          <w:rFonts w:eastAsia="Calibri"/>
          <w:color w:val="767171"/>
        </w:rPr>
        <w:t>Es de lugar resaltar, que en el conocimiento de dichos recursos esta SIE emitió un total de 4,726 resoluciones, las cuales se encuentran distribuidas por los motivos de reclamaciones siguientes:</w:t>
      </w:r>
    </w:p>
    <w:p w14:paraId="34972A52" w14:textId="77777777" w:rsidR="002C4905" w:rsidRPr="006D0445" w:rsidRDefault="002C4905">
      <w:pPr>
        <w:spacing w:line="259" w:lineRule="auto"/>
        <w:jc w:val="left"/>
        <w:rPr>
          <w:rFonts w:eastAsia="Times New Roman"/>
          <w:color w:val="767171"/>
        </w:rPr>
      </w:pPr>
      <w:r w:rsidRPr="006D0445">
        <w:rPr>
          <w:rFonts w:eastAsia="Times New Roman"/>
          <w:color w:val="767171"/>
        </w:rPr>
        <w:br w:type="page"/>
      </w:r>
    </w:p>
    <w:p w14:paraId="3CDB5A48" w14:textId="76BD7F89" w:rsidR="001A00FC" w:rsidRPr="006D0445" w:rsidRDefault="001A00FC" w:rsidP="001A00FC">
      <w:pPr>
        <w:pStyle w:val="Descripcin"/>
        <w:keepNext/>
        <w:rPr>
          <w:color w:val="767171"/>
        </w:rPr>
      </w:pPr>
      <w:r w:rsidRPr="006D0445">
        <w:rPr>
          <w:color w:val="767171"/>
        </w:rPr>
        <w:lastRenderedPageBreak/>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4</w:t>
      </w:r>
      <w:r w:rsidRPr="006D0445">
        <w:rPr>
          <w:color w:val="767171"/>
        </w:rPr>
        <w:fldChar w:fldCharType="end"/>
      </w:r>
      <w:r w:rsidRPr="006D0445">
        <w:rPr>
          <w:color w:val="767171"/>
        </w:rPr>
        <w:t>Resoluciones Recursos Jerárquicos</w:t>
      </w:r>
    </w:p>
    <w:tbl>
      <w:tblPr>
        <w:tblW w:w="7691" w:type="dxa"/>
        <w:jc w:val="center"/>
        <w:tblCellMar>
          <w:left w:w="70" w:type="dxa"/>
          <w:right w:w="70" w:type="dxa"/>
        </w:tblCellMar>
        <w:tblLook w:val="04A0" w:firstRow="1" w:lastRow="0" w:firstColumn="1" w:lastColumn="0" w:noHBand="0" w:noVBand="1"/>
      </w:tblPr>
      <w:tblGrid>
        <w:gridCol w:w="5377"/>
        <w:gridCol w:w="2314"/>
      </w:tblGrid>
      <w:tr w:rsidR="006D0445" w:rsidRPr="006D0445" w14:paraId="1A15D641" w14:textId="77777777" w:rsidTr="00F521A5">
        <w:trPr>
          <w:trHeight w:val="728"/>
          <w:tblHeader/>
          <w:jc w:val="center"/>
        </w:trPr>
        <w:tc>
          <w:tcPr>
            <w:tcW w:w="5377" w:type="dxa"/>
            <w:tcBorders>
              <w:top w:val="single" w:sz="8" w:space="0" w:color="767171"/>
              <w:left w:val="single" w:sz="8" w:space="0" w:color="767171"/>
              <w:bottom w:val="single" w:sz="8" w:space="0" w:color="767171"/>
              <w:right w:val="single" w:sz="8" w:space="0" w:color="767171"/>
            </w:tcBorders>
            <w:shd w:val="clear" w:color="auto" w:fill="011C50"/>
            <w:noWrap/>
            <w:vAlign w:val="center"/>
            <w:hideMark/>
          </w:tcPr>
          <w:p w14:paraId="34CCF2B0" w14:textId="77777777" w:rsidR="00E63947" w:rsidRPr="00C448FD" w:rsidRDefault="00E63947" w:rsidP="00025FB5">
            <w:pPr>
              <w:spacing w:line="240" w:lineRule="auto"/>
              <w:jc w:val="center"/>
              <w:rPr>
                <w:rFonts w:eastAsia="Times New Roman"/>
                <w:b/>
                <w:bCs/>
                <w:color w:val="FFFFFF" w:themeColor="background1"/>
              </w:rPr>
            </w:pPr>
            <w:r w:rsidRPr="00C448FD">
              <w:rPr>
                <w:rFonts w:eastAsia="Times New Roman"/>
                <w:b/>
                <w:bCs/>
                <w:color w:val="FFFFFF" w:themeColor="background1"/>
              </w:rPr>
              <w:t>Motivo Reclamación</w:t>
            </w:r>
          </w:p>
        </w:tc>
        <w:tc>
          <w:tcPr>
            <w:tcW w:w="2314" w:type="dxa"/>
            <w:tcBorders>
              <w:top w:val="single" w:sz="8" w:space="0" w:color="767171"/>
              <w:left w:val="nil"/>
              <w:bottom w:val="single" w:sz="8" w:space="0" w:color="767171"/>
              <w:right w:val="single" w:sz="8" w:space="0" w:color="767171"/>
            </w:tcBorders>
            <w:shd w:val="clear" w:color="auto" w:fill="011C50"/>
            <w:noWrap/>
            <w:vAlign w:val="center"/>
            <w:hideMark/>
          </w:tcPr>
          <w:p w14:paraId="7498FAC9" w14:textId="77777777" w:rsidR="009E5538" w:rsidRPr="00C448FD" w:rsidRDefault="009E5538" w:rsidP="009E5538">
            <w:pPr>
              <w:spacing w:after="0" w:line="240" w:lineRule="auto"/>
              <w:ind w:firstLine="79"/>
              <w:jc w:val="center"/>
              <w:rPr>
                <w:rFonts w:eastAsia="Times New Roman"/>
                <w:b/>
                <w:bCs/>
                <w:color w:val="FFFFFF" w:themeColor="background1"/>
              </w:rPr>
            </w:pPr>
            <w:r w:rsidRPr="00C448FD">
              <w:rPr>
                <w:rFonts w:eastAsia="Times New Roman"/>
                <w:b/>
                <w:bCs/>
                <w:color w:val="FFFFFF" w:themeColor="background1"/>
              </w:rPr>
              <w:t>Resoluciones</w:t>
            </w:r>
          </w:p>
          <w:p w14:paraId="358713F8" w14:textId="613EDDF1" w:rsidR="00E63947" w:rsidRPr="00C448FD" w:rsidRDefault="009E5538" w:rsidP="009E5538">
            <w:pPr>
              <w:spacing w:after="0" w:line="240" w:lineRule="auto"/>
              <w:ind w:firstLine="79"/>
              <w:jc w:val="center"/>
              <w:rPr>
                <w:rFonts w:eastAsia="Times New Roman"/>
                <w:b/>
                <w:bCs/>
                <w:color w:val="FFFFFF" w:themeColor="background1"/>
              </w:rPr>
            </w:pPr>
            <w:r w:rsidRPr="00C448FD">
              <w:rPr>
                <w:rFonts w:eastAsia="Times New Roman"/>
                <w:b/>
                <w:bCs/>
                <w:color w:val="FFFFFF" w:themeColor="background1"/>
              </w:rPr>
              <w:t>(</w:t>
            </w:r>
            <w:r w:rsidR="00E63947" w:rsidRPr="00C448FD">
              <w:rPr>
                <w:rFonts w:eastAsia="Times New Roman"/>
                <w:b/>
                <w:bCs/>
                <w:color w:val="FFFFFF" w:themeColor="background1"/>
              </w:rPr>
              <w:t>Cantidad</w:t>
            </w:r>
            <w:r w:rsidRPr="00C448FD">
              <w:rPr>
                <w:rFonts w:eastAsia="Times New Roman"/>
                <w:b/>
                <w:bCs/>
                <w:color w:val="FFFFFF" w:themeColor="background1"/>
              </w:rPr>
              <w:t>)</w:t>
            </w:r>
          </w:p>
        </w:tc>
      </w:tr>
      <w:tr w:rsidR="006D0445" w:rsidRPr="006D0445" w14:paraId="40DC124E"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52C94830" w14:textId="41FF7CD8" w:rsidR="00AF7E2E" w:rsidRPr="006D0445" w:rsidRDefault="00AF7E2E" w:rsidP="00AF7E2E">
            <w:pPr>
              <w:spacing w:line="240" w:lineRule="auto"/>
              <w:rPr>
                <w:rFonts w:eastAsia="Times New Roman"/>
                <w:color w:val="767171"/>
              </w:rPr>
            </w:pPr>
            <w:r w:rsidRPr="006D0445">
              <w:rPr>
                <w:rFonts w:eastAsia="Calibri"/>
                <w:color w:val="767171"/>
              </w:rPr>
              <w:t>Facturación Alta</w:t>
            </w:r>
          </w:p>
        </w:tc>
        <w:tc>
          <w:tcPr>
            <w:tcW w:w="2314" w:type="dxa"/>
            <w:tcBorders>
              <w:top w:val="nil"/>
              <w:left w:val="nil"/>
              <w:bottom w:val="single" w:sz="8" w:space="0" w:color="767171"/>
              <w:right w:val="single" w:sz="8" w:space="0" w:color="767171"/>
            </w:tcBorders>
            <w:shd w:val="clear" w:color="auto" w:fill="auto"/>
            <w:noWrap/>
            <w:vAlign w:val="center"/>
            <w:hideMark/>
          </w:tcPr>
          <w:p w14:paraId="0EE34BB5" w14:textId="24E35D68"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4535</w:t>
            </w:r>
          </w:p>
        </w:tc>
      </w:tr>
      <w:tr w:rsidR="006D0445" w:rsidRPr="006D0445" w14:paraId="56A4FEF4"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55B712FA" w14:textId="613FD305" w:rsidR="00AF7E2E" w:rsidRPr="006D0445" w:rsidRDefault="00AF7E2E" w:rsidP="00AF7E2E">
            <w:pPr>
              <w:spacing w:line="240" w:lineRule="auto"/>
              <w:rPr>
                <w:rFonts w:eastAsia="Times New Roman"/>
                <w:color w:val="767171"/>
                <w:lang w:val="es-US"/>
              </w:rPr>
            </w:pPr>
            <w:r w:rsidRPr="006D0445">
              <w:rPr>
                <w:rFonts w:eastAsia="Calibri"/>
                <w:color w:val="767171"/>
              </w:rPr>
              <w:t>Facturación sin uso de Energía</w:t>
            </w:r>
          </w:p>
        </w:tc>
        <w:tc>
          <w:tcPr>
            <w:tcW w:w="2314" w:type="dxa"/>
            <w:tcBorders>
              <w:top w:val="nil"/>
              <w:left w:val="nil"/>
              <w:bottom w:val="single" w:sz="8" w:space="0" w:color="767171"/>
              <w:right w:val="single" w:sz="8" w:space="0" w:color="767171"/>
            </w:tcBorders>
            <w:shd w:val="clear" w:color="auto" w:fill="auto"/>
            <w:noWrap/>
            <w:vAlign w:val="center"/>
            <w:hideMark/>
          </w:tcPr>
          <w:p w14:paraId="6B5FD616" w14:textId="5EFD2D2B"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53</w:t>
            </w:r>
          </w:p>
        </w:tc>
      </w:tr>
      <w:tr w:rsidR="006D0445" w:rsidRPr="006D0445" w14:paraId="3622EA0E"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12D5C550" w14:textId="6520BC8A" w:rsidR="00AF7E2E" w:rsidRPr="006D0445" w:rsidRDefault="00AF7E2E" w:rsidP="00AF7E2E">
            <w:pPr>
              <w:spacing w:line="240" w:lineRule="auto"/>
              <w:rPr>
                <w:rFonts w:eastAsia="Times New Roman"/>
                <w:color w:val="767171"/>
              </w:rPr>
            </w:pPr>
            <w:r w:rsidRPr="006D0445">
              <w:rPr>
                <w:rFonts w:eastAsia="Calibri"/>
                <w:color w:val="767171"/>
              </w:rPr>
              <w:t>Acta de Irregularidad No Intencional</w:t>
            </w:r>
          </w:p>
        </w:tc>
        <w:tc>
          <w:tcPr>
            <w:tcW w:w="2314" w:type="dxa"/>
            <w:tcBorders>
              <w:top w:val="nil"/>
              <w:left w:val="nil"/>
              <w:bottom w:val="single" w:sz="8" w:space="0" w:color="767171"/>
              <w:right w:val="single" w:sz="8" w:space="0" w:color="767171"/>
            </w:tcBorders>
            <w:shd w:val="clear" w:color="auto" w:fill="auto"/>
            <w:noWrap/>
            <w:vAlign w:val="center"/>
            <w:hideMark/>
          </w:tcPr>
          <w:p w14:paraId="2DFF4C67" w14:textId="48A449B4"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49</w:t>
            </w:r>
          </w:p>
        </w:tc>
      </w:tr>
      <w:tr w:rsidR="006D0445" w:rsidRPr="006D0445" w14:paraId="087152F2"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7479DE5E" w14:textId="2B1808BD" w:rsidR="00AF7E2E" w:rsidRPr="006D0445" w:rsidRDefault="00AF7E2E" w:rsidP="00AF7E2E">
            <w:pPr>
              <w:spacing w:line="240" w:lineRule="auto"/>
              <w:rPr>
                <w:rFonts w:eastAsia="Times New Roman"/>
                <w:color w:val="767171"/>
                <w:lang w:val="es-US"/>
              </w:rPr>
            </w:pPr>
            <w:r w:rsidRPr="006D0445">
              <w:rPr>
                <w:rFonts w:eastAsia="Calibri"/>
                <w:color w:val="767171"/>
              </w:rPr>
              <w:t>Facturación Estimada</w:t>
            </w:r>
          </w:p>
        </w:tc>
        <w:tc>
          <w:tcPr>
            <w:tcW w:w="2314" w:type="dxa"/>
            <w:tcBorders>
              <w:top w:val="nil"/>
              <w:left w:val="nil"/>
              <w:bottom w:val="single" w:sz="8" w:space="0" w:color="767171"/>
              <w:right w:val="single" w:sz="8" w:space="0" w:color="767171"/>
            </w:tcBorders>
            <w:shd w:val="clear" w:color="auto" w:fill="auto"/>
            <w:noWrap/>
            <w:vAlign w:val="center"/>
            <w:hideMark/>
          </w:tcPr>
          <w:p w14:paraId="0254C0B3" w14:textId="1D8390CB"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41</w:t>
            </w:r>
          </w:p>
        </w:tc>
      </w:tr>
      <w:tr w:rsidR="006D0445" w:rsidRPr="006D0445" w14:paraId="4EB98237"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7E87BF11" w14:textId="1E3D8C26" w:rsidR="00AF7E2E" w:rsidRPr="006D0445" w:rsidRDefault="00AF7E2E" w:rsidP="00AF7E2E">
            <w:pPr>
              <w:spacing w:line="240" w:lineRule="auto"/>
              <w:rPr>
                <w:rFonts w:eastAsia="Times New Roman"/>
                <w:color w:val="767171"/>
                <w:lang w:val="es-US"/>
              </w:rPr>
            </w:pPr>
            <w:r w:rsidRPr="006D0445">
              <w:rPr>
                <w:rFonts w:eastAsia="Calibri"/>
                <w:color w:val="767171"/>
              </w:rPr>
              <w:t>Facturación con Deuda No Reconocida por el Usuario</w:t>
            </w:r>
          </w:p>
        </w:tc>
        <w:tc>
          <w:tcPr>
            <w:tcW w:w="2314" w:type="dxa"/>
            <w:tcBorders>
              <w:top w:val="nil"/>
              <w:left w:val="nil"/>
              <w:bottom w:val="single" w:sz="8" w:space="0" w:color="767171"/>
              <w:right w:val="single" w:sz="8" w:space="0" w:color="767171"/>
            </w:tcBorders>
            <w:shd w:val="clear" w:color="auto" w:fill="auto"/>
            <w:noWrap/>
            <w:vAlign w:val="center"/>
            <w:hideMark/>
          </w:tcPr>
          <w:p w14:paraId="38B9E601" w14:textId="5030C4C8"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27</w:t>
            </w:r>
          </w:p>
        </w:tc>
      </w:tr>
      <w:tr w:rsidR="006D0445" w:rsidRPr="006D0445" w14:paraId="6C0F822C" w14:textId="77777777" w:rsidTr="009E5538">
        <w:trPr>
          <w:trHeight w:val="330"/>
          <w:jc w:val="center"/>
        </w:trPr>
        <w:tc>
          <w:tcPr>
            <w:tcW w:w="5377" w:type="dxa"/>
            <w:tcBorders>
              <w:top w:val="nil"/>
              <w:left w:val="single" w:sz="8" w:space="0" w:color="767171"/>
              <w:bottom w:val="single" w:sz="4" w:space="0" w:color="auto"/>
              <w:right w:val="single" w:sz="8" w:space="0" w:color="767171"/>
            </w:tcBorders>
            <w:shd w:val="clear" w:color="auto" w:fill="auto"/>
            <w:noWrap/>
            <w:vAlign w:val="center"/>
            <w:hideMark/>
          </w:tcPr>
          <w:p w14:paraId="3DC54741" w14:textId="7AD33B07" w:rsidR="00AF7E2E" w:rsidRPr="006D0445" w:rsidRDefault="00AF7E2E" w:rsidP="00AF7E2E">
            <w:pPr>
              <w:spacing w:line="240" w:lineRule="auto"/>
              <w:rPr>
                <w:rFonts w:eastAsia="Times New Roman"/>
                <w:color w:val="767171"/>
                <w:lang w:val="es-US"/>
              </w:rPr>
            </w:pPr>
            <w:r w:rsidRPr="006D0445">
              <w:rPr>
                <w:rFonts w:eastAsia="Calibri"/>
                <w:color w:val="767171"/>
              </w:rPr>
              <w:t>Motivo Diverso</w:t>
            </w:r>
          </w:p>
        </w:tc>
        <w:tc>
          <w:tcPr>
            <w:tcW w:w="2314" w:type="dxa"/>
            <w:tcBorders>
              <w:top w:val="nil"/>
              <w:left w:val="nil"/>
              <w:bottom w:val="single" w:sz="4" w:space="0" w:color="auto"/>
              <w:right w:val="single" w:sz="8" w:space="0" w:color="767171"/>
            </w:tcBorders>
            <w:shd w:val="clear" w:color="auto" w:fill="auto"/>
            <w:noWrap/>
            <w:vAlign w:val="center"/>
            <w:hideMark/>
          </w:tcPr>
          <w:p w14:paraId="544B6932" w14:textId="6B3DAE19"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7</w:t>
            </w:r>
          </w:p>
        </w:tc>
      </w:tr>
      <w:tr w:rsidR="006D0445" w:rsidRPr="006D0445" w14:paraId="038AF27C" w14:textId="77777777" w:rsidTr="009E5538">
        <w:trPr>
          <w:trHeight w:val="330"/>
          <w:jc w:val="center"/>
        </w:trPr>
        <w:tc>
          <w:tcPr>
            <w:tcW w:w="5377" w:type="dxa"/>
            <w:tcBorders>
              <w:top w:val="single" w:sz="4" w:space="0" w:color="auto"/>
              <w:left w:val="single" w:sz="8" w:space="0" w:color="767171"/>
              <w:bottom w:val="single" w:sz="8" w:space="0" w:color="767171"/>
              <w:right w:val="single" w:sz="8" w:space="0" w:color="767171"/>
            </w:tcBorders>
            <w:shd w:val="clear" w:color="auto" w:fill="auto"/>
            <w:noWrap/>
            <w:vAlign w:val="center"/>
            <w:hideMark/>
          </w:tcPr>
          <w:p w14:paraId="2A01B81D" w14:textId="7A1A7278" w:rsidR="00AF7E2E" w:rsidRPr="006D0445" w:rsidRDefault="00AF7E2E" w:rsidP="00AF7E2E">
            <w:pPr>
              <w:spacing w:line="240" w:lineRule="auto"/>
              <w:rPr>
                <w:rFonts w:eastAsia="Times New Roman"/>
                <w:color w:val="767171"/>
                <w:lang w:val="es-US"/>
              </w:rPr>
            </w:pPr>
            <w:r w:rsidRPr="006D0445">
              <w:rPr>
                <w:rFonts w:eastAsia="Calibri"/>
                <w:color w:val="767171"/>
              </w:rPr>
              <w:t>Facturación Baja</w:t>
            </w:r>
          </w:p>
        </w:tc>
        <w:tc>
          <w:tcPr>
            <w:tcW w:w="2314" w:type="dxa"/>
            <w:tcBorders>
              <w:top w:val="single" w:sz="4" w:space="0" w:color="auto"/>
              <w:left w:val="nil"/>
              <w:bottom w:val="single" w:sz="8" w:space="0" w:color="767171"/>
              <w:right w:val="single" w:sz="8" w:space="0" w:color="767171"/>
            </w:tcBorders>
            <w:shd w:val="clear" w:color="auto" w:fill="auto"/>
            <w:noWrap/>
            <w:vAlign w:val="center"/>
            <w:hideMark/>
          </w:tcPr>
          <w:p w14:paraId="1F00FA31" w14:textId="01263A3D"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3</w:t>
            </w:r>
          </w:p>
        </w:tc>
      </w:tr>
      <w:tr w:rsidR="006D0445" w:rsidRPr="006D0445" w14:paraId="3FA4AF5F"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048539DF" w14:textId="146C940E" w:rsidR="00AF7E2E" w:rsidRPr="006D0445" w:rsidRDefault="00AF7E2E" w:rsidP="00AF7E2E">
            <w:pPr>
              <w:spacing w:line="240" w:lineRule="auto"/>
              <w:rPr>
                <w:rFonts w:eastAsia="Times New Roman"/>
                <w:color w:val="767171"/>
              </w:rPr>
            </w:pPr>
            <w:r w:rsidRPr="006D0445">
              <w:rPr>
                <w:rFonts w:eastAsia="Calibri"/>
                <w:color w:val="767171"/>
              </w:rPr>
              <w:t>Por Corte Indebido</w:t>
            </w:r>
          </w:p>
        </w:tc>
        <w:tc>
          <w:tcPr>
            <w:tcW w:w="2314" w:type="dxa"/>
            <w:tcBorders>
              <w:top w:val="nil"/>
              <w:left w:val="nil"/>
              <w:bottom w:val="single" w:sz="8" w:space="0" w:color="767171"/>
              <w:right w:val="single" w:sz="8" w:space="0" w:color="767171"/>
            </w:tcBorders>
            <w:shd w:val="clear" w:color="auto" w:fill="auto"/>
            <w:noWrap/>
            <w:vAlign w:val="center"/>
            <w:hideMark/>
          </w:tcPr>
          <w:p w14:paraId="0609C3AE" w14:textId="446C3696"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3</w:t>
            </w:r>
          </w:p>
        </w:tc>
      </w:tr>
      <w:tr w:rsidR="006D0445" w:rsidRPr="006D0445" w14:paraId="71FFBFE3"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2BE89C17" w14:textId="1CE960B1" w:rsidR="00AF7E2E" w:rsidRPr="006D0445" w:rsidRDefault="00AF7E2E" w:rsidP="00AF7E2E">
            <w:pPr>
              <w:spacing w:line="240" w:lineRule="auto"/>
              <w:rPr>
                <w:rFonts w:eastAsia="Times New Roman"/>
                <w:color w:val="767171"/>
                <w:lang w:val="es-US"/>
              </w:rPr>
            </w:pPr>
            <w:r w:rsidRPr="006D0445">
              <w:rPr>
                <w:rFonts w:eastAsia="Calibri"/>
                <w:color w:val="767171"/>
              </w:rPr>
              <w:t>Facturación con Precios Incorrectos</w:t>
            </w:r>
          </w:p>
        </w:tc>
        <w:tc>
          <w:tcPr>
            <w:tcW w:w="2314" w:type="dxa"/>
            <w:tcBorders>
              <w:top w:val="nil"/>
              <w:left w:val="nil"/>
              <w:bottom w:val="single" w:sz="8" w:space="0" w:color="767171"/>
              <w:right w:val="single" w:sz="8" w:space="0" w:color="767171"/>
            </w:tcBorders>
            <w:shd w:val="clear" w:color="auto" w:fill="auto"/>
            <w:noWrap/>
            <w:vAlign w:val="center"/>
            <w:hideMark/>
          </w:tcPr>
          <w:p w14:paraId="15B8EA43" w14:textId="6C471E94"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2</w:t>
            </w:r>
          </w:p>
        </w:tc>
      </w:tr>
      <w:tr w:rsidR="006D0445" w:rsidRPr="006D0445" w14:paraId="469972D5"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7B716677" w14:textId="17111DEE" w:rsidR="00AF7E2E" w:rsidRPr="006D0445" w:rsidRDefault="00AF7E2E" w:rsidP="00AF7E2E">
            <w:pPr>
              <w:spacing w:line="240" w:lineRule="auto"/>
              <w:rPr>
                <w:rFonts w:eastAsia="Times New Roman"/>
                <w:color w:val="767171"/>
              </w:rPr>
            </w:pPr>
            <w:r w:rsidRPr="006D0445">
              <w:rPr>
                <w:rFonts w:eastAsia="Calibri"/>
                <w:color w:val="767171"/>
              </w:rPr>
              <w:t>Facturación por Cargos Incorrectos de Potencia</w:t>
            </w:r>
          </w:p>
        </w:tc>
        <w:tc>
          <w:tcPr>
            <w:tcW w:w="2314" w:type="dxa"/>
            <w:tcBorders>
              <w:top w:val="nil"/>
              <w:left w:val="nil"/>
              <w:bottom w:val="single" w:sz="8" w:space="0" w:color="767171"/>
              <w:right w:val="single" w:sz="8" w:space="0" w:color="767171"/>
            </w:tcBorders>
            <w:shd w:val="clear" w:color="auto" w:fill="auto"/>
            <w:noWrap/>
            <w:vAlign w:val="center"/>
            <w:hideMark/>
          </w:tcPr>
          <w:p w14:paraId="4874DEF0" w14:textId="0BED90EA"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2</w:t>
            </w:r>
          </w:p>
        </w:tc>
      </w:tr>
      <w:tr w:rsidR="006D0445" w:rsidRPr="006D0445" w14:paraId="523D7B62" w14:textId="77777777" w:rsidTr="009E5538">
        <w:trPr>
          <w:trHeight w:val="330"/>
          <w:jc w:val="center"/>
        </w:trPr>
        <w:tc>
          <w:tcPr>
            <w:tcW w:w="5377" w:type="dxa"/>
            <w:tcBorders>
              <w:top w:val="nil"/>
              <w:left w:val="single" w:sz="8" w:space="0" w:color="767171"/>
              <w:bottom w:val="single" w:sz="8" w:space="0" w:color="767171"/>
              <w:right w:val="single" w:sz="8" w:space="0" w:color="767171"/>
            </w:tcBorders>
            <w:shd w:val="clear" w:color="auto" w:fill="auto"/>
            <w:noWrap/>
            <w:vAlign w:val="center"/>
            <w:hideMark/>
          </w:tcPr>
          <w:p w14:paraId="07D72076" w14:textId="43ACA79D" w:rsidR="00AF7E2E" w:rsidRPr="006D0445" w:rsidRDefault="00AF7E2E" w:rsidP="00AF7E2E">
            <w:pPr>
              <w:spacing w:line="240" w:lineRule="auto"/>
              <w:rPr>
                <w:rFonts w:eastAsia="Times New Roman"/>
                <w:color w:val="767171"/>
              </w:rPr>
            </w:pPr>
            <w:r w:rsidRPr="006D0445">
              <w:rPr>
                <w:rFonts w:eastAsia="Calibri"/>
                <w:color w:val="767171"/>
              </w:rPr>
              <w:t>Devolución de Fianza</w:t>
            </w:r>
          </w:p>
        </w:tc>
        <w:tc>
          <w:tcPr>
            <w:tcW w:w="2314" w:type="dxa"/>
            <w:tcBorders>
              <w:top w:val="nil"/>
              <w:left w:val="nil"/>
              <w:bottom w:val="single" w:sz="8" w:space="0" w:color="767171"/>
              <w:right w:val="single" w:sz="8" w:space="0" w:color="767171"/>
            </w:tcBorders>
            <w:shd w:val="clear" w:color="auto" w:fill="auto"/>
            <w:noWrap/>
            <w:vAlign w:val="center"/>
            <w:hideMark/>
          </w:tcPr>
          <w:p w14:paraId="6305027E" w14:textId="12DB06E4"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1</w:t>
            </w:r>
          </w:p>
        </w:tc>
      </w:tr>
      <w:tr w:rsidR="006D0445" w:rsidRPr="006D0445" w14:paraId="3F9E4F48" w14:textId="77777777" w:rsidTr="00493C94">
        <w:trPr>
          <w:trHeight w:val="330"/>
          <w:jc w:val="center"/>
        </w:trPr>
        <w:tc>
          <w:tcPr>
            <w:tcW w:w="5377" w:type="dxa"/>
            <w:tcBorders>
              <w:top w:val="nil"/>
              <w:left w:val="single" w:sz="8" w:space="0" w:color="767171"/>
              <w:bottom w:val="single" w:sz="4" w:space="0" w:color="auto"/>
              <w:right w:val="single" w:sz="8" w:space="0" w:color="767171"/>
            </w:tcBorders>
            <w:shd w:val="clear" w:color="auto" w:fill="auto"/>
            <w:noWrap/>
            <w:vAlign w:val="center"/>
            <w:hideMark/>
          </w:tcPr>
          <w:p w14:paraId="1BB32FC0" w14:textId="77777777" w:rsidR="00E63947" w:rsidRPr="006D0445" w:rsidRDefault="00E63947" w:rsidP="00025FB5">
            <w:pPr>
              <w:spacing w:line="240" w:lineRule="auto"/>
              <w:rPr>
                <w:rFonts w:eastAsia="Times New Roman"/>
                <w:color w:val="767171"/>
              </w:rPr>
            </w:pPr>
            <w:r w:rsidRPr="006D0445">
              <w:rPr>
                <w:rFonts w:eastAsia="Times New Roman"/>
                <w:color w:val="767171"/>
              </w:rPr>
              <w:t>Facturación Con Precios Incorrectos</w:t>
            </w:r>
          </w:p>
        </w:tc>
        <w:tc>
          <w:tcPr>
            <w:tcW w:w="2314" w:type="dxa"/>
            <w:tcBorders>
              <w:top w:val="nil"/>
              <w:left w:val="nil"/>
              <w:bottom w:val="single" w:sz="4" w:space="0" w:color="auto"/>
              <w:right w:val="single" w:sz="8" w:space="0" w:color="767171"/>
            </w:tcBorders>
            <w:shd w:val="clear" w:color="auto" w:fill="auto"/>
            <w:noWrap/>
            <w:vAlign w:val="center"/>
            <w:hideMark/>
          </w:tcPr>
          <w:p w14:paraId="443BA7B9" w14:textId="77777777" w:rsidR="00E63947" w:rsidRPr="006D0445" w:rsidRDefault="00E63947" w:rsidP="00025FB5">
            <w:pPr>
              <w:spacing w:line="240" w:lineRule="auto"/>
              <w:ind w:firstLine="79"/>
              <w:jc w:val="center"/>
              <w:rPr>
                <w:rFonts w:eastAsia="Times New Roman"/>
                <w:color w:val="767171"/>
              </w:rPr>
            </w:pPr>
            <w:r w:rsidRPr="006D0445">
              <w:rPr>
                <w:rFonts w:eastAsia="Times New Roman"/>
                <w:color w:val="767171"/>
              </w:rPr>
              <w:t>1</w:t>
            </w:r>
          </w:p>
        </w:tc>
      </w:tr>
      <w:tr w:rsidR="006D0445" w:rsidRPr="006D0445" w14:paraId="5DBE8535" w14:textId="77777777" w:rsidTr="00493C94">
        <w:trPr>
          <w:trHeight w:val="330"/>
          <w:jc w:val="center"/>
        </w:trPr>
        <w:tc>
          <w:tcPr>
            <w:tcW w:w="5377" w:type="dxa"/>
            <w:tcBorders>
              <w:top w:val="nil"/>
              <w:left w:val="single" w:sz="8" w:space="0" w:color="767171"/>
              <w:bottom w:val="single" w:sz="4" w:space="0" w:color="auto"/>
              <w:right w:val="single" w:sz="8" w:space="0" w:color="767171"/>
            </w:tcBorders>
            <w:shd w:val="clear" w:color="auto" w:fill="auto"/>
            <w:noWrap/>
            <w:vAlign w:val="center"/>
          </w:tcPr>
          <w:p w14:paraId="5B6CCC36" w14:textId="6DE1F434" w:rsidR="00AF7E2E" w:rsidRPr="006D0445" w:rsidRDefault="00AF7E2E" w:rsidP="00AF7E2E">
            <w:pPr>
              <w:spacing w:line="240" w:lineRule="auto"/>
              <w:rPr>
                <w:rFonts w:eastAsia="Times New Roman"/>
                <w:color w:val="767171"/>
              </w:rPr>
            </w:pPr>
            <w:r w:rsidRPr="006D0445">
              <w:rPr>
                <w:rFonts w:eastAsia="Calibri"/>
                <w:color w:val="767171"/>
              </w:rPr>
              <w:t>Facturación con Cambio Unilateral de Tarifa</w:t>
            </w:r>
          </w:p>
        </w:tc>
        <w:tc>
          <w:tcPr>
            <w:tcW w:w="2314" w:type="dxa"/>
            <w:tcBorders>
              <w:top w:val="nil"/>
              <w:left w:val="nil"/>
              <w:bottom w:val="single" w:sz="4" w:space="0" w:color="auto"/>
              <w:right w:val="single" w:sz="8" w:space="0" w:color="767171"/>
            </w:tcBorders>
            <w:shd w:val="clear" w:color="auto" w:fill="auto"/>
            <w:noWrap/>
            <w:vAlign w:val="center"/>
          </w:tcPr>
          <w:p w14:paraId="77E3158C" w14:textId="106268CD"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1</w:t>
            </w:r>
          </w:p>
        </w:tc>
      </w:tr>
      <w:tr w:rsidR="006D0445" w:rsidRPr="006D0445" w14:paraId="6C46FBDF" w14:textId="77777777" w:rsidTr="00493C94">
        <w:trPr>
          <w:trHeight w:val="330"/>
          <w:jc w:val="center"/>
        </w:trPr>
        <w:tc>
          <w:tcPr>
            <w:tcW w:w="5377" w:type="dxa"/>
            <w:tcBorders>
              <w:top w:val="nil"/>
              <w:left w:val="single" w:sz="8" w:space="0" w:color="767171"/>
              <w:bottom w:val="single" w:sz="4" w:space="0" w:color="auto"/>
              <w:right w:val="single" w:sz="8" w:space="0" w:color="767171"/>
            </w:tcBorders>
            <w:shd w:val="clear" w:color="auto" w:fill="auto"/>
            <w:noWrap/>
            <w:vAlign w:val="center"/>
          </w:tcPr>
          <w:p w14:paraId="64A40E00" w14:textId="2A5B4855" w:rsidR="00AF7E2E" w:rsidRPr="006D0445" w:rsidRDefault="00AF7E2E" w:rsidP="00AF7E2E">
            <w:pPr>
              <w:spacing w:line="240" w:lineRule="auto"/>
              <w:rPr>
                <w:rFonts w:eastAsia="Times New Roman"/>
                <w:color w:val="767171"/>
              </w:rPr>
            </w:pPr>
            <w:r w:rsidRPr="006D0445">
              <w:rPr>
                <w:rFonts w:eastAsia="Calibri"/>
                <w:color w:val="767171"/>
              </w:rPr>
              <w:t>Facturación con Tarifa Contratada Incorrectamente</w:t>
            </w:r>
          </w:p>
        </w:tc>
        <w:tc>
          <w:tcPr>
            <w:tcW w:w="2314" w:type="dxa"/>
            <w:tcBorders>
              <w:top w:val="nil"/>
              <w:left w:val="nil"/>
              <w:bottom w:val="single" w:sz="4" w:space="0" w:color="auto"/>
              <w:right w:val="single" w:sz="8" w:space="0" w:color="767171"/>
            </w:tcBorders>
            <w:shd w:val="clear" w:color="auto" w:fill="auto"/>
            <w:noWrap/>
            <w:vAlign w:val="center"/>
          </w:tcPr>
          <w:p w14:paraId="04B9F05E" w14:textId="0AF29FC7"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1</w:t>
            </w:r>
          </w:p>
        </w:tc>
      </w:tr>
      <w:tr w:rsidR="006D0445" w:rsidRPr="006D0445" w14:paraId="6F64CF36" w14:textId="77777777" w:rsidTr="00493C94">
        <w:trPr>
          <w:trHeight w:val="330"/>
          <w:jc w:val="center"/>
        </w:trPr>
        <w:tc>
          <w:tcPr>
            <w:tcW w:w="5377" w:type="dxa"/>
            <w:tcBorders>
              <w:top w:val="nil"/>
              <w:left w:val="single" w:sz="8" w:space="0" w:color="767171"/>
              <w:bottom w:val="single" w:sz="4" w:space="0" w:color="auto"/>
              <w:right w:val="single" w:sz="8" w:space="0" w:color="767171"/>
            </w:tcBorders>
            <w:shd w:val="clear" w:color="auto" w:fill="auto"/>
            <w:noWrap/>
            <w:vAlign w:val="center"/>
          </w:tcPr>
          <w:p w14:paraId="086681E3" w14:textId="18E83FEE" w:rsidR="00AF7E2E" w:rsidRPr="006D0445" w:rsidRDefault="00AF7E2E" w:rsidP="00AF7E2E">
            <w:pPr>
              <w:spacing w:line="240" w:lineRule="auto"/>
              <w:rPr>
                <w:rFonts w:eastAsia="Times New Roman"/>
                <w:color w:val="767171"/>
              </w:rPr>
            </w:pPr>
            <w:r w:rsidRPr="006D0445">
              <w:rPr>
                <w:rFonts w:eastAsia="Calibri"/>
                <w:color w:val="767171"/>
              </w:rPr>
              <w:t>Tarifa y Fianza Asignadas</w:t>
            </w:r>
          </w:p>
        </w:tc>
        <w:tc>
          <w:tcPr>
            <w:tcW w:w="2314" w:type="dxa"/>
            <w:tcBorders>
              <w:top w:val="nil"/>
              <w:left w:val="nil"/>
              <w:bottom w:val="single" w:sz="4" w:space="0" w:color="auto"/>
              <w:right w:val="single" w:sz="8" w:space="0" w:color="767171"/>
            </w:tcBorders>
            <w:shd w:val="clear" w:color="auto" w:fill="auto"/>
            <w:noWrap/>
            <w:vAlign w:val="center"/>
          </w:tcPr>
          <w:p w14:paraId="5F919743" w14:textId="20E94E80" w:rsidR="00AF7E2E" w:rsidRPr="006D0445" w:rsidRDefault="00AF7E2E" w:rsidP="00AF7E2E">
            <w:pPr>
              <w:spacing w:line="240" w:lineRule="auto"/>
              <w:ind w:firstLine="79"/>
              <w:jc w:val="center"/>
              <w:rPr>
                <w:rFonts w:eastAsia="Times New Roman"/>
                <w:color w:val="767171"/>
              </w:rPr>
            </w:pPr>
            <w:r w:rsidRPr="006D0445">
              <w:rPr>
                <w:rFonts w:eastAsia="Calibri"/>
                <w:color w:val="767171"/>
              </w:rPr>
              <w:t>1</w:t>
            </w:r>
          </w:p>
        </w:tc>
      </w:tr>
      <w:tr w:rsidR="006D0445" w:rsidRPr="006D0445" w14:paraId="78C79BA0" w14:textId="77777777" w:rsidTr="00F521A5">
        <w:trPr>
          <w:trHeight w:val="473"/>
          <w:jc w:val="center"/>
        </w:trPr>
        <w:tc>
          <w:tcPr>
            <w:tcW w:w="537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778B313" w14:textId="43044EF5" w:rsidR="00493C94" w:rsidRPr="006D0445" w:rsidRDefault="00493C94" w:rsidP="00493C94">
            <w:pPr>
              <w:spacing w:after="0" w:line="240" w:lineRule="auto"/>
              <w:jc w:val="center"/>
              <w:rPr>
                <w:rFonts w:eastAsia="Calibri"/>
                <w:b/>
                <w:bCs/>
                <w:noProof/>
                <w:color w:val="767171"/>
              </w:rPr>
            </w:pPr>
            <w:r w:rsidRPr="006D0445">
              <w:rPr>
                <w:rFonts w:eastAsia="Calibri"/>
                <w:b/>
                <w:bCs/>
                <w:noProof/>
                <w:color w:val="767171"/>
              </w:rPr>
              <w:t>Total</w:t>
            </w:r>
          </w:p>
        </w:tc>
        <w:tc>
          <w:tcPr>
            <w:tcW w:w="23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C7AA98F" w14:textId="107E5F5A" w:rsidR="00493C94" w:rsidRPr="006D0445" w:rsidRDefault="00493C94" w:rsidP="00493C94">
            <w:pPr>
              <w:spacing w:after="0" w:line="240" w:lineRule="auto"/>
              <w:jc w:val="center"/>
              <w:rPr>
                <w:rFonts w:eastAsia="Calibri"/>
                <w:b/>
                <w:bCs/>
                <w:noProof/>
                <w:color w:val="767171"/>
              </w:rPr>
            </w:pPr>
            <w:r w:rsidRPr="006D0445">
              <w:rPr>
                <w:rFonts w:eastAsia="Calibri"/>
                <w:b/>
                <w:bCs/>
                <w:noProof/>
                <w:color w:val="767171"/>
              </w:rPr>
              <w:t>4,912</w:t>
            </w:r>
          </w:p>
        </w:tc>
      </w:tr>
    </w:tbl>
    <w:p w14:paraId="294E1D76" w14:textId="119A8F86" w:rsidR="00E63947" w:rsidRPr="006D0445" w:rsidRDefault="0032618D" w:rsidP="00BC6BC2">
      <w:pPr>
        <w:shd w:val="clear" w:color="auto" w:fill="FFFFFF" w:themeFill="background1"/>
        <w:rPr>
          <w:rFonts w:eastAsia="Calibri"/>
          <w:color w:val="767171"/>
          <w:lang w:val="es-US"/>
        </w:rPr>
      </w:pPr>
      <w:r w:rsidRPr="006D0445">
        <w:rPr>
          <w:rFonts w:eastAsia="Times New Roman"/>
          <w:color w:val="767171"/>
          <w:sz w:val="18"/>
          <w:szCs w:val="18"/>
        </w:rPr>
        <w:t xml:space="preserve">Fuente: Gerencia Recursos </w:t>
      </w:r>
      <w:r w:rsidR="00F34CBE" w:rsidRPr="006D0445">
        <w:rPr>
          <w:rFonts w:eastAsia="Times New Roman"/>
          <w:color w:val="767171"/>
          <w:sz w:val="18"/>
          <w:szCs w:val="18"/>
        </w:rPr>
        <w:t>Jerárquicos</w:t>
      </w:r>
    </w:p>
    <w:p w14:paraId="136B02AD" w14:textId="66F36164" w:rsidR="00BC6BC2" w:rsidRPr="006D0445" w:rsidRDefault="00C2599C" w:rsidP="00694EFA">
      <w:pPr>
        <w:rPr>
          <w:rFonts w:eastAsia="Calibri"/>
          <w:color w:val="767171"/>
        </w:rPr>
      </w:pPr>
      <w:r w:rsidRPr="006D0445">
        <w:rPr>
          <w:rFonts w:eastAsia="Calibri"/>
          <w:color w:val="767171"/>
        </w:rPr>
        <w:t>En ese mismo orden, durante el año 2024 se conocieron 1,322 Recursos Jerárquicos que fueron sometidos en el año 2023 y que se encontraban pendientes de análisis, para un total de 851 resoluciones</w:t>
      </w:r>
      <w:r w:rsidR="003F2155" w:rsidRPr="006D0445">
        <w:rPr>
          <w:rFonts w:eastAsia="Calibri"/>
          <w:color w:val="767171"/>
        </w:rPr>
        <w:t>.</w:t>
      </w:r>
    </w:p>
    <w:p w14:paraId="04349910" w14:textId="7488595C" w:rsidR="002C4905" w:rsidRPr="006D0445" w:rsidRDefault="003F2155" w:rsidP="003F2155">
      <w:pPr>
        <w:rPr>
          <w:rFonts w:eastAsia="Calibri"/>
          <w:color w:val="767171"/>
        </w:rPr>
      </w:pPr>
      <w:r w:rsidRPr="006D0445">
        <w:rPr>
          <w:rFonts w:eastAsia="Calibri"/>
          <w:color w:val="767171"/>
        </w:rPr>
        <w:t>Por otro lado, y haciendo una proyección al término del año, se prevé que durante el devenir del año 2024 sean interpuestos unos 800 nuevos casos de Recursos Jerárquicos y se emita una proporción similar de resoluciones.</w:t>
      </w:r>
    </w:p>
    <w:p w14:paraId="7D14B756" w14:textId="77777777" w:rsidR="003F2155" w:rsidRPr="006D0445" w:rsidRDefault="003F2155" w:rsidP="00694EFA">
      <w:pPr>
        <w:rPr>
          <w:b/>
          <w:bCs/>
          <w:color w:val="767171"/>
          <w:sz w:val="2"/>
          <w:szCs w:val="2"/>
          <w:u w:val="single"/>
        </w:rPr>
      </w:pPr>
    </w:p>
    <w:p w14:paraId="5C769957" w14:textId="5F97232B" w:rsidR="00694EFA" w:rsidRPr="006D0445" w:rsidRDefault="00FB0CA1" w:rsidP="00EB4CC7">
      <w:pPr>
        <w:jc w:val="left"/>
        <w:rPr>
          <w:b/>
          <w:bCs/>
          <w:color w:val="767171"/>
        </w:rPr>
      </w:pPr>
      <w:r w:rsidRPr="006D0445">
        <w:rPr>
          <w:b/>
          <w:bCs/>
          <w:color w:val="767171"/>
        </w:rPr>
        <w:t>Emisión De Licencias Eléctricas</w:t>
      </w:r>
    </w:p>
    <w:p w14:paraId="4487FBE5" w14:textId="72564926" w:rsidR="00DD2633" w:rsidRPr="006D0445" w:rsidRDefault="00DD2633" w:rsidP="00DD2633">
      <w:pPr>
        <w:rPr>
          <w:color w:val="767171"/>
        </w:rPr>
      </w:pPr>
      <w:r w:rsidRPr="006D0445">
        <w:rPr>
          <w:color w:val="767171"/>
        </w:rPr>
        <w:t xml:space="preserve">A través del </w:t>
      </w:r>
      <w:r w:rsidR="00C112FF" w:rsidRPr="006D0445">
        <w:rPr>
          <w:color w:val="767171"/>
        </w:rPr>
        <w:t>servicio de Emisión de Licencias Eléctricas</w:t>
      </w:r>
      <w:r w:rsidRPr="006D0445">
        <w:rPr>
          <w:color w:val="767171"/>
        </w:rPr>
        <w:t xml:space="preserve">, </w:t>
      </w:r>
      <w:r w:rsidR="00A965BC" w:rsidRPr="006D0445">
        <w:rPr>
          <w:color w:val="767171"/>
        </w:rPr>
        <w:t>la</w:t>
      </w:r>
      <w:r w:rsidRPr="006D0445">
        <w:rPr>
          <w:color w:val="767171"/>
        </w:rPr>
        <w:t xml:space="preserve"> SIE certifica que el solicitante</w:t>
      </w:r>
      <w:r w:rsidR="00C112FF" w:rsidRPr="006D0445">
        <w:rPr>
          <w:color w:val="767171"/>
        </w:rPr>
        <w:t xml:space="preserve"> c</w:t>
      </w:r>
      <w:r w:rsidRPr="006D0445">
        <w:rPr>
          <w:color w:val="767171"/>
        </w:rPr>
        <w:t xml:space="preserve">uente </w:t>
      </w:r>
      <w:r w:rsidR="00C112FF" w:rsidRPr="006D0445">
        <w:rPr>
          <w:color w:val="767171"/>
        </w:rPr>
        <w:t xml:space="preserve">con la debida autorización </w:t>
      </w:r>
      <w:r w:rsidR="000E721A" w:rsidRPr="006D0445">
        <w:rPr>
          <w:color w:val="767171"/>
        </w:rPr>
        <w:t>y</w:t>
      </w:r>
      <w:r w:rsidR="00C112FF" w:rsidRPr="006D0445">
        <w:rPr>
          <w:color w:val="767171"/>
        </w:rPr>
        <w:t xml:space="preserve"> cumplimiento de los requisitos técnicos y legales para ejercer el oficio de Técnico Electricista autorizado</w:t>
      </w:r>
      <w:r w:rsidR="00335B07" w:rsidRPr="006D0445">
        <w:rPr>
          <w:color w:val="767171"/>
        </w:rPr>
        <w:t>.</w:t>
      </w:r>
    </w:p>
    <w:p w14:paraId="5D920E4E" w14:textId="77777777" w:rsidR="00A40D5A" w:rsidRDefault="00B13FDF" w:rsidP="00B13FDF">
      <w:pPr>
        <w:rPr>
          <w:color w:val="767171"/>
        </w:rPr>
      </w:pPr>
      <w:r w:rsidRPr="006D0445">
        <w:rPr>
          <w:color w:val="767171"/>
        </w:rPr>
        <w:t xml:space="preserve">En virtud de la ejecución del Plan de Acción, programados </w:t>
      </w:r>
      <w:r w:rsidR="00A965BC" w:rsidRPr="006D0445">
        <w:rPr>
          <w:color w:val="767171"/>
        </w:rPr>
        <w:t>en este 2024</w:t>
      </w:r>
      <w:r w:rsidRPr="006D0445">
        <w:rPr>
          <w:color w:val="767171"/>
        </w:rPr>
        <w:t xml:space="preserve">, </w:t>
      </w:r>
      <w:r w:rsidR="00A965BC" w:rsidRPr="006D0445">
        <w:rPr>
          <w:color w:val="767171"/>
        </w:rPr>
        <w:t xml:space="preserve">la SIE </w:t>
      </w:r>
      <w:r w:rsidR="003F2155" w:rsidRPr="006D0445">
        <w:rPr>
          <w:color w:val="767171"/>
        </w:rPr>
        <w:t>a través</w:t>
      </w:r>
      <w:r w:rsidR="00A965BC" w:rsidRPr="006D0445">
        <w:rPr>
          <w:color w:val="767171"/>
        </w:rPr>
        <w:t xml:space="preserve"> de su </w:t>
      </w:r>
      <w:r w:rsidRPr="006D0445">
        <w:rPr>
          <w:color w:val="767171"/>
        </w:rPr>
        <w:t xml:space="preserve">División de Licencias Eléctricas ha certificado un total de </w:t>
      </w:r>
      <w:r w:rsidR="00A965BC" w:rsidRPr="006D0445">
        <w:rPr>
          <w:color w:val="767171"/>
        </w:rPr>
        <w:t>1419</w:t>
      </w:r>
      <w:r w:rsidRPr="006D0445">
        <w:rPr>
          <w:color w:val="767171"/>
        </w:rPr>
        <w:t xml:space="preserve"> técnicos en todo el Territorio Nacional. </w:t>
      </w:r>
    </w:p>
    <w:p w14:paraId="565CE5EE" w14:textId="77777777" w:rsidR="00A40D5A" w:rsidRDefault="00A40D5A">
      <w:pPr>
        <w:spacing w:line="259" w:lineRule="auto"/>
        <w:jc w:val="left"/>
        <w:rPr>
          <w:color w:val="767171"/>
        </w:rPr>
      </w:pPr>
      <w:r>
        <w:rPr>
          <w:color w:val="767171"/>
        </w:rPr>
        <w:br w:type="page"/>
      </w:r>
    </w:p>
    <w:p w14:paraId="49F6EDE0" w14:textId="473BA605" w:rsidR="00B13FDF" w:rsidRPr="006D0445" w:rsidRDefault="00B13FDF" w:rsidP="00B13FDF">
      <w:pPr>
        <w:rPr>
          <w:color w:val="767171"/>
        </w:rPr>
      </w:pPr>
      <w:r w:rsidRPr="006D0445">
        <w:rPr>
          <w:color w:val="767171"/>
        </w:rPr>
        <w:lastRenderedPageBreak/>
        <w:t>En lo que sigue, presentamos los antecedentes de las implementaciones desarrolladas:</w:t>
      </w:r>
    </w:p>
    <w:p w14:paraId="335D5D7F" w14:textId="683D7AE3"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5</w:t>
      </w:r>
      <w:r w:rsidRPr="006D0445">
        <w:rPr>
          <w:color w:val="767171"/>
        </w:rPr>
        <w:fldChar w:fldCharType="end"/>
      </w:r>
      <w:r w:rsidRPr="006D0445">
        <w:rPr>
          <w:color w:val="767171"/>
        </w:rPr>
        <w:t>Antecedentes de Certificaciones</w:t>
      </w:r>
    </w:p>
    <w:tbl>
      <w:tblPr>
        <w:tblStyle w:val="Tablaconcuadrcula"/>
        <w:tblW w:w="821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131"/>
        <w:gridCol w:w="993"/>
        <w:gridCol w:w="6095"/>
      </w:tblGrid>
      <w:tr w:rsidR="006D0445" w:rsidRPr="006D0445" w14:paraId="19B76524" w14:textId="77777777" w:rsidTr="00A965BC">
        <w:trPr>
          <w:trHeight w:val="567"/>
        </w:trPr>
        <w:tc>
          <w:tcPr>
            <w:tcW w:w="8219" w:type="dxa"/>
            <w:gridSpan w:val="3"/>
            <w:tcBorders>
              <w:bottom w:val="single" w:sz="2" w:space="0" w:color="002060"/>
            </w:tcBorders>
            <w:shd w:val="clear" w:color="auto" w:fill="002060"/>
            <w:vAlign w:val="center"/>
          </w:tcPr>
          <w:p w14:paraId="2B0C80D6" w14:textId="6178244B" w:rsidR="00A716AD" w:rsidRPr="006D0445" w:rsidRDefault="00A716AD" w:rsidP="00B74283">
            <w:pPr>
              <w:jc w:val="center"/>
              <w:rPr>
                <w:rFonts w:eastAsia="Calibri"/>
                <w:b/>
                <w:bCs/>
                <w:noProof/>
                <w:color w:val="767171"/>
                <w:spacing w:val="20"/>
                <w:lang w:val="en-US"/>
              </w:rPr>
            </w:pPr>
            <w:r w:rsidRPr="00C448FD">
              <w:rPr>
                <w:rFonts w:eastAsia="Calibri"/>
                <w:b/>
                <w:bCs/>
                <w:noProof/>
                <w:color w:val="FFFFFF" w:themeColor="background1"/>
                <w:spacing w:val="20"/>
                <w:lang w:val="en-US"/>
              </w:rPr>
              <w:t>Antecedentes de Certificaciones</w:t>
            </w:r>
          </w:p>
        </w:tc>
      </w:tr>
      <w:tr w:rsidR="006D0445" w:rsidRPr="006D0445" w14:paraId="01177FFF" w14:textId="77777777" w:rsidTr="00E11990">
        <w:trPr>
          <w:trHeight w:val="397"/>
        </w:trPr>
        <w:tc>
          <w:tcPr>
            <w:tcW w:w="1131" w:type="dxa"/>
            <w:tcBorders>
              <w:top w:val="single" w:sz="2" w:space="0" w:color="002060"/>
              <w:bottom w:val="single" w:sz="2" w:space="0" w:color="808080" w:themeColor="background1" w:themeShade="80"/>
            </w:tcBorders>
            <w:shd w:val="clear" w:color="auto" w:fill="auto"/>
            <w:vAlign w:val="center"/>
          </w:tcPr>
          <w:p w14:paraId="2BAFCFED" w14:textId="77777777" w:rsidR="00A716AD" w:rsidRPr="006D0445" w:rsidRDefault="00A716AD" w:rsidP="00B74283">
            <w:pPr>
              <w:jc w:val="center"/>
              <w:rPr>
                <w:color w:val="767171"/>
                <w:sz w:val="20"/>
                <w:szCs w:val="20"/>
              </w:rPr>
            </w:pPr>
            <w:r w:rsidRPr="006D0445">
              <w:rPr>
                <w:color w:val="767171"/>
                <w:sz w:val="20"/>
                <w:szCs w:val="20"/>
              </w:rPr>
              <w:t>Fecha</w:t>
            </w:r>
          </w:p>
        </w:tc>
        <w:tc>
          <w:tcPr>
            <w:tcW w:w="993" w:type="dxa"/>
            <w:tcBorders>
              <w:top w:val="single" w:sz="2" w:space="0" w:color="002060"/>
              <w:bottom w:val="single" w:sz="2" w:space="0" w:color="808080" w:themeColor="background1" w:themeShade="80"/>
            </w:tcBorders>
            <w:shd w:val="clear" w:color="auto" w:fill="auto"/>
            <w:vAlign w:val="center"/>
          </w:tcPr>
          <w:p w14:paraId="12C87345" w14:textId="77777777" w:rsidR="00A716AD" w:rsidRPr="006D0445" w:rsidRDefault="00A716AD" w:rsidP="00B74283">
            <w:pPr>
              <w:jc w:val="center"/>
              <w:rPr>
                <w:color w:val="767171"/>
                <w:sz w:val="20"/>
                <w:szCs w:val="20"/>
              </w:rPr>
            </w:pPr>
            <w:r w:rsidRPr="006D0445">
              <w:rPr>
                <w:color w:val="767171"/>
                <w:sz w:val="20"/>
                <w:szCs w:val="20"/>
              </w:rPr>
              <w:t>Licencias</w:t>
            </w:r>
          </w:p>
        </w:tc>
        <w:tc>
          <w:tcPr>
            <w:tcW w:w="6095" w:type="dxa"/>
            <w:tcBorders>
              <w:top w:val="single" w:sz="2" w:space="0" w:color="002060"/>
              <w:left w:val="single" w:sz="8" w:space="0" w:color="002060"/>
              <w:bottom w:val="single" w:sz="2" w:space="0" w:color="808080" w:themeColor="background1" w:themeShade="80"/>
            </w:tcBorders>
            <w:shd w:val="clear" w:color="auto" w:fill="auto"/>
            <w:vAlign w:val="center"/>
          </w:tcPr>
          <w:p w14:paraId="6673BC9B" w14:textId="77777777" w:rsidR="00A716AD" w:rsidRPr="006D0445" w:rsidRDefault="00A716AD" w:rsidP="00B74283">
            <w:pPr>
              <w:jc w:val="center"/>
              <w:rPr>
                <w:color w:val="767171"/>
                <w:sz w:val="20"/>
                <w:szCs w:val="20"/>
              </w:rPr>
            </w:pPr>
            <w:r w:rsidRPr="006D0445">
              <w:rPr>
                <w:color w:val="767171"/>
                <w:sz w:val="20"/>
                <w:szCs w:val="20"/>
              </w:rPr>
              <w:t>Empresa</w:t>
            </w:r>
          </w:p>
        </w:tc>
      </w:tr>
      <w:tr w:rsidR="006D0445" w:rsidRPr="006D0445" w14:paraId="5B48A944" w14:textId="77777777" w:rsidTr="00E11990">
        <w:trPr>
          <w:trHeight w:val="416"/>
        </w:trPr>
        <w:tc>
          <w:tcPr>
            <w:tcW w:w="1131" w:type="dxa"/>
            <w:tcBorders>
              <w:top w:val="single" w:sz="2" w:space="0" w:color="808080" w:themeColor="background1" w:themeShade="80"/>
            </w:tcBorders>
            <w:shd w:val="clear" w:color="auto" w:fill="F2F2F2" w:themeFill="background1" w:themeFillShade="F2"/>
            <w:vAlign w:val="center"/>
          </w:tcPr>
          <w:p w14:paraId="52124F8D" w14:textId="77777777" w:rsidR="00A716AD" w:rsidRPr="006D0445" w:rsidRDefault="00A716AD" w:rsidP="00A716AD">
            <w:pPr>
              <w:ind w:left="167"/>
              <w:rPr>
                <w:color w:val="767171"/>
                <w:sz w:val="18"/>
                <w:szCs w:val="18"/>
              </w:rPr>
            </w:pPr>
            <w:r w:rsidRPr="006D0445">
              <w:rPr>
                <w:color w:val="767171"/>
                <w:sz w:val="18"/>
                <w:szCs w:val="18"/>
              </w:rPr>
              <w:t>06 ABR</w:t>
            </w:r>
          </w:p>
        </w:tc>
        <w:tc>
          <w:tcPr>
            <w:tcW w:w="993" w:type="dxa"/>
            <w:tcBorders>
              <w:top w:val="single" w:sz="2" w:space="0" w:color="808080" w:themeColor="background1" w:themeShade="80"/>
            </w:tcBorders>
            <w:shd w:val="clear" w:color="auto" w:fill="F2F2F2" w:themeFill="background1" w:themeFillShade="F2"/>
            <w:vAlign w:val="center"/>
          </w:tcPr>
          <w:p w14:paraId="2382C285" w14:textId="77777777" w:rsidR="00A716AD" w:rsidRPr="006D0445" w:rsidRDefault="00A716AD" w:rsidP="00A716AD">
            <w:pPr>
              <w:jc w:val="center"/>
              <w:rPr>
                <w:color w:val="767171"/>
                <w:sz w:val="18"/>
                <w:szCs w:val="18"/>
              </w:rPr>
            </w:pPr>
            <w:r w:rsidRPr="006D0445">
              <w:rPr>
                <w:color w:val="767171"/>
                <w:sz w:val="18"/>
                <w:szCs w:val="18"/>
              </w:rPr>
              <w:t>226</w:t>
            </w:r>
          </w:p>
        </w:tc>
        <w:tc>
          <w:tcPr>
            <w:tcW w:w="6095" w:type="dxa"/>
            <w:tcBorders>
              <w:top w:val="single" w:sz="2" w:space="0" w:color="808080" w:themeColor="background1" w:themeShade="80"/>
              <w:left w:val="single" w:sz="8" w:space="0" w:color="002060"/>
            </w:tcBorders>
            <w:vAlign w:val="center"/>
          </w:tcPr>
          <w:p w14:paraId="78F7F396" w14:textId="77777777" w:rsidR="00A716AD" w:rsidRPr="006D0445" w:rsidRDefault="00A716AD" w:rsidP="00A716AD">
            <w:pPr>
              <w:rPr>
                <w:color w:val="767171"/>
                <w:sz w:val="18"/>
                <w:szCs w:val="18"/>
              </w:rPr>
            </w:pPr>
            <w:proofErr w:type="spellStart"/>
            <w:r w:rsidRPr="006D0445">
              <w:rPr>
                <w:color w:val="767171"/>
                <w:sz w:val="18"/>
                <w:szCs w:val="18"/>
              </w:rPr>
              <w:t>COCCIA</w:t>
            </w:r>
            <w:proofErr w:type="spellEnd"/>
            <w:r w:rsidRPr="006D0445">
              <w:rPr>
                <w:color w:val="767171"/>
                <w:sz w:val="18"/>
                <w:szCs w:val="18"/>
              </w:rPr>
              <w:t xml:space="preserve">, DELMAR, </w:t>
            </w:r>
            <w:proofErr w:type="spellStart"/>
            <w:r w:rsidRPr="006D0445">
              <w:rPr>
                <w:color w:val="767171"/>
                <w:sz w:val="18"/>
                <w:szCs w:val="18"/>
              </w:rPr>
              <w:t>DYNATEC</w:t>
            </w:r>
            <w:proofErr w:type="spellEnd"/>
            <w:r w:rsidRPr="006D0445">
              <w:rPr>
                <w:color w:val="767171"/>
                <w:sz w:val="18"/>
                <w:szCs w:val="18"/>
              </w:rPr>
              <w:t xml:space="preserve">, </w:t>
            </w:r>
            <w:proofErr w:type="spellStart"/>
            <w:r w:rsidRPr="006D0445">
              <w:rPr>
                <w:color w:val="767171"/>
                <w:sz w:val="18"/>
                <w:szCs w:val="18"/>
              </w:rPr>
              <w:t>ENNOVA</w:t>
            </w:r>
            <w:proofErr w:type="spellEnd"/>
            <w:r w:rsidRPr="006D0445">
              <w:rPr>
                <w:color w:val="767171"/>
                <w:sz w:val="18"/>
                <w:szCs w:val="18"/>
              </w:rPr>
              <w:t xml:space="preserve">, </w:t>
            </w:r>
            <w:proofErr w:type="spellStart"/>
            <w:r w:rsidRPr="006D0445">
              <w:rPr>
                <w:color w:val="767171"/>
                <w:sz w:val="18"/>
                <w:szCs w:val="18"/>
              </w:rPr>
              <w:t>INMELEC</w:t>
            </w:r>
            <w:proofErr w:type="spellEnd"/>
            <w:r w:rsidRPr="006D0445">
              <w:rPr>
                <w:color w:val="767171"/>
                <w:sz w:val="18"/>
                <w:szCs w:val="18"/>
              </w:rPr>
              <w:t>. (SANTO DOMINGO)</w:t>
            </w:r>
          </w:p>
        </w:tc>
      </w:tr>
      <w:tr w:rsidR="006D0445" w:rsidRPr="006D0445" w14:paraId="7B59A2A9" w14:textId="77777777" w:rsidTr="00E11990">
        <w:trPr>
          <w:trHeight w:val="308"/>
        </w:trPr>
        <w:tc>
          <w:tcPr>
            <w:tcW w:w="1131" w:type="dxa"/>
            <w:shd w:val="clear" w:color="auto" w:fill="F2F2F2" w:themeFill="background1" w:themeFillShade="F2"/>
            <w:vAlign w:val="center"/>
          </w:tcPr>
          <w:p w14:paraId="0D928593" w14:textId="77777777" w:rsidR="00A716AD" w:rsidRPr="006D0445" w:rsidRDefault="00A716AD" w:rsidP="00A716AD">
            <w:pPr>
              <w:ind w:left="167"/>
              <w:rPr>
                <w:color w:val="767171"/>
                <w:sz w:val="18"/>
                <w:szCs w:val="18"/>
              </w:rPr>
            </w:pPr>
            <w:r w:rsidRPr="006D0445">
              <w:rPr>
                <w:color w:val="767171"/>
                <w:sz w:val="18"/>
                <w:szCs w:val="18"/>
              </w:rPr>
              <w:t>11 MAY</w:t>
            </w:r>
          </w:p>
        </w:tc>
        <w:tc>
          <w:tcPr>
            <w:tcW w:w="993" w:type="dxa"/>
            <w:shd w:val="clear" w:color="auto" w:fill="F2F2F2" w:themeFill="background1" w:themeFillShade="F2"/>
            <w:vAlign w:val="center"/>
          </w:tcPr>
          <w:p w14:paraId="491B1325" w14:textId="77777777" w:rsidR="00A716AD" w:rsidRPr="006D0445" w:rsidRDefault="00A716AD" w:rsidP="00A716AD">
            <w:pPr>
              <w:jc w:val="center"/>
              <w:rPr>
                <w:color w:val="767171"/>
                <w:sz w:val="18"/>
                <w:szCs w:val="18"/>
              </w:rPr>
            </w:pPr>
            <w:r w:rsidRPr="006D0445">
              <w:rPr>
                <w:color w:val="767171"/>
                <w:sz w:val="18"/>
                <w:szCs w:val="18"/>
              </w:rPr>
              <w:t>250</w:t>
            </w:r>
          </w:p>
        </w:tc>
        <w:tc>
          <w:tcPr>
            <w:tcW w:w="6095" w:type="dxa"/>
            <w:tcBorders>
              <w:left w:val="single" w:sz="8" w:space="0" w:color="002060"/>
            </w:tcBorders>
            <w:shd w:val="clear" w:color="auto" w:fill="F2F2F2" w:themeFill="background1" w:themeFillShade="F2"/>
            <w:vAlign w:val="center"/>
          </w:tcPr>
          <w:p w14:paraId="3E631CEE" w14:textId="77777777" w:rsidR="00A716AD" w:rsidRPr="006D0445" w:rsidRDefault="00A716AD" w:rsidP="00A716AD">
            <w:pPr>
              <w:rPr>
                <w:color w:val="767171"/>
                <w:sz w:val="18"/>
                <w:szCs w:val="18"/>
              </w:rPr>
            </w:pPr>
            <w:proofErr w:type="spellStart"/>
            <w:r w:rsidRPr="006D0445">
              <w:rPr>
                <w:color w:val="767171"/>
                <w:sz w:val="18"/>
                <w:szCs w:val="18"/>
              </w:rPr>
              <w:t>IGTEC</w:t>
            </w:r>
            <w:proofErr w:type="spellEnd"/>
            <w:r w:rsidRPr="006D0445">
              <w:rPr>
                <w:color w:val="767171"/>
                <w:sz w:val="18"/>
                <w:szCs w:val="18"/>
              </w:rPr>
              <w:t xml:space="preserve"> (SANTIAGO)</w:t>
            </w:r>
          </w:p>
        </w:tc>
      </w:tr>
      <w:tr w:rsidR="006D0445" w:rsidRPr="006D0445" w14:paraId="557F2751" w14:textId="77777777" w:rsidTr="00E11990">
        <w:trPr>
          <w:trHeight w:val="670"/>
        </w:trPr>
        <w:tc>
          <w:tcPr>
            <w:tcW w:w="1131" w:type="dxa"/>
            <w:shd w:val="clear" w:color="auto" w:fill="F2F2F2" w:themeFill="background1" w:themeFillShade="F2"/>
            <w:vAlign w:val="center"/>
          </w:tcPr>
          <w:p w14:paraId="38C2232F" w14:textId="77777777" w:rsidR="00A716AD" w:rsidRPr="006D0445" w:rsidRDefault="00A716AD" w:rsidP="00A716AD">
            <w:pPr>
              <w:ind w:left="167"/>
              <w:rPr>
                <w:color w:val="767171"/>
                <w:sz w:val="18"/>
                <w:szCs w:val="18"/>
              </w:rPr>
            </w:pPr>
            <w:r w:rsidRPr="006D0445">
              <w:rPr>
                <w:color w:val="767171"/>
                <w:sz w:val="18"/>
                <w:szCs w:val="18"/>
              </w:rPr>
              <w:t xml:space="preserve">03 </w:t>
            </w:r>
            <w:proofErr w:type="spellStart"/>
            <w:r w:rsidRPr="006D0445">
              <w:rPr>
                <w:color w:val="767171"/>
                <w:sz w:val="18"/>
                <w:szCs w:val="18"/>
              </w:rPr>
              <w:t>AGO</w:t>
            </w:r>
            <w:proofErr w:type="spellEnd"/>
          </w:p>
        </w:tc>
        <w:tc>
          <w:tcPr>
            <w:tcW w:w="993" w:type="dxa"/>
            <w:shd w:val="clear" w:color="auto" w:fill="F2F2F2" w:themeFill="background1" w:themeFillShade="F2"/>
            <w:vAlign w:val="center"/>
          </w:tcPr>
          <w:p w14:paraId="0ACC8A3C" w14:textId="77777777" w:rsidR="00A716AD" w:rsidRPr="006D0445" w:rsidRDefault="00A716AD" w:rsidP="00A716AD">
            <w:pPr>
              <w:jc w:val="center"/>
              <w:rPr>
                <w:color w:val="767171"/>
                <w:sz w:val="18"/>
                <w:szCs w:val="18"/>
              </w:rPr>
            </w:pPr>
            <w:r w:rsidRPr="006D0445">
              <w:rPr>
                <w:color w:val="767171"/>
                <w:sz w:val="18"/>
                <w:szCs w:val="18"/>
              </w:rPr>
              <w:t>520</w:t>
            </w:r>
          </w:p>
        </w:tc>
        <w:tc>
          <w:tcPr>
            <w:tcW w:w="6095" w:type="dxa"/>
            <w:tcBorders>
              <w:left w:val="single" w:sz="8" w:space="0" w:color="002060"/>
            </w:tcBorders>
            <w:vAlign w:val="center"/>
          </w:tcPr>
          <w:p w14:paraId="1C431B68" w14:textId="77777777" w:rsidR="00A716AD" w:rsidRPr="006D0445" w:rsidRDefault="00A716AD" w:rsidP="00A716AD">
            <w:pPr>
              <w:rPr>
                <w:color w:val="767171"/>
                <w:sz w:val="18"/>
                <w:szCs w:val="18"/>
              </w:rPr>
            </w:pPr>
            <w:proofErr w:type="spellStart"/>
            <w:r w:rsidRPr="006D0445">
              <w:rPr>
                <w:color w:val="767171"/>
                <w:sz w:val="18"/>
                <w:szCs w:val="18"/>
              </w:rPr>
              <w:t>IGTEC</w:t>
            </w:r>
            <w:proofErr w:type="spellEnd"/>
            <w:r w:rsidRPr="006D0445">
              <w:rPr>
                <w:color w:val="767171"/>
                <w:sz w:val="18"/>
                <w:szCs w:val="18"/>
              </w:rPr>
              <w:t xml:space="preserve">, </w:t>
            </w:r>
            <w:proofErr w:type="spellStart"/>
            <w:r w:rsidRPr="006D0445">
              <w:rPr>
                <w:color w:val="767171"/>
                <w:sz w:val="18"/>
                <w:szCs w:val="18"/>
              </w:rPr>
              <w:t>COCCIA</w:t>
            </w:r>
            <w:proofErr w:type="spellEnd"/>
            <w:r w:rsidRPr="006D0445">
              <w:rPr>
                <w:color w:val="767171"/>
                <w:sz w:val="18"/>
                <w:szCs w:val="18"/>
              </w:rPr>
              <w:t xml:space="preserve">, </w:t>
            </w:r>
            <w:proofErr w:type="spellStart"/>
            <w:r w:rsidRPr="006D0445">
              <w:rPr>
                <w:color w:val="767171"/>
                <w:sz w:val="18"/>
                <w:szCs w:val="18"/>
              </w:rPr>
              <w:t>EDEESTE</w:t>
            </w:r>
            <w:proofErr w:type="spellEnd"/>
            <w:r w:rsidRPr="006D0445">
              <w:rPr>
                <w:color w:val="767171"/>
                <w:sz w:val="18"/>
                <w:szCs w:val="18"/>
              </w:rPr>
              <w:t xml:space="preserve">, DELMAR, </w:t>
            </w:r>
            <w:proofErr w:type="spellStart"/>
            <w:r w:rsidRPr="006D0445">
              <w:rPr>
                <w:color w:val="767171"/>
                <w:sz w:val="18"/>
                <w:szCs w:val="18"/>
              </w:rPr>
              <w:t>EDENORTE</w:t>
            </w:r>
            <w:proofErr w:type="spellEnd"/>
            <w:r w:rsidRPr="006D0445">
              <w:rPr>
                <w:color w:val="767171"/>
                <w:sz w:val="18"/>
                <w:szCs w:val="18"/>
              </w:rPr>
              <w:t xml:space="preserve">, SOLES Y </w:t>
            </w:r>
            <w:proofErr w:type="spellStart"/>
            <w:r w:rsidRPr="006D0445">
              <w:rPr>
                <w:color w:val="767171"/>
                <w:sz w:val="18"/>
                <w:szCs w:val="18"/>
              </w:rPr>
              <w:t>COOPKAVI</w:t>
            </w:r>
            <w:proofErr w:type="spellEnd"/>
            <w:r w:rsidRPr="006D0445">
              <w:rPr>
                <w:color w:val="767171"/>
                <w:sz w:val="18"/>
                <w:szCs w:val="18"/>
              </w:rPr>
              <w:t>. (SANTO DOMINGO)</w:t>
            </w:r>
          </w:p>
        </w:tc>
      </w:tr>
      <w:tr w:rsidR="006D0445" w:rsidRPr="006D0445" w14:paraId="70FC6A4C" w14:textId="77777777" w:rsidTr="00E11990">
        <w:trPr>
          <w:trHeight w:val="440"/>
        </w:trPr>
        <w:tc>
          <w:tcPr>
            <w:tcW w:w="1131" w:type="dxa"/>
            <w:shd w:val="clear" w:color="auto" w:fill="F2F2F2" w:themeFill="background1" w:themeFillShade="F2"/>
            <w:vAlign w:val="center"/>
          </w:tcPr>
          <w:p w14:paraId="0A1433A8" w14:textId="77777777" w:rsidR="00A716AD" w:rsidRPr="006D0445" w:rsidRDefault="00A716AD" w:rsidP="00A716AD">
            <w:pPr>
              <w:ind w:left="167"/>
              <w:rPr>
                <w:color w:val="767171"/>
                <w:sz w:val="18"/>
                <w:szCs w:val="18"/>
              </w:rPr>
            </w:pPr>
            <w:r w:rsidRPr="006D0445">
              <w:rPr>
                <w:color w:val="767171"/>
                <w:sz w:val="18"/>
                <w:szCs w:val="18"/>
              </w:rPr>
              <w:t>11 SEP</w:t>
            </w:r>
          </w:p>
        </w:tc>
        <w:tc>
          <w:tcPr>
            <w:tcW w:w="993" w:type="dxa"/>
            <w:shd w:val="clear" w:color="auto" w:fill="F2F2F2" w:themeFill="background1" w:themeFillShade="F2"/>
            <w:vAlign w:val="center"/>
          </w:tcPr>
          <w:p w14:paraId="440E76B8" w14:textId="77777777" w:rsidR="00A716AD" w:rsidRPr="006D0445" w:rsidRDefault="00A716AD" w:rsidP="00A716AD">
            <w:pPr>
              <w:jc w:val="center"/>
              <w:rPr>
                <w:color w:val="767171"/>
                <w:sz w:val="18"/>
                <w:szCs w:val="18"/>
              </w:rPr>
            </w:pPr>
            <w:r w:rsidRPr="006D0445">
              <w:rPr>
                <w:color w:val="767171"/>
                <w:sz w:val="18"/>
                <w:szCs w:val="18"/>
              </w:rPr>
              <w:t>51</w:t>
            </w:r>
          </w:p>
        </w:tc>
        <w:tc>
          <w:tcPr>
            <w:tcW w:w="6095" w:type="dxa"/>
            <w:tcBorders>
              <w:left w:val="single" w:sz="8" w:space="0" w:color="002060"/>
            </w:tcBorders>
            <w:shd w:val="clear" w:color="auto" w:fill="F2F2F2" w:themeFill="background1" w:themeFillShade="F2"/>
            <w:vAlign w:val="center"/>
          </w:tcPr>
          <w:p w14:paraId="1D62C3C0" w14:textId="77777777" w:rsidR="00A716AD" w:rsidRPr="006D0445" w:rsidRDefault="00A716AD" w:rsidP="00A716AD">
            <w:pPr>
              <w:rPr>
                <w:color w:val="767171"/>
                <w:sz w:val="18"/>
                <w:szCs w:val="18"/>
              </w:rPr>
            </w:pPr>
            <w:proofErr w:type="spellStart"/>
            <w:r w:rsidRPr="006D0445">
              <w:rPr>
                <w:color w:val="767171"/>
                <w:sz w:val="18"/>
                <w:szCs w:val="18"/>
              </w:rPr>
              <w:t>CPEM</w:t>
            </w:r>
            <w:proofErr w:type="spellEnd"/>
            <w:r w:rsidRPr="006D0445">
              <w:rPr>
                <w:color w:val="767171"/>
                <w:sz w:val="18"/>
                <w:szCs w:val="18"/>
              </w:rPr>
              <w:t xml:space="preserve">, GRUPO PUNTA CANA, CESA Y </w:t>
            </w:r>
            <w:proofErr w:type="spellStart"/>
            <w:r w:rsidRPr="006D0445">
              <w:rPr>
                <w:color w:val="767171"/>
                <w:sz w:val="18"/>
                <w:szCs w:val="18"/>
              </w:rPr>
              <w:t>GEMSA</w:t>
            </w:r>
            <w:proofErr w:type="spellEnd"/>
            <w:r w:rsidRPr="006D0445">
              <w:rPr>
                <w:color w:val="767171"/>
                <w:sz w:val="18"/>
                <w:szCs w:val="18"/>
              </w:rPr>
              <w:t xml:space="preserve"> (PUNTA CANA)</w:t>
            </w:r>
          </w:p>
        </w:tc>
      </w:tr>
      <w:tr w:rsidR="006D0445" w:rsidRPr="006D0445" w14:paraId="74E4669E" w14:textId="77777777" w:rsidTr="00E11990">
        <w:trPr>
          <w:trHeight w:val="286"/>
        </w:trPr>
        <w:tc>
          <w:tcPr>
            <w:tcW w:w="1131" w:type="dxa"/>
            <w:shd w:val="clear" w:color="auto" w:fill="F2F2F2" w:themeFill="background1" w:themeFillShade="F2"/>
            <w:vAlign w:val="center"/>
          </w:tcPr>
          <w:p w14:paraId="1E86E5BD" w14:textId="77777777" w:rsidR="00A716AD" w:rsidRPr="006D0445" w:rsidRDefault="00A716AD" w:rsidP="00A716AD">
            <w:pPr>
              <w:ind w:left="167"/>
              <w:rPr>
                <w:color w:val="767171"/>
                <w:sz w:val="18"/>
                <w:szCs w:val="18"/>
              </w:rPr>
            </w:pPr>
            <w:r w:rsidRPr="006D0445">
              <w:rPr>
                <w:color w:val="767171"/>
                <w:sz w:val="18"/>
                <w:szCs w:val="18"/>
              </w:rPr>
              <w:t>30 NOV</w:t>
            </w:r>
          </w:p>
        </w:tc>
        <w:tc>
          <w:tcPr>
            <w:tcW w:w="993" w:type="dxa"/>
            <w:shd w:val="clear" w:color="auto" w:fill="F2F2F2" w:themeFill="background1" w:themeFillShade="F2"/>
            <w:vAlign w:val="center"/>
          </w:tcPr>
          <w:p w14:paraId="38284E84" w14:textId="77777777" w:rsidR="00A716AD" w:rsidRPr="006D0445" w:rsidRDefault="00A716AD" w:rsidP="00A716AD">
            <w:pPr>
              <w:jc w:val="center"/>
              <w:rPr>
                <w:color w:val="767171"/>
                <w:sz w:val="18"/>
                <w:szCs w:val="18"/>
              </w:rPr>
            </w:pPr>
            <w:r w:rsidRPr="006D0445">
              <w:rPr>
                <w:color w:val="767171"/>
                <w:sz w:val="18"/>
                <w:szCs w:val="18"/>
              </w:rPr>
              <w:t>372</w:t>
            </w:r>
          </w:p>
        </w:tc>
        <w:tc>
          <w:tcPr>
            <w:tcW w:w="6095" w:type="dxa"/>
            <w:tcBorders>
              <w:left w:val="single" w:sz="8" w:space="0" w:color="002060"/>
            </w:tcBorders>
            <w:vAlign w:val="center"/>
          </w:tcPr>
          <w:p w14:paraId="560ABC3D" w14:textId="77777777" w:rsidR="00A716AD" w:rsidRPr="006D0445" w:rsidRDefault="00A716AD" w:rsidP="00A716AD">
            <w:pPr>
              <w:rPr>
                <w:color w:val="767171"/>
                <w:sz w:val="18"/>
                <w:szCs w:val="18"/>
              </w:rPr>
            </w:pPr>
            <w:proofErr w:type="spellStart"/>
            <w:r w:rsidRPr="006D0445">
              <w:rPr>
                <w:color w:val="767171"/>
                <w:sz w:val="18"/>
                <w:szCs w:val="18"/>
              </w:rPr>
              <w:t>IGTEC</w:t>
            </w:r>
            <w:proofErr w:type="spellEnd"/>
            <w:r w:rsidRPr="006D0445">
              <w:rPr>
                <w:color w:val="767171"/>
                <w:sz w:val="18"/>
                <w:szCs w:val="18"/>
              </w:rPr>
              <w:t>. (SANTIAGO)</w:t>
            </w:r>
          </w:p>
        </w:tc>
      </w:tr>
      <w:tr w:rsidR="006D0445" w:rsidRPr="006D0445" w14:paraId="5A250199" w14:textId="77777777" w:rsidTr="00A965BC">
        <w:trPr>
          <w:trHeight w:val="454"/>
        </w:trPr>
        <w:tc>
          <w:tcPr>
            <w:tcW w:w="8219" w:type="dxa"/>
            <w:gridSpan w:val="3"/>
            <w:shd w:val="clear" w:color="auto" w:fill="002060"/>
            <w:vAlign w:val="center"/>
          </w:tcPr>
          <w:p w14:paraId="4EF9A468" w14:textId="318B55A3" w:rsidR="00A716AD" w:rsidRPr="006D0445" w:rsidRDefault="00A965BC" w:rsidP="00A716AD">
            <w:pPr>
              <w:jc w:val="center"/>
              <w:rPr>
                <w:rFonts w:eastAsia="Calibri"/>
                <w:noProof/>
                <w:color w:val="767171"/>
                <w:spacing w:val="20"/>
                <w:sz w:val="18"/>
                <w:szCs w:val="18"/>
              </w:rPr>
            </w:pPr>
            <w:r w:rsidRPr="00C448FD">
              <w:rPr>
                <w:rFonts w:eastAsia="Calibri"/>
                <w:b/>
                <w:bCs/>
                <w:noProof/>
                <w:color w:val="FFFFFF" w:themeColor="background1"/>
                <w:spacing w:val="20"/>
                <w:sz w:val="22"/>
                <w:szCs w:val="22"/>
                <w:lang w:val="en-US"/>
              </w:rPr>
              <w:t>1,419</w:t>
            </w:r>
            <w:r w:rsidR="00A716AD" w:rsidRPr="00C448FD">
              <w:rPr>
                <w:rFonts w:eastAsia="Calibri"/>
                <w:b/>
                <w:bCs/>
                <w:noProof/>
                <w:color w:val="FFFFFF" w:themeColor="background1"/>
                <w:spacing w:val="20"/>
                <w:sz w:val="22"/>
                <w:szCs w:val="22"/>
                <w:lang w:val="en-US"/>
              </w:rPr>
              <w:t xml:space="preserve">  ◊  Licencias – Certificaciones</w:t>
            </w:r>
          </w:p>
        </w:tc>
      </w:tr>
    </w:tbl>
    <w:p w14:paraId="7B8EA994" w14:textId="70F85BAA" w:rsidR="00B13FDF" w:rsidRPr="006D0445" w:rsidRDefault="00A716AD" w:rsidP="00A716AD">
      <w:pPr>
        <w:spacing w:after="0" w:line="240" w:lineRule="auto"/>
        <w:rPr>
          <w:rFonts w:eastAsia="Calibri"/>
          <w:i/>
          <w:iCs/>
          <w:noProof/>
          <w:color w:val="767171"/>
          <w:spacing w:val="20"/>
          <w:sz w:val="18"/>
          <w:szCs w:val="18"/>
        </w:rPr>
      </w:pPr>
      <w:r w:rsidRPr="006D0445">
        <w:rPr>
          <w:rFonts w:eastAsia="Calibri"/>
          <w:i/>
          <w:iCs/>
          <w:noProof/>
          <w:color w:val="767171"/>
          <w:spacing w:val="20"/>
          <w:sz w:val="18"/>
          <w:szCs w:val="18"/>
        </w:rPr>
        <w:t>Fuente: División de Licencias Eléctrica (DLE)</w:t>
      </w:r>
    </w:p>
    <w:p w14:paraId="7B330DD3" w14:textId="77777777" w:rsidR="009219D3" w:rsidRPr="006D0445" w:rsidRDefault="009219D3" w:rsidP="009219D3">
      <w:pPr>
        <w:spacing w:after="0"/>
        <w:rPr>
          <w:color w:val="767171"/>
          <w:sz w:val="16"/>
          <w:szCs w:val="16"/>
        </w:rPr>
      </w:pPr>
    </w:p>
    <w:p w14:paraId="36BA0EEB" w14:textId="396ADC05" w:rsidR="00A716AD" w:rsidRPr="006D0445" w:rsidRDefault="00A716AD" w:rsidP="00A716AD">
      <w:pPr>
        <w:rPr>
          <w:color w:val="767171"/>
        </w:rPr>
      </w:pPr>
      <w:bookmarkStart w:id="25" w:name="_Hlk106874351"/>
      <w:r w:rsidRPr="006D0445">
        <w:rPr>
          <w:color w:val="767171"/>
        </w:rPr>
        <w:t>Durante este periodo se han realizado 5 actividades en las que habremos emitido 1,419 licencias a técnicos electricistas que cumplieron con el programa de acreditación.</w:t>
      </w:r>
    </w:p>
    <w:p w14:paraId="45CDD236" w14:textId="0FDECBCE" w:rsidR="00A965BC" w:rsidRPr="006D0445" w:rsidRDefault="002C4905" w:rsidP="00A716AD">
      <w:pPr>
        <w:rPr>
          <w:color w:val="767171"/>
        </w:rPr>
      </w:pPr>
      <w:bookmarkStart w:id="26" w:name="_Hlk184110733"/>
      <w:r w:rsidRPr="006D0445">
        <w:rPr>
          <w:color w:val="767171"/>
        </w:rPr>
        <w:t>Al mes de o</w:t>
      </w:r>
      <w:r w:rsidR="00A965BC" w:rsidRPr="006D0445">
        <w:rPr>
          <w:color w:val="767171"/>
        </w:rPr>
        <w:t>ctubre 2024</w:t>
      </w:r>
      <w:r w:rsidRPr="006D0445">
        <w:rPr>
          <w:color w:val="767171"/>
        </w:rPr>
        <w:t>, s</w:t>
      </w:r>
      <w:r w:rsidR="00A965BC" w:rsidRPr="006D0445">
        <w:rPr>
          <w:color w:val="767171"/>
        </w:rPr>
        <w:t xml:space="preserve">e acordó </w:t>
      </w:r>
      <w:r w:rsidR="00E61158" w:rsidRPr="006D0445">
        <w:rPr>
          <w:color w:val="767171"/>
        </w:rPr>
        <w:t xml:space="preserve">brindar soporte en el proceso de </w:t>
      </w:r>
      <w:r w:rsidR="00A965BC" w:rsidRPr="006D0445">
        <w:rPr>
          <w:color w:val="767171"/>
        </w:rPr>
        <w:t xml:space="preserve">Evaluaciones por Competencia del personal técnico de “Sarita y Asociados”, empresa de servicio a </w:t>
      </w:r>
      <w:proofErr w:type="spellStart"/>
      <w:r w:rsidR="00A965BC" w:rsidRPr="006D0445">
        <w:rPr>
          <w:color w:val="767171"/>
        </w:rPr>
        <w:t>EDENORTE</w:t>
      </w:r>
      <w:proofErr w:type="spellEnd"/>
      <w:r w:rsidR="00A965BC" w:rsidRPr="006D0445">
        <w:rPr>
          <w:color w:val="767171"/>
        </w:rPr>
        <w:t xml:space="preserve"> </w:t>
      </w:r>
      <w:proofErr w:type="gramStart"/>
      <w:r w:rsidR="00A965BC" w:rsidRPr="006D0445">
        <w:rPr>
          <w:color w:val="767171"/>
        </w:rPr>
        <w:t>Dominicana</w:t>
      </w:r>
      <w:proofErr w:type="gramEnd"/>
      <w:r w:rsidR="00A965BC" w:rsidRPr="006D0445">
        <w:rPr>
          <w:color w:val="767171"/>
        </w:rPr>
        <w:t>, Santiago</w:t>
      </w:r>
      <w:bookmarkEnd w:id="26"/>
      <w:r w:rsidR="00E61158" w:rsidRPr="006D0445">
        <w:rPr>
          <w:color w:val="767171"/>
        </w:rPr>
        <w:t xml:space="preserve"> para inicio de mes de enero 2025.</w:t>
      </w:r>
    </w:p>
    <w:p w14:paraId="3356B497" w14:textId="44EDCCAD" w:rsidR="00E61158" w:rsidRPr="006D0445" w:rsidRDefault="00E61158" w:rsidP="00E61158">
      <w:pPr>
        <w:rPr>
          <w:color w:val="767171"/>
        </w:rPr>
      </w:pPr>
      <w:r w:rsidRPr="006D0445">
        <w:rPr>
          <w:color w:val="767171"/>
        </w:rPr>
        <w:t>En el mes de noviembre del 2024,</w:t>
      </w:r>
      <w:r w:rsidR="00B13FDF" w:rsidRPr="006D0445">
        <w:rPr>
          <w:color w:val="767171"/>
        </w:rPr>
        <w:t xml:space="preserve"> </w:t>
      </w:r>
      <w:r w:rsidRPr="006D0445">
        <w:rPr>
          <w:color w:val="767171"/>
        </w:rPr>
        <w:t>in</w:t>
      </w:r>
      <w:r w:rsidR="00B13FDF" w:rsidRPr="006D0445">
        <w:rPr>
          <w:color w:val="767171"/>
        </w:rPr>
        <w:t>iciamos las Evaluaciones por Competencia del personal técnico de las empresas: “Luz y Fuerza las Terrenas” y “</w:t>
      </w:r>
      <w:proofErr w:type="spellStart"/>
      <w:r w:rsidR="00B13FDF" w:rsidRPr="006D0445">
        <w:rPr>
          <w:color w:val="767171"/>
        </w:rPr>
        <w:t>CENETUR</w:t>
      </w:r>
      <w:proofErr w:type="spellEnd"/>
      <w:r w:rsidR="00B13FDF" w:rsidRPr="006D0445">
        <w:rPr>
          <w:color w:val="767171"/>
        </w:rPr>
        <w:t xml:space="preserve">” grupo </w:t>
      </w:r>
      <w:proofErr w:type="spellStart"/>
      <w:r w:rsidR="00B13FDF" w:rsidRPr="006D0445">
        <w:rPr>
          <w:color w:val="767171"/>
        </w:rPr>
        <w:t>Cap</w:t>
      </w:r>
      <w:proofErr w:type="spellEnd"/>
      <w:r w:rsidR="00B13FDF" w:rsidRPr="006D0445">
        <w:rPr>
          <w:color w:val="767171"/>
        </w:rPr>
        <w:t xml:space="preserve"> Cana Caribe.</w:t>
      </w:r>
    </w:p>
    <w:p w14:paraId="0571BE6E" w14:textId="21EADEFA" w:rsidR="001540CD" w:rsidRPr="006D0445" w:rsidRDefault="00A37ECF" w:rsidP="001540CD">
      <w:pPr>
        <w:pStyle w:val="Ttulo1"/>
      </w:pPr>
      <w:bookmarkStart w:id="27" w:name="_Toc78551998"/>
      <w:bookmarkStart w:id="28" w:name="_Toc186147719"/>
      <w:bookmarkEnd w:id="25"/>
      <w:r w:rsidRPr="006D0445">
        <w:t>RESULTADOS ÁREAS TRANSVERSALES Y DE APOYO</w:t>
      </w:r>
      <w:bookmarkEnd w:id="27"/>
      <w:bookmarkEnd w:id="28"/>
    </w:p>
    <w:p w14:paraId="4A41AD61" w14:textId="77777777" w:rsidR="00C60488" w:rsidRPr="006D0445" w:rsidRDefault="00C60488" w:rsidP="00C60488">
      <w:pPr>
        <w:rPr>
          <w:color w:val="767171"/>
          <w:sz w:val="4"/>
          <w:szCs w:val="4"/>
        </w:rPr>
      </w:pPr>
    </w:p>
    <w:p w14:paraId="52203244" w14:textId="631F6DB9" w:rsidR="00F6337E" w:rsidRPr="00C448FD" w:rsidRDefault="00813AA7" w:rsidP="00F6337E">
      <w:pPr>
        <w:pStyle w:val="Ttulo2"/>
      </w:pPr>
      <w:bookmarkStart w:id="29" w:name="_Toc78551999"/>
      <w:bookmarkStart w:id="30" w:name="_Toc186147720"/>
      <w:r w:rsidRPr="00C448FD">
        <w:t>Desempeño Área Administrativa y Financiera</w:t>
      </w:r>
      <w:bookmarkEnd w:id="29"/>
      <w:bookmarkEnd w:id="30"/>
    </w:p>
    <w:p w14:paraId="721C4682" w14:textId="2680A88F" w:rsidR="00A40D5A" w:rsidRDefault="00F07397" w:rsidP="00F07397">
      <w:pPr>
        <w:rPr>
          <w:color w:val="767171"/>
        </w:rPr>
      </w:pPr>
      <w:r w:rsidRPr="000B2757">
        <w:rPr>
          <w:color w:val="767171"/>
        </w:rPr>
        <w:t>El presupuesto original de la institución para el año 2024 asciende a RD$1,987,347,505.00 sin embargo, aprovechamos los recursos provenientes de periodos anteriores y que provienen del gobierno central equivalente a RD$27,274,422.00 lo que causó un incremento en el presupuesto vigente de un 1.35% por lo que el presupuesto en la actualidad es de RD$2,014,621,927.00. Resaltamos que los recursos que recibe la Superintendencia de Electricidad provienen del aporte de las empresas del sector eléctrico nacional, según lo establecido en la LGE y su Reglamento de Aplicación. A la fecha, el presupuesto de gastos en sentido general se ha ejecutado conforme a lo programado; El mismo ha cubierto todos los gastos operacionales requeridos, de acuerdo con las medidas de austeridad establecidas por el poder ejecutivo, con la finalidad de mejorar la calidad y la eficiencia en los servicios requeridos por los usuarios.</w:t>
      </w:r>
    </w:p>
    <w:p w14:paraId="30CF4DFE" w14:textId="77777777" w:rsidR="00A40D5A" w:rsidRDefault="00A40D5A">
      <w:pPr>
        <w:spacing w:line="259" w:lineRule="auto"/>
        <w:jc w:val="left"/>
        <w:rPr>
          <w:color w:val="767171"/>
        </w:rPr>
      </w:pPr>
      <w:r>
        <w:rPr>
          <w:color w:val="767171"/>
        </w:rPr>
        <w:br w:type="page"/>
      </w:r>
    </w:p>
    <w:p w14:paraId="5F73CB1C" w14:textId="2F8C1779" w:rsidR="000B2757" w:rsidRDefault="000B2757" w:rsidP="00F07397">
      <w:pPr>
        <w:rPr>
          <w:color w:val="767171"/>
        </w:rPr>
      </w:pPr>
      <w:r w:rsidRPr="000B2757">
        <w:rPr>
          <w:color w:val="767171"/>
        </w:rPr>
        <w:lastRenderedPageBreak/>
        <w:t xml:space="preserve">Un punto importante que resaltar es la Superintendencia de Electricidad recibió en fecha seis de mayo del 2024, la comunicación donde el Ministerio de Hacienda nos solicita cumplir con lo establecido en la ley 26-24 del 29 Julio 2024 que modifica la ley 80-23 de diciembre 2023, por esta razón al día </w:t>
      </w:r>
      <w:r>
        <w:rPr>
          <w:color w:val="767171"/>
        </w:rPr>
        <w:t>3 de diciembre del 2024,</w:t>
      </w:r>
      <w:r w:rsidRPr="000B2757">
        <w:rPr>
          <w:color w:val="767171"/>
        </w:rPr>
        <w:t xml:space="preserve"> se completó la transferencia a la cuenta única del tesoro RD$ 1,000,000,000.00 según lo dispuesto.</w:t>
      </w:r>
    </w:p>
    <w:p w14:paraId="79852354" w14:textId="7A3C1312" w:rsidR="000B2757" w:rsidRPr="000B2757" w:rsidRDefault="000B2757" w:rsidP="00F07397">
      <w:pPr>
        <w:rPr>
          <w:color w:val="767171"/>
        </w:rPr>
      </w:pPr>
      <w:r>
        <w:rPr>
          <w:color w:val="767171"/>
        </w:rPr>
        <w:t>Conforme a la administración de los activos fijos de la institución, en este 2024 se realizó en colaboración con inspectores de Bienes Nacionales un registro de todos los activos institucionales, así como el descargo de activos los cuales estaban almacenados en la institución desde el 2013 y nunca se había completado el proceso de descargo.</w:t>
      </w:r>
    </w:p>
    <w:p w14:paraId="45D15E63" w14:textId="77777777" w:rsidR="00BC75C1" w:rsidRPr="00BC75C1" w:rsidRDefault="00BC75C1" w:rsidP="00BC75C1">
      <w:pPr>
        <w:rPr>
          <w:color w:val="767171"/>
        </w:rPr>
      </w:pPr>
      <w:r w:rsidRPr="00BC75C1">
        <w:rPr>
          <w:color w:val="767171"/>
        </w:rPr>
        <w:t>En este período se ha ejecutado RD$1,630,452,379.00 del presupuesto financiero aprobado, lo que corresponde a un 81% del total planificado</w:t>
      </w:r>
    </w:p>
    <w:p w14:paraId="0C1ED6B5" w14:textId="28FF04BB" w:rsidR="00BC75C1" w:rsidRPr="006D21DF" w:rsidRDefault="00BC75C1" w:rsidP="00EC04F0">
      <w:pPr>
        <w:spacing w:line="240" w:lineRule="auto"/>
        <w:jc w:val="center"/>
        <w:rPr>
          <w:color w:val="767171"/>
        </w:rPr>
      </w:pPr>
      <w:r w:rsidRPr="00BC75C1">
        <w:rPr>
          <w:color w:val="767171"/>
        </w:rPr>
        <w:t>Estado de comparación de los importes presupuestados y realizados</w:t>
      </w:r>
    </w:p>
    <w:p w14:paraId="161C8B3C" w14:textId="6852DB77" w:rsidR="00BC75C1" w:rsidRPr="006D21DF" w:rsidRDefault="00BC75C1" w:rsidP="00EC04F0">
      <w:pPr>
        <w:spacing w:line="240" w:lineRule="auto"/>
        <w:jc w:val="center"/>
        <w:rPr>
          <w:color w:val="767171"/>
        </w:rPr>
      </w:pPr>
      <w:r w:rsidRPr="00BC75C1">
        <w:rPr>
          <w:color w:val="767171"/>
        </w:rPr>
        <w:t>(Clasificación de ingresos y gastos por objeto)</w:t>
      </w:r>
    </w:p>
    <w:p w14:paraId="515D3B89" w14:textId="5B955180" w:rsidR="00BC75C1" w:rsidRPr="006D21DF" w:rsidRDefault="00BC75C1" w:rsidP="00EC04F0">
      <w:pPr>
        <w:spacing w:line="240" w:lineRule="auto"/>
        <w:ind w:left="142"/>
        <w:jc w:val="center"/>
        <w:rPr>
          <w:color w:val="767171"/>
        </w:rPr>
      </w:pPr>
      <w:r w:rsidRPr="00BC75C1">
        <w:rPr>
          <w:color w:val="767171"/>
        </w:rPr>
        <w:t>al 31 de octubre 2024, expresado en RD$</w:t>
      </w:r>
    </w:p>
    <w:p w14:paraId="0AB76CD9" w14:textId="4170C19A" w:rsidR="00BC75C1" w:rsidRPr="006D0445" w:rsidRDefault="00BC75C1" w:rsidP="00BC75C1">
      <w:pPr>
        <w:pStyle w:val="Descripcin"/>
        <w:rPr>
          <w:color w:val="767171"/>
          <w:highlight w:val="yellow"/>
        </w:rPr>
      </w:pPr>
      <w:r>
        <w:t xml:space="preserve">Tabla </w:t>
      </w:r>
      <w:r>
        <w:fldChar w:fldCharType="begin"/>
      </w:r>
      <w:r>
        <w:instrText xml:space="preserve"> SEQ Tabla \* ARABIC </w:instrText>
      </w:r>
      <w:r>
        <w:fldChar w:fldCharType="separate"/>
      </w:r>
      <w:r w:rsidR="002F127B">
        <w:rPr>
          <w:noProof/>
        </w:rPr>
        <w:t>6</w:t>
      </w:r>
      <w:r>
        <w:fldChar w:fldCharType="end"/>
      </w:r>
      <w:r w:rsidRPr="00261FC8">
        <w:rPr>
          <w:color w:val="767171"/>
        </w:rPr>
        <w:t>Estado de comparación de los importes presupuestados y realizados</w:t>
      </w:r>
    </w:p>
    <w:tbl>
      <w:tblPr>
        <w:tblW w:w="9826" w:type="dxa"/>
        <w:tblInd w:w="-10" w:type="dxa"/>
        <w:tblCellMar>
          <w:left w:w="70" w:type="dxa"/>
          <w:right w:w="70" w:type="dxa"/>
        </w:tblCellMar>
        <w:tblLook w:val="04A0" w:firstRow="1" w:lastRow="0" w:firstColumn="1" w:lastColumn="0" w:noHBand="0" w:noVBand="1"/>
      </w:tblPr>
      <w:tblGrid>
        <w:gridCol w:w="709"/>
        <w:gridCol w:w="1418"/>
        <w:gridCol w:w="1559"/>
        <w:gridCol w:w="1701"/>
        <w:gridCol w:w="1276"/>
        <w:gridCol w:w="1417"/>
        <w:gridCol w:w="1746"/>
      </w:tblGrid>
      <w:tr w:rsidR="00BC75C1" w:rsidRPr="00BC75C1" w14:paraId="3F9D8F23" w14:textId="77777777" w:rsidTr="00BC75C1">
        <w:trPr>
          <w:gridAfter w:val="1"/>
          <w:wAfter w:w="1746" w:type="dxa"/>
          <w:trHeight w:val="507"/>
        </w:trPr>
        <w:tc>
          <w:tcPr>
            <w:tcW w:w="2127" w:type="dxa"/>
            <w:gridSpan w:val="2"/>
            <w:tcBorders>
              <w:top w:val="single" w:sz="8" w:space="0" w:color="auto"/>
              <w:left w:val="single" w:sz="8" w:space="0" w:color="auto"/>
              <w:bottom w:val="single" w:sz="8" w:space="0" w:color="auto"/>
              <w:right w:val="single" w:sz="8" w:space="0" w:color="000000"/>
            </w:tcBorders>
            <w:shd w:val="clear" w:color="auto" w:fill="002060"/>
            <w:tcMar>
              <w:top w:w="15" w:type="dxa"/>
              <w:left w:w="70" w:type="dxa"/>
              <w:bottom w:w="0" w:type="dxa"/>
              <w:right w:w="70" w:type="dxa"/>
            </w:tcMar>
            <w:vAlign w:val="center"/>
            <w:hideMark/>
          </w:tcPr>
          <w:p w14:paraId="462E6462" w14:textId="77777777" w:rsidR="00BC75C1" w:rsidRPr="00BC75C1" w:rsidRDefault="00BC75C1" w:rsidP="00BC75C1">
            <w:pPr>
              <w:rPr>
                <w:rFonts w:eastAsia="Times New Roman"/>
                <w:color w:val="FFFFFF" w:themeColor="background1"/>
                <w:sz w:val="18"/>
                <w:szCs w:val="18"/>
              </w:rPr>
            </w:pPr>
            <w:r w:rsidRPr="00BC75C1">
              <w:rPr>
                <w:rFonts w:eastAsia="Times New Roman"/>
                <w:color w:val="FFFFFF" w:themeColor="background1"/>
                <w:sz w:val="18"/>
                <w:szCs w:val="18"/>
              </w:rPr>
              <w:t> </w:t>
            </w:r>
          </w:p>
        </w:tc>
        <w:tc>
          <w:tcPr>
            <w:tcW w:w="1559" w:type="dxa"/>
            <w:tcBorders>
              <w:top w:val="nil"/>
              <w:left w:val="nil"/>
              <w:bottom w:val="single" w:sz="8" w:space="0" w:color="auto"/>
              <w:right w:val="single" w:sz="8" w:space="0" w:color="auto"/>
            </w:tcBorders>
            <w:shd w:val="clear" w:color="auto" w:fill="002060"/>
            <w:tcMar>
              <w:top w:w="15" w:type="dxa"/>
              <w:left w:w="70" w:type="dxa"/>
              <w:bottom w:w="0" w:type="dxa"/>
              <w:right w:w="70" w:type="dxa"/>
            </w:tcMar>
            <w:vAlign w:val="center"/>
            <w:hideMark/>
          </w:tcPr>
          <w:p w14:paraId="7CCDD08D" w14:textId="77777777" w:rsidR="00BC75C1" w:rsidRPr="00BC75C1" w:rsidRDefault="00BC75C1" w:rsidP="00BC75C1">
            <w:pPr>
              <w:jc w:val="center"/>
              <w:rPr>
                <w:rFonts w:eastAsia="Times New Roman"/>
                <w:color w:val="FFFFFF" w:themeColor="background1"/>
                <w:sz w:val="18"/>
                <w:szCs w:val="18"/>
              </w:rPr>
            </w:pPr>
            <w:r w:rsidRPr="00BC75C1">
              <w:rPr>
                <w:rFonts w:eastAsia="Times New Roman"/>
                <w:color w:val="FFFFFF" w:themeColor="background1"/>
                <w:sz w:val="18"/>
                <w:szCs w:val="18"/>
              </w:rPr>
              <w:t>Presupuesto reformado</w:t>
            </w:r>
          </w:p>
        </w:tc>
        <w:tc>
          <w:tcPr>
            <w:tcW w:w="1701" w:type="dxa"/>
            <w:tcBorders>
              <w:top w:val="nil"/>
              <w:left w:val="nil"/>
              <w:bottom w:val="single" w:sz="8" w:space="0" w:color="auto"/>
              <w:right w:val="single" w:sz="8" w:space="0" w:color="auto"/>
            </w:tcBorders>
            <w:shd w:val="clear" w:color="auto" w:fill="002060"/>
            <w:tcMar>
              <w:top w:w="15" w:type="dxa"/>
              <w:left w:w="70" w:type="dxa"/>
              <w:bottom w:w="0" w:type="dxa"/>
              <w:right w:w="70" w:type="dxa"/>
            </w:tcMar>
            <w:vAlign w:val="center"/>
            <w:hideMark/>
          </w:tcPr>
          <w:p w14:paraId="7EC69FF7" w14:textId="77777777" w:rsidR="00BC75C1" w:rsidRPr="00BC75C1" w:rsidRDefault="00BC75C1" w:rsidP="00BC75C1">
            <w:pPr>
              <w:jc w:val="center"/>
              <w:rPr>
                <w:rFonts w:eastAsia="Times New Roman"/>
                <w:color w:val="FFFFFF" w:themeColor="background1"/>
                <w:sz w:val="18"/>
                <w:szCs w:val="18"/>
              </w:rPr>
            </w:pPr>
            <w:r w:rsidRPr="00BC75C1">
              <w:rPr>
                <w:rFonts w:eastAsia="Times New Roman"/>
                <w:color w:val="FFFFFF" w:themeColor="background1"/>
                <w:sz w:val="18"/>
                <w:szCs w:val="18"/>
              </w:rPr>
              <w:t>Presupuesto ejecutado</w:t>
            </w:r>
          </w:p>
        </w:tc>
        <w:tc>
          <w:tcPr>
            <w:tcW w:w="1276" w:type="dxa"/>
            <w:tcBorders>
              <w:top w:val="nil"/>
              <w:left w:val="nil"/>
              <w:bottom w:val="single" w:sz="8" w:space="0" w:color="auto"/>
              <w:right w:val="single" w:sz="8" w:space="0" w:color="auto"/>
            </w:tcBorders>
            <w:shd w:val="clear" w:color="auto" w:fill="002060"/>
            <w:tcMar>
              <w:top w:w="15" w:type="dxa"/>
              <w:left w:w="70" w:type="dxa"/>
              <w:bottom w:w="0" w:type="dxa"/>
              <w:right w:w="70" w:type="dxa"/>
            </w:tcMar>
            <w:vAlign w:val="center"/>
            <w:hideMark/>
          </w:tcPr>
          <w:p w14:paraId="24F3B28E" w14:textId="77777777" w:rsidR="00BC75C1" w:rsidRPr="00BC75C1" w:rsidRDefault="00BC75C1" w:rsidP="00BC75C1">
            <w:pPr>
              <w:jc w:val="center"/>
              <w:rPr>
                <w:rFonts w:eastAsia="Times New Roman"/>
                <w:color w:val="FFFFFF" w:themeColor="background1"/>
                <w:sz w:val="18"/>
                <w:szCs w:val="18"/>
              </w:rPr>
            </w:pPr>
            <w:r w:rsidRPr="00BC75C1">
              <w:rPr>
                <w:rFonts w:eastAsia="Times New Roman"/>
                <w:color w:val="FFFFFF" w:themeColor="background1"/>
                <w:sz w:val="18"/>
                <w:szCs w:val="18"/>
              </w:rPr>
              <w:t>% de variación ejecución</w:t>
            </w:r>
          </w:p>
        </w:tc>
        <w:tc>
          <w:tcPr>
            <w:tcW w:w="1417" w:type="dxa"/>
            <w:tcBorders>
              <w:top w:val="nil"/>
              <w:left w:val="nil"/>
              <w:bottom w:val="single" w:sz="8" w:space="0" w:color="auto"/>
              <w:right w:val="single" w:sz="8" w:space="0" w:color="auto"/>
            </w:tcBorders>
            <w:shd w:val="clear" w:color="auto" w:fill="002060"/>
            <w:tcMar>
              <w:top w:w="15" w:type="dxa"/>
              <w:left w:w="70" w:type="dxa"/>
              <w:bottom w:w="0" w:type="dxa"/>
              <w:right w:w="70" w:type="dxa"/>
            </w:tcMar>
            <w:vAlign w:val="center"/>
            <w:hideMark/>
          </w:tcPr>
          <w:p w14:paraId="3415B3C0" w14:textId="77777777" w:rsidR="00BC75C1" w:rsidRPr="00BC75C1" w:rsidRDefault="00BC75C1" w:rsidP="00BC75C1">
            <w:pPr>
              <w:jc w:val="center"/>
              <w:rPr>
                <w:rFonts w:eastAsia="Times New Roman"/>
                <w:color w:val="FFFFFF" w:themeColor="background1"/>
                <w:sz w:val="18"/>
                <w:szCs w:val="18"/>
              </w:rPr>
            </w:pPr>
            <w:r w:rsidRPr="00BC75C1">
              <w:rPr>
                <w:rFonts w:eastAsia="Times New Roman"/>
                <w:color w:val="FFFFFF" w:themeColor="background1"/>
                <w:sz w:val="18"/>
                <w:szCs w:val="18"/>
              </w:rPr>
              <w:t>Variación</w:t>
            </w:r>
          </w:p>
        </w:tc>
      </w:tr>
      <w:tr w:rsidR="00BC75C1" w:rsidRPr="00BC75C1" w14:paraId="6C9D03DC" w14:textId="77777777" w:rsidTr="009C54E1">
        <w:trPr>
          <w:gridAfter w:val="1"/>
          <w:wAfter w:w="1746" w:type="dxa"/>
          <w:trHeight w:val="300"/>
        </w:trPr>
        <w:tc>
          <w:tcPr>
            <w:tcW w:w="709" w:type="dxa"/>
            <w:tcBorders>
              <w:top w:val="nil"/>
              <w:left w:val="single" w:sz="8" w:space="0" w:color="auto"/>
              <w:bottom w:val="single" w:sz="8" w:space="0" w:color="auto"/>
              <w:right w:val="single" w:sz="8" w:space="0" w:color="auto"/>
            </w:tcBorders>
            <w:shd w:val="clear" w:color="auto" w:fill="D9D9D9"/>
            <w:tcMar>
              <w:top w:w="15" w:type="dxa"/>
              <w:left w:w="70" w:type="dxa"/>
              <w:bottom w:w="0" w:type="dxa"/>
              <w:right w:w="70" w:type="dxa"/>
            </w:tcMar>
            <w:vAlign w:val="center"/>
            <w:hideMark/>
          </w:tcPr>
          <w:p w14:paraId="1A890902"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1</w:t>
            </w:r>
          </w:p>
        </w:tc>
        <w:tc>
          <w:tcPr>
            <w:tcW w:w="1418"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162B5CA8"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Ingresos totales</w:t>
            </w:r>
          </w:p>
        </w:tc>
        <w:tc>
          <w:tcPr>
            <w:tcW w:w="1559"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188E6516"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2,014,621,927.00</w:t>
            </w:r>
          </w:p>
        </w:tc>
        <w:tc>
          <w:tcPr>
            <w:tcW w:w="1701"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29C8BE7B"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1,290,108,943.00</w:t>
            </w:r>
          </w:p>
        </w:tc>
        <w:tc>
          <w:tcPr>
            <w:tcW w:w="1276"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15404516"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64%</w:t>
            </w:r>
          </w:p>
        </w:tc>
        <w:tc>
          <w:tcPr>
            <w:tcW w:w="1417" w:type="dxa"/>
            <w:tcBorders>
              <w:top w:val="nil"/>
              <w:left w:val="nil"/>
              <w:bottom w:val="single" w:sz="8" w:space="0" w:color="auto"/>
              <w:right w:val="single" w:sz="8" w:space="0" w:color="auto"/>
            </w:tcBorders>
            <w:shd w:val="clear" w:color="auto" w:fill="D9D9D9"/>
            <w:tcMar>
              <w:top w:w="15" w:type="dxa"/>
              <w:left w:w="70" w:type="dxa"/>
              <w:bottom w:w="0" w:type="dxa"/>
              <w:right w:w="70" w:type="dxa"/>
            </w:tcMar>
            <w:vAlign w:val="center"/>
            <w:hideMark/>
          </w:tcPr>
          <w:p w14:paraId="5DA70CA5" w14:textId="77777777" w:rsidR="00BC75C1" w:rsidRPr="00BC75C1" w:rsidRDefault="00BC75C1" w:rsidP="009C54E1">
            <w:pPr>
              <w:jc w:val="center"/>
              <w:rPr>
                <w:rFonts w:eastAsia="Times New Roman"/>
                <w:b/>
                <w:bCs/>
                <w:color w:val="767171"/>
                <w:sz w:val="18"/>
                <w:szCs w:val="18"/>
              </w:rPr>
            </w:pPr>
            <w:r w:rsidRPr="00BC75C1">
              <w:rPr>
                <w:rFonts w:eastAsia="Times New Roman"/>
                <w:b/>
                <w:bCs/>
                <w:color w:val="767171"/>
                <w:sz w:val="18"/>
                <w:szCs w:val="18"/>
              </w:rPr>
              <w:t>724,512,984.00</w:t>
            </w:r>
          </w:p>
        </w:tc>
      </w:tr>
      <w:tr w:rsidR="00BC75C1" w:rsidRPr="00BC75C1" w14:paraId="60CBF8EB" w14:textId="77777777" w:rsidTr="009C54E1">
        <w:trPr>
          <w:gridAfter w:val="1"/>
          <w:wAfter w:w="1746" w:type="dxa"/>
          <w:trHeight w:val="540"/>
        </w:trPr>
        <w:tc>
          <w:tcPr>
            <w:tcW w:w="709" w:type="dxa"/>
            <w:tcBorders>
              <w:top w:val="nil"/>
              <w:left w:val="single" w:sz="8" w:space="0" w:color="auto"/>
              <w:bottom w:val="single" w:sz="8" w:space="0" w:color="auto"/>
              <w:right w:val="single" w:sz="8" w:space="0" w:color="auto"/>
            </w:tcBorders>
            <w:tcMar>
              <w:top w:w="15" w:type="dxa"/>
              <w:left w:w="70" w:type="dxa"/>
              <w:bottom w:w="0" w:type="dxa"/>
              <w:right w:w="70" w:type="dxa"/>
            </w:tcMar>
            <w:vAlign w:val="center"/>
            <w:hideMark/>
          </w:tcPr>
          <w:p w14:paraId="33006355"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1,5</w:t>
            </w:r>
          </w:p>
        </w:tc>
        <w:tc>
          <w:tcPr>
            <w:tcW w:w="1418"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30EF9297"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Ingresos por contraprestación</w:t>
            </w:r>
          </w:p>
        </w:tc>
        <w:tc>
          <w:tcPr>
            <w:tcW w:w="1559"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71D7751B"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2,014,621,927.00</w:t>
            </w:r>
          </w:p>
        </w:tc>
        <w:tc>
          <w:tcPr>
            <w:tcW w:w="1701"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71B48D3C"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1,290,108,943.00</w:t>
            </w:r>
          </w:p>
        </w:tc>
        <w:tc>
          <w:tcPr>
            <w:tcW w:w="1276"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369B1D86"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64%</w:t>
            </w:r>
          </w:p>
        </w:tc>
        <w:tc>
          <w:tcPr>
            <w:tcW w:w="1417" w:type="dxa"/>
            <w:tcBorders>
              <w:top w:val="nil"/>
              <w:left w:val="nil"/>
              <w:bottom w:val="single" w:sz="8" w:space="0" w:color="auto"/>
              <w:right w:val="single" w:sz="8" w:space="0" w:color="auto"/>
            </w:tcBorders>
            <w:tcMar>
              <w:top w:w="15" w:type="dxa"/>
              <w:left w:w="70" w:type="dxa"/>
              <w:bottom w:w="0" w:type="dxa"/>
              <w:right w:w="70" w:type="dxa"/>
            </w:tcMar>
            <w:vAlign w:val="center"/>
            <w:hideMark/>
          </w:tcPr>
          <w:p w14:paraId="77C878B7" w14:textId="77777777" w:rsidR="00BC75C1" w:rsidRPr="00BC75C1" w:rsidRDefault="00BC75C1" w:rsidP="009C54E1">
            <w:pPr>
              <w:jc w:val="center"/>
              <w:rPr>
                <w:rFonts w:eastAsia="Times New Roman"/>
                <w:color w:val="767171"/>
                <w:sz w:val="18"/>
                <w:szCs w:val="18"/>
              </w:rPr>
            </w:pPr>
            <w:r w:rsidRPr="00BC75C1">
              <w:rPr>
                <w:rFonts w:eastAsia="Times New Roman"/>
                <w:color w:val="767171"/>
                <w:sz w:val="18"/>
                <w:szCs w:val="18"/>
              </w:rPr>
              <w:t>724,512,984.00</w:t>
            </w:r>
          </w:p>
        </w:tc>
      </w:tr>
      <w:tr w:rsidR="009C54E1" w:rsidRPr="00BC75C1" w14:paraId="0C2B0425" w14:textId="77777777" w:rsidTr="009C54E1">
        <w:trPr>
          <w:gridAfter w:val="1"/>
          <w:wAfter w:w="1746" w:type="dxa"/>
          <w:trHeight w:val="288"/>
        </w:trPr>
        <w:tc>
          <w:tcPr>
            <w:tcW w:w="709" w:type="dxa"/>
            <w:tcBorders>
              <w:top w:val="single" w:sz="8" w:space="0" w:color="auto"/>
              <w:left w:val="single" w:sz="8" w:space="0" w:color="auto"/>
              <w:bottom w:val="single" w:sz="4" w:space="0" w:color="auto"/>
              <w:right w:val="single" w:sz="8" w:space="0" w:color="auto"/>
            </w:tcBorders>
            <w:shd w:val="clear" w:color="auto" w:fill="D9D9D9"/>
            <w:tcMar>
              <w:top w:w="15" w:type="dxa"/>
              <w:left w:w="70" w:type="dxa"/>
              <w:bottom w:w="0" w:type="dxa"/>
              <w:right w:w="70" w:type="dxa"/>
            </w:tcMar>
            <w:vAlign w:val="center"/>
            <w:hideMark/>
          </w:tcPr>
          <w:p w14:paraId="0C1933B4" w14:textId="1BC96195" w:rsidR="009C54E1" w:rsidRPr="00BC75C1" w:rsidRDefault="009C54E1" w:rsidP="009C54E1">
            <w:pPr>
              <w:jc w:val="center"/>
              <w:rPr>
                <w:rFonts w:eastAsia="Times New Roman"/>
                <w:b/>
                <w:bCs/>
                <w:color w:val="767171"/>
                <w:sz w:val="18"/>
                <w:szCs w:val="18"/>
              </w:rPr>
            </w:pPr>
            <w:r w:rsidRPr="00BC75C1">
              <w:rPr>
                <w:rFonts w:eastAsia="Times New Roman"/>
                <w:b/>
                <w:bCs/>
                <w:color w:val="767171"/>
                <w:sz w:val="18"/>
                <w:szCs w:val="18"/>
              </w:rPr>
              <w:t>2</w:t>
            </w:r>
          </w:p>
        </w:tc>
        <w:tc>
          <w:tcPr>
            <w:tcW w:w="1418" w:type="dxa"/>
            <w:tcBorders>
              <w:top w:val="single" w:sz="8" w:space="0" w:color="auto"/>
              <w:left w:val="nil"/>
              <w:bottom w:val="single" w:sz="4" w:space="0" w:color="auto"/>
              <w:right w:val="single" w:sz="8" w:space="0" w:color="auto"/>
            </w:tcBorders>
            <w:shd w:val="clear" w:color="auto" w:fill="D9D9D9"/>
            <w:tcMar>
              <w:top w:w="15" w:type="dxa"/>
              <w:left w:w="70" w:type="dxa"/>
              <w:bottom w:w="0" w:type="dxa"/>
              <w:right w:w="70" w:type="dxa"/>
            </w:tcMar>
            <w:vAlign w:val="center"/>
            <w:hideMark/>
          </w:tcPr>
          <w:p w14:paraId="3DE13C2F" w14:textId="17B13F83" w:rsidR="009C54E1" w:rsidRPr="00BC75C1" w:rsidRDefault="009C54E1" w:rsidP="009C54E1">
            <w:pPr>
              <w:jc w:val="center"/>
              <w:rPr>
                <w:rFonts w:eastAsia="Times New Roman"/>
                <w:color w:val="767171"/>
                <w:sz w:val="18"/>
                <w:szCs w:val="18"/>
              </w:rPr>
            </w:pPr>
            <w:r w:rsidRPr="00BC75C1">
              <w:rPr>
                <w:rFonts w:eastAsia="Times New Roman"/>
                <w:b/>
                <w:bCs/>
                <w:color w:val="767171"/>
                <w:sz w:val="18"/>
                <w:szCs w:val="18"/>
              </w:rPr>
              <w:t>Gastos totales</w:t>
            </w:r>
          </w:p>
        </w:tc>
        <w:tc>
          <w:tcPr>
            <w:tcW w:w="1559" w:type="dxa"/>
            <w:tcBorders>
              <w:top w:val="single" w:sz="8" w:space="0" w:color="auto"/>
              <w:left w:val="single" w:sz="8" w:space="0" w:color="auto"/>
              <w:bottom w:val="single" w:sz="4" w:space="0" w:color="auto"/>
              <w:right w:val="single" w:sz="8" w:space="0" w:color="auto"/>
            </w:tcBorders>
            <w:shd w:val="clear" w:color="auto" w:fill="D9D9D9"/>
            <w:tcMar>
              <w:top w:w="15" w:type="dxa"/>
              <w:left w:w="70" w:type="dxa"/>
              <w:bottom w:w="0" w:type="dxa"/>
              <w:right w:w="70" w:type="dxa"/>
            </w:tcMar>
            <w:vAlign w:val="center"/>
            <w:hideMark/>
          </w:tcPr>
          <w:p w14:paraId="04CEAEF8" w14:textId="77777777" w:rsidR="009C54E1" w:rsidRPr="00BC75C1" w:rsidRDefault="009C54E1" w:rsidP="009C54E1">
            <w:pPr>
              <w:jc w:val="center"/>
              <w:rPr>
                <w:rFonts w:eastAsia="Times New Roman"/>
                <w:b/>
                <w:bCs/>
                <w:color w:val="767171"/>
                <w:sz w:val="18"/>
                <w:szCs w:val="18"/>
              </w:rPr>
            </w:pPr>
            <w:r w:rsidRPr="00BC75C1">
              <w:rPr>
                <w:rFonts w:eastAsia="Times New Roman"/>
                <w:b/>
                <w:bCs/>
                <w:color w:val="767171"/>
                <w:sz w:val="18"/>
                <w:szCs w:val="18"/>
              </w:rPr>
              <w:t>2,014,621,927.00</w:t>
            </w:r>
          </w:p>
        </w:tc>
        <w:tc>
          <w:tcPr>
            <w:tcW w:w="1701" w:type="dxa"/>
            <w:tcBorders>
              <w:top w:val="single" w:sz="8" w:space="0" w:color="auto"/>
              <w:left w:val="single" w:sz="8" w:space="0" w:color="auto"/>
              <w:bottom w:val="single" w:sz="4" w:space="0" w:color="auto"/>
              <w:right w:val="single" w:sz="8" w:space="0" w:color="auto"/>
            </w:tcBorders>
            <w:shd w:val="clear" w:color="auto" w:fill="D9D9D9"/>
            <w:tcMar>
              <w:top w:w="15" w:type="dxa"/>
              <w:left w:w="70" w:type="dxa"/>
              <w:bottom w:w="0" w:type="dxa"/>
              <w:right w:w="70" w:type="dxa"/>
            </w:tcMar>
            <w:vAlign w:val="center"/>
            <w:hideMark/>
          </w:tcPr>
          <w:p w14:paraId="081B160C" w14:textId="77777777" w:rsidR="009C54E1" w:rsidRPr="00BC75C1" w:rsidRDefault="009C54E1" w:rsidP="009C54E1">
            <w:pPr>
              <w:jc w:val="center"/>
              <w:rPr>
                <w:rFonts w:eastAsia="Times New Roman"/>
                <w:b/>
                <w:bCs/>
                <w:color w:val="767171"/>
                <w:sz w:val="18"/>
                <w:szCs w:val="18"/>
              </w:rPr>
            </w:pPr>
            <w:r w:rsidRPr="00BC75C1">
              <w:rPr>
                <w:rFonts w:eastAsia="Times New Roman"/>
                <w:b/>
                <w:bCs/>
                <w:color w:val="767171"/>
                <w:sz w:val="18"/>
                <w:szCs w:val="18"/>
              </w:rPr>
              <w:t>1,630,452,379.00</w:t>
            </w:r>
          </w:p>
        </w:tc>
        <w:tc>
          <w:tcPr>
            <w:tcW w:w="1276" w:type="dxa"/>
            <w:tcBorders>
              <w:top w:val="single" w:sz="8" w:space="0" w:color="auto"/>
              <w:left w:val="single" w:sz="8" w:space="0" w:color="auto"/>
              <w:bottom w:val="single" w:sz="4" w:space="0" w:color="auto"/>
              <w:right w:val="single" w:sz="8" w:space="0" w:color="auto"/>
            </w:tcBorders>
            <w:shd w:val="clear" w:color="auto" w:fill="D9D9D9"/>
            <w:tcMar>
              <w:top w:w="15" w:type="dxa"/>
              <w:left w:w="70" w:type="dxa"/>
              <w:bottom w:w="0" w:type="dxa"/>
              <w:right w:w="70" w:type="dxa"/>
            </w:tcMar>
            <w:vAlign w:val="center"/>
            <w:hideMark/>
          </w:tcPr>
          <w:p w14:paraId="12297572" w14:textId="77777777" w:rsidR="009C54E1" w:rsidRPr="00BC75C1" w:rsidRDefault="009C54E1" w:rsidP="009C54E1">
            <w:pPr>
              <w:jc w:val="center"/>
              <w:rPr>
                <w:rFonts w:eastAsia="Times New Roman"/>
                <w:b/>
                <w:bCs/>
                <w:color w:val="767171"/>
                <w:sz w:val="18"/>
                <w:szCs w:val="18"/>
              </w:rPr>
            </w:pPr>
            <w:r w:rsidRPr="00BC75C1">
              <w:rPr>
                <w:rFonts w:eastAsia="Times New Roman"/>
                <w:b/>
                <w:bCs/>
                <w:color w:val="767171"/>
                <w:sz w:val="18"/>
                <w:szCs w:val="18"/>
              </w:rPr>
              <w:t>81%</w:t>
            </w:r>
          </w:p>
        </w:tc>
        <w:tc>
          <w:tcPr>
            <w:tcW w:w="1417" w:type="dxa"/>
            <w:tcBorders>
              <w:top w:val="single" w:sz="8" w:space="0" w:color="auto"/>
              <w:left w:val="nil"/>
              <w:bottom w:val="single" w:sz="4" w:space="0" w:color="auto"/>
              <w:right w:val="single" w:sz="8" w:space="0" w:color="auto"/>
            </w:tcBorders>
            <w:shd w:val="clear" w:color="auto" w:fill="D9D9D9"/>
            <w:tcMar>
              <w:top w:w="15" w:type="dxa"/>
              <w:left w:w="70" w:type="dxa"/>
              <w:bottom w:w="0" w:type="dxa"/>
              <w:right w:w="70" w:type="dxa"/>
            </w:tcMar>
            <w:vAlign w:val="center"/>
            <w:hideMark/>
          </w:tcPr>
          <w:p w14:paraId="5B8B5AE6" w14:textId="77777777" w:rsidR="009C54E1" w:rsidRPr="00BC75C1" w:rsidRDefault="009C54E1" w:rsidP="009C54E1">
            <w:pPr>
              <w:jc w:val="right"/>
              <w:rPr>
                <w:rFonts w:eastAsia="Times New Roman"/>
                <w:b/>
                <w:bCs/>
                <w:color w:val="767171"/>
                <w:sz w:val="18"/>
                <w:szCs w:val="18"/>
              </w:rPr>
            </w:pPr>
            <w:r w:rsidRPr="00BC75C1">
              <w:rPr>
                <w:rFonts w:eastAsia="Times New Roman"/>
                <w:b/>
                <w:bCs/>
                <w:color w:val="767171"/>
                <w:sz w:val="18"/>
                <w:szCs w:val="18"/>
              </w:rPr>
              <w:t>384,169,548.00</w:t>
            </w:r>
          </w:p>
        </w:tc>
      </w:tr>
      <w:tr w:rsidR="009C54E1" w:rsidRPr="00BC75C1" w14:paraId="40C2A751" w14:textId="77777777" w:rsidTr="009C54E1">
        <w:trPr>
          <w:gridAfter w:val="1"/>
          <w:wAfter w:w="1746" w:type="dxa"/>
          <w:trHeight w:val="578"/>
        </w:trPr>
        <w:tc>
          <w:tcPr>
            <w:tcW w:w="709" w:type="dxa"/>
            <w:tcBorders>
              <w:top w:val="single" w:sz="4" w:space="0" w:color="auto"/>
              <w:left w:val="single" w:sz="8" w:space="0" w:color="auto"/>
              <w:bottom w:val="nil"/>
              <w:right w:val="single" w:sz="8" w:space="0" w:color="auto"/>
            </w:tcBorders>
            <w:tcMar>
              <w:top w:w="15" w:type="dxa"/>
              <w:left w:w="70" w:type="dxa"/>
              <w:bottom w:w="0" w:type="dxa"/>
              <w:right w:w="70" w:type="dxa"/>
            </w:tcMar>
            <w:vAlign w:val="center"/>
            <w:hideMark/>
          </w:tcPr>
          <w:p w14:paraId="49F7A788"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2,1</w:t>
            </w:r>
          </w:p>
        </w:tc>
        <w:tc>
          <w:tcPr>
            <w:tcW w:w="1418" w:type="dxa"/>
            <w:tcBorders>
              <w:top w:val="single" w:sz="4" w:space="0" w:color="auto"/>
              <w:left w:val="nil"/>
              <w:bottom w:val="nil"/>
              <w:right w:val="single" w:sz="8" w:space="0" w:color="auto"/>
            </w:tcBorders>
            <w:tcMar>
              <w:top w:w="15" w:type="dxa"/>
              <w:left w:w="70" w:type="dxa"/>
              <w:bottom w:w="0" w:type="dxa"/>
              <w:right w:w="70" w:type="dxa"/>
            </w:tcMar>
            <w:vAlign w:val="center"/>
            <w:hideMark/>
          </w:tcPr>
          <w:p w14:paraId="3CE2E173"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Remuneraciones y contribuciones</w:t>
            </w:r>
          </w:p>
        </w:tc>
        <w:tc>
          <w:tcPr>
            <w:tcW w:w="1559" w:type="dxa"/>
            <w:tcBorders>
              <w:top w:val="single" w:sz="4" w:space="0" w:color="auto"/>
              <w:left w:val="nil"/>
              <w:bottom w:val="nil"/>
              <w:right w:val="single" w:sz="8" w:space="0" w:color="auto"/>
            </w:tcBorders>
            <w:tcMar>
              <w:top w:w="15" w:type="dxa"/>
              <w:left w:w="70" w:type="dxa"/>
              <w:bottom w:w="0" w:type="dxa"/>
              <w:right w:w="70" w:type="dxa"/>
            </w:tcMar>
            <w:vAlign w:val="center"/>
            <w:hideMark/>
          </w:tcPr>
          <w:p w14:paraId="66EFD8D5"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931,895,798.00</w:t>
            </w:r>
          </w:p>
        </w:tc>
        <w:tc>
          <w:tcPr>
            <w:tcW w:w="1701" w:type="dxa"/>
            <w:tcBorders>
              <w:top w:val="single" w:sz="4" w:space="0" w:color="auto"/>
              <w:left w:val="nil"/>
              <w:bottom w:val="nil"/>
              <w:right w:val="single" w:sz="8" w:space="0" w:color="auto"/>
            </w:tcBorders>
            <w:tcMar>
              <w:top w:w="15" w:type="dxa"/>
              <w:left w:w="70" w:type="dxa"/>
              <w:bottom w:w="0" w:type="dxa"/>
              <w:right w:w="70" w:type="dxa"/>
            </w:tcMar>
            <w:vAlign w:val="center"/>
            <w:hideMark/>
          </w:tcPr>
          <w:p w14:paraId="1A5E5E57"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660,476,159.00</w:t>
            </w:r>
          </w:p>
        </w:tc>
        <w:tc>
          <w:tcPr>
            <w:tcW w:w="1276" w:type="dxa"/>
            <w:tcBorders>
              <w:top w:val="single" w:sz="4" w:space="0" w:color="auto"/>
            </w:tcBorders>
            <w:noWrap/>
            <w:tcMar>
              <w:top w:w="15" w:type="dxa"/>
              <w:left w:w="70" w:type="dxa"/>
              <w:bottom w:w="0" w:type="dxa"/>
              <w:right w:w="70" w:type="dxa"/>
            </w:tcMar>
            <w:vAlign w:val="center"/>
            <w:hideMark/>
          </w:tcPr>
          <w:p w14:paraId="3155E5DB"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71%</w:t>
            </w:r>
          </w:p>
        </w:tc>
        <w:tc>
          <w:tcPr>
            <w:tcW w:w="1417" w:type="dxa"/>
            <w:tcBorders>
              <w:top w:val="single" w:sz="4" w:space="0" w:color="auto"/>
              <w:left w:val="single" w:sz="8" w:space="0" w:color="auto"/>
              <w:bottom w:val="nil"/>
              <w:right w:val="single" w:sz="8" w:space="0" w:color="auto"/>
            </w:tcBorders>
            <w:tcMar>
              <w:top w:w="15" w:type="dxa"/>
              <w:left w:w="70" w:type="dxa"/>
              <w:bottom w:w="0" w:type="dxa"/>
              <w:right w:w="70" w:type="dxa"/>
            </w:tcMar>
            <w:vAlign w:val="center"/>
            <w:hideMark/>
          </w:tcPr>
          <w:p w14:paraId="475FC984"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271,419,639.00</w:t>
            </w:r>
          </w:p>
        </w:tc>
      </w:tr>
      <w:tr w:rsidR="009C54E1" w:rsidRPr="00BC75C1" w14:paraId="314E3B85" w14:textId="77777777" w:rsidTr="009C54E1">
        <w:trPr>
          <w:gridAfter w:val="1"/>
          <w:wAfter w:w="1746" w:type="dxa"/>
          <w:trHeight w:val="528"/>
        </w:trPr>
        <w:tc>
          <w:tcPr>
            <w:tcW w:w="709"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0699AA84"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2,2</w:t>
            </w:r>
          </w:p>
        </w:tc>
        <w:tc>
          <w:tcPr>
            <w:tcW w:w="1418" w:type="dxa"/>
            <w:tcBorders>
              <w:top w:val="nil"/>
              <w:left w:val="nil"/>
              <w:bottom w:val="nil"/>
              <w:right w:val="single" w:sz="8" w:space="0" w:color="auto"/>
            </w:tcBorders>
            <w:tcMar>
              <w:top w:w="15" w:type="dxa"/>
              <w:left w:w="70" w:type="dxa"/>
              <w:bottom w:w="0" w:type="dxa"/>
              <w:right w:w="70" w:type="dxa"/>
            </w:tcMar>
            <w:vAlign w:val="center"/>
            <w:hideMark/>
          </w:tcPr>
          <w:p w14:paraId="502F467F"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Contratación de servicios</w:t>
            </w:r>
          </w:p>
        </w:tc>
        <w:tc>
          <w:tcPr>
            <w:tcW w:w="1559" w:type="dxa"/>
            <w:tcBorders>
              <w:top w:val="nil"/>
              <w:left w:val="nil"/>
              <w:bottom w:val="nil"/>
              <w:right w:val="single" w:sz="8" w:space="0" w:color="auto"/>
            </w:tcBorders>
            <w:tcMar>
              <w:top w:w="15" w:type="dxa"/>
              <w:left w:w="70" w:type="dxa"/>
              <w:bottom w:w="0" w:type="dxa"/>
              <w:right w:w="70" w:type="dxa"/>
            </w:tcMar>
            <w:vAlign w:val="center"/>
            <w:hideMark/>
          </w:tcPr>
          <w:p w14:paraId="40B046FC"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707,068,586.00</w:t>
            </w:r>
          </w:p>
        </w:tc>
        <w:tc>
          <w:tcPr>
            <w:tcW w:w="1701" w:type="dxa"/>
            <w:tcBorders>
              <w:top w:val="nil"/>
              <w:left w:val="nil"/>
              <w:bottom w:val="nil"/>
              <w:right w:val="single" w:sz="8" w:space="0" w:color="auto"/>
            </w:tcBorders>
            <w:tcMar>
              <w:top w:w="15" w:type="dxa"/>
              <w:left w:w="70" w:type="dxa"/>
              <w:bottom w:w="0" w:type="dxa"/>
              <w:right w:w="70" w:type="dxa"/>
            </w:tcMar>
            <w:vAlign w:val="center"/>
            <w:hideMark/>
          </w:tcPr>
          <w:p w14:paraId="45A00B03"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343,304,864.00</w:t>
            </w:r>
          </w:p>
        </w:tc>
        <w:tc>
          <w:tcPr>
            <w:tcW w:w="1276" w:type="dxa"/>
            <w:noWrap/>
            <w:tcMar>
              <w:top w:w="15" w:type="dxa"/>
              <w:left w:w="70" w:type="dxa"/>
              <w:bottom w:w="0" w:type="dxa"/>
              <w:right w:w="70" w:type="dxa"/>
            </w:tcMar>
            <w:vAlign w:val="center"/>
            <w:hideMark/>
          </w:tcPr>
          <w:p w14:paraId="27D34749"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49%</w:t>
            </w:r>
          </w:p>
        </w:tc>
        <w:tc>
          <w:tcPr>
            <w:tcW w:w="1417"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6F628326"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363,763,722.00</w:t>
            </w:r>
          </w:p>
        </w:tc>
      </w:tr>
      <w:tr w:rsidR="009C54E1" w:rsidRPr="00BC75C1" w14:paraId="14F2F292" w14:textId="77777777" w:rsidTr="009C54E1">
        <w:trPr>
          <w:gridAfter w:val="1"/>
          <w:wAfter w:w="1746" w:type="dxa"/>
          <w:trHeight w:val="528"/>
        </w:trPr>
        <w:tc>
          <w:tcPr>
            <w:tcW w:w="709"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214E3AC1"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2,3</w:t>
            </w:r>
          </w:p>
        </w:tc>
        <w:tc>
          <w:tcPr>
            <w:tcW w:w="1418" w:type="dxa"/>
            <w:tcBorders>
              <w:top w:val="nil"/>
              <w:left w:val="nil"/>
              <w:bottom w:val="nil"/>
              <w:right w:val="single" w:sz="8" w:space="0" w:color="auto"/>
            </w:tcBorders>
            <w:tcMar>
              <w:top w:w="15" w:type="dxa"/>
              <w:left w:w="70" w:type="dxa"/>
              <w:bottom w:w="0" w:type="dxa"/>
              <w:right w:w="70" w:type="dxa"/>
            </w:tcMar>
            <w:vAlign w:val="center"/>
            <w:hideMark/>
          </w:tcPr>
          <w:p w14:paraId="5130C4FF"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Materiales y suministros</w:t>
            </w:r>
          </w:p>
        </w:tc>
        <w:tc>
          <w:tcPr>
            <w:tcW w:w="1559" w:type="dxa"/>
            <w:tcBorders>
              <w:top w:val="nil"/>
              <w:left w:val="nil"/>
              <w:bottom w:val="nil"/>
              <w:right w:val="single" w:sz="8" w:space="0" w:color="auto"/>
            </w:tcBorders>
            <w:tcMar>
              <w:top w:w="15" w:type="dxa"/>
              <w:left w:w="70" w:type="dxa"/>
              <w:bottom w:w="0" w:type="dxa"/>
              <w:right w:w="70" w:type="dxa"/>
            </w:tcMar>
            <w:vAlign w:val="center"/>
            <w:hideMark/>
          </w:tcPr>
          <w:p w14:paraId="57023E08"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77,921,401.00</w:t>
            </w:r>
          </w:p>
        </w:tc>
        <w:tc>
          <w:tcPr>
            <w:tcW w:w="1701" w:type="dxa"/>
            <w:tcBorders>
              <w:top w:val="nil"/>
              <w:left w:val="nil"/>
              <w:bottom w:val="nil"/>
              <w:right w:val="single" w:sz="8" w:space="0" w:color="auto"/>
            </w:tcBorders>
            <w:tcMar>
              <w:top w:w="15" w:type="dxa"/>
              <w:left w:w="70" w:type="dxa"/>
              <w:bottom w:w="0" w:type="dxa"/>
              <w:right w:w="70" w:type="dxa"/>
            </w:tcMar>
            <w:vAlign w:val="center"/>
            <w:hideMark/>
          </w:tcPr>
          <w:p w14:paraId="0C12991E"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34,233,958.00</w:t>
            </w:r>
          </w:p>
        </w:tc>
        <w:tc>
          <w:tcPr>
            <w:tcW w:w="1276" w:type="dxa"/>
            <w:noWrap/>
            <w:tcMar>
              <w:top w:w="15" w:type="dxa"/>
              <w:left w:w="70" w:type="dxa"/>
              <w:bottom w:w="0" w:type="dxa"/>
              <w:right w:w="70" w:type="dxa"/>
            </w:tcMar>
            <w:vAlign w:val="center"/>
            <w:hideMark/>
          </w:tcPr>
          <w:p w14:paraId="4088D011"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44%</w:t>
            </w:r>
          </w:p>
        </w:tc>
        <w:tc>
          <w:tcPr>
            <w:tcW w:w="1417"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5BA2F08B"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43,687,443.00</w:t>
            </w:r>
          </w:p>
        </w:tc>
      </w:tr>
      <w:tr w:rsidR="009C54E1" w:rsidRPr="00BC75C1" w14:paraId="269FB5EC" w14:textId="77777777" w:rsidTr="009C54E1">
        <w:trPr>
          <w:gridAfter w:val="1"/>
          <w:wAfter w:w="1746" w:type="dxa"/>
          <w:trHeight w:val="280"/>
        </w:trPr>
        <w:tc>
          <w:tcPr>
            <w:tcW w:w="709"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475077FF"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2,4</w:t>
            </w:r>
          </w:p>
        </w:tc>
        <w:tc>
          <w:tcPr>
            <w:tcW w:w="1418" w:type="dxa"/>
            <w:tcBorders>
              <w:top w:val="nil"/>
              <w:left w:val="nil"/>
              <w:bottom w:val="nil"/>
              <w:right w:val="single" w:sz="8" w:space="0" w:color="auto"/>
            </w:tcBorders>
            <w:tcMar>
              <w:top w:w="15" w:type="dxa"/>
              <w:left w:w="70" w:type="dxa"/>
              <w:bottom w:w="0" w:type="dxa"/>
              <w:right w:w="70" w:type="dxa"/>
            </w:tcMar>
            <w:vAlign w:val="center"/>
            <w:hideMark/>
          </w:tcPr>
          <w:p w14:paraId="75184AE0"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Transferencias corrientes</w:t>
            </w:r>
          </w:p>
        </w:tc>
        <w:tc>
          <w:tcPr>
            <w:tcW w:w="1559" w:type="dxa"/>
            <w:tcBorders>
              <w:top w:val="nil"/>
              <w:left w:val="nil"/>
              <w:bottom w:val="nil"/>
              <w:right w:val="single" w:sz="8" w:space="0" w:color="auto"/>
            </w:tcBorders>
            <w:tcMar>
              <w:top w:w="15" w:type="dxa"/>
              <w:left w:w="70" w:type="dxa"/>
              <w:bottom w:w="0" w:type="dxa"/>
              <w:right w:w="70" w:type="dxa"/>
            </w:tcMar>
            <w:vAlign w:val="center"/>
            <w:hideMark/>
          </w:tcPr>
          <w:p w14:paraId="3FFD5A07"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5,391,300.00</w:t>
            </w:r>
          </w:p>
        </w:tc>
        <w:tc>
          <w:tcPr>
            <w:tcW w:w="1701" w:type="dxa"/>
            <w:tcBorders>
              <w:top w:val="nil"/>
              <w:left w:val="nil"/>
              <w:bottom w:val="nil"/>
              <w:right w:val="single" w:sz="8" w:space="0" w:color="auto"/>
            </w:tcBorders>
            <w:tcMar>
              <w:top w:w="15" w:type="dxa"/>
              <w:left w:w="70" w:type="dxa"/>
              <w:bottom w:w="0" w:type="dxa"/>
              <w:right w:w="70" w:type="dxa"/>
            </w:tcMar>
            <w:vAlign w:val="center"/>
            <w:hideMark/>
          </w:tcPr>
          <w:p w14:paraId="757392AF"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507,779,643.00</w:t>
            </w:r>
          </w:p>
        </w:tc>
        <w:tc>
          <w:tcPr>
            <w:tcW w:w="1276" w:type="dxa"/>
            <w:noWrap/>
            <w:tcMar>
              <w:top w:w="15" w:type="dxa"/>
              <w:left w:w="70" w:type="dxa"/>
              <w:bottom w:w="0" w:type="dxa"/>
              <w:right w:w="70" w:type="dxa"/>
            </w:tcMar>
            <w:vAlign w:val="center"/>
            <w:hideMark/>
          </w:tcPr>
          <w:p w14:paraId="6DCF431A"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9419%</w:t>
            </w:r>
          </w:p>
        </w:tc>
        <w:tc>
          <w:tcPr>
            <w:tcW w:w="1417"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434E1C47"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-502,388,343.00</w:t>
            </w:r>
          </w:p>
        </w:tc>
      </w:tr>
      <w:tr w:rsidR="009C54E1" w:rsidRPr="00BC75C1" w14:paraId="236CDD16" w14:textId="77777777" w:rsidTr="009C54E1">
        <w:trPr>
          <w:gridAfter w:val="1"/>
          <w:wAfter w:w="1746" w:type="dxa"/>
          <w:trHeight w:val="792"/>
        </w:trPr>
        <w:tc>
          <w:tcPr>
            <w:tcW w:w="709"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5812E850"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2,6</w:t>
            </w:r>
          </w:p>
        </w:tc>
        <w:tc>
          <w:tcPr>
            <w:tcW w:w="1418" w:type="dxa"/>
            <w:tcBorders>
              <w:top w:val="nil"/>
              <w:left w:val="nil"/>
              <w:bottom w:val="nil"/>
              <w:right w:val="single" w:sz="8" w:space="0" w:color="auto"/>
            </w:tcBorders>
            <w:tcMar>
              <w:top w:w="15" w:type="dxa"/>
              <w:left w:w="70" w:type="dxa"/>
              <w:bottom w:w="0" w:type="dxa"/>
              <w:right w:w="70" w:type="dxa"/>
            </w:tcMar>
            <w:vAlign w:val="center"/>
            <w:hideMark/>
          </w:tcPr>
          <w:p w14:paraId="68672D23"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Bienes muebles, inmuebles e intangibles</w:t>
            </w:r>
          </w:p>
        </w:tc>
        <w:tc>
          <w:tcPr>
            <w:tcW w:w="1559" w:type="dxa"/>
            <w:tcBorders>
              <w:top w:val="nil"/>
              <w:left w:val="nil"/>
              <w:bottom w:val="nil"/>
              <w:right w:val="single" w:sz="8" w:space="0" w:color="auto"/>
            </w:tcBorders>
            <w:tcMar>
              <w:top w:w="15" w:type="dxa"/>
              <w:left w:w="70" w:type="dxa"/>
              <w:bottom w:w="0" w:type="dxa"/>
              <w:right w:w="70" w:type="dxa"/>
            </w:tcMar>
            <w:vAlign w:val="center"/>
            <w:hideMark/>
          </w:tcPr>
          <w:p w14:paraId="593B7D04" w14:textId="04FDF66C"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219,608,552.00</w:t>
            </w:r>
          </w:p>
        </w:tc>
        <w:tc>
          <w:tcPr>
            <w:tcW w:w="1701" w:type="dxa"/>
            <w:tcBorders>
              <w:top w:val="nil"/>
              <w:left w:val="nil"/>
              <w:bottom w:val="nil"/>
              <w:right w:val="single" w:sz="8" w:space="0" w:color="auto"/>
            </w:tcBorders>
            <w:tcMar>
              <w:top w:w="15" w:type="dxa"/>
              <w:left w:w="70" w:type="dxa"/>
              <w:bottom w:w="0" w:type="dxa"/>
              <w:right w:w="70" w:type="dxa"/>
            </w:tcMar>
            <w:vAlign w:val="center"/>
            <w:hideMark/>
          </w:tcPr>
          <w:p w14:paraId="5A37F278" w14:textId="32953386"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84,657,755.00</w:t>
            </w:r>
          </w:p>
        </w:tc>
        <w:tc>
          <w:tcPr>
            <w:tcW w:w="1276" w:type="dxa"/>
            <w:noWrap/>
            <w:tcMar>
              <w:top w:w="15" w:type="dxa"/>
              <w:left w:w="70" w:type="dxa"/>
              <w:bottom w:w="0" w:type="dxa"/>
              <w:right w:w="70" w:type="dxa"/>
            </w:tcMar>
            <w:vAlign w:val="center"/>
            <w:hideMark/>
          </w:tcPr>
          <w:p w14:paraId="2F5DD4A4"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39%</w:t>
            </w:r>
          </w:p>
        </w:tc>
        <w:tc>
          <w:tcPr>
            <w:tcW w:w="1417"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3DB35266"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134,950,797.00</w:t>
            </w:r>
          </w:p>
        </w:tc>
      </w:tr>
      <w:tr w:rsidR="009C54E1" w:rsidRPr="00BC75C1" w14:paraId="2091A04A" w14:textId="77777777" w:rsidTr="009C54E1">
        <w:trPr>
          <w:gridAfter w:val="1"/>
          <w:wAfter w:w="1746" w:type="dxa"/>
          <w:trHeight w:val="300"/>
        </w:trPr>
        <w:tc>
          <w:tcPr>
            <w:tcW w:w="709"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226A5A27"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2.7</w:t>
            </w:r>
          </w:p>
        </w:tc>
        <w:tc>
          <w:tcPr>
            <w:tcW w:w="1418" w:type="dxa"/>
            <w:tcBorders>
              <w:top w:val="nil"/>
              <w:left w:val="nil"/>
              <w:bottom w:val="nil"/>
              <w:right w:val="single" w:sz="8" w:space="0" w:color="auto"/>
            </w:tcBorders>
            <w:tcMar>
              <w:top w:w="15" w:type="dxa"/>
              <w:left w:w="70" w:type="dxa"/>
              <w:bottom w:w="0" w:type="dxa"/>
              <w:right w:w="70" w:type="dxa"/>
            </w:tcMar>
            <w:vAlign w:val="center"/>
            <w:hideMark/>
          </w:tcPr>
          <w:p w14:paraId="651156BE"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Obras</w:t>
            </w:r>
          </w:p>
        </w:tc>
        <w:tc>
          <w:tcPr>
            <w:tcW w:w="1559" w:type="dxa"/>
            <w:tcBorders>
              <w:top w:val="nil"/>
              <w:left w:val="nil"/>
              <w:bottom w:val="nil"/>
              <w:right w:val="single" w:sz="8" w:space="0" w:color="auto"/>
            </w:tcBorders>
            <w:tcMar>
              <w:top w:w="15" w:type="dxa"/>
              <w:left w:w="70" w:type="dxa"/>
              <w:bottom w:w="0" w:type="dxa"/>
              <w:right w:w="70" w:type="dxa"/>
            </w:tcMar>
            <w:vAlign w:val="center"/>
            <w:hideMark/>
          </w:tcPr>
          <w:p w14:paraId="6539A94A"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72,736,290.00</w:t>
            </w:r>
          </w:p>
        </w:tc>
        <w:tc>
          <w:tcPr>
            <w:tcW w:w="1701" w:type="dxa"/>
            <w:tcBorders>
              <w:top w:val="nil"/>
              <w:left w:val="nil"/>
              <w:bottom w:val="nil"/>
              <w:right w:val="single" w:sz="8" w:space="0" w:color="auto"/>
            </w:tcBorders>
            <w:tcMar>
              <w:top w:w="15" w:type="dxa"/>
              <w:left w:w="70" w:type="dxa"/>
              <w:bottom w:w="0" w:type="dxa"/>
              <w:right w:w="70" w:type="dxa"/>
            </w:tcMar>
            <w:vAlign w:val="center"/>
            <w:hideMark/>
          </w:tcPr>
          <w:p w14:paraId="702055CB" w14:textId="20E6602B" w:rsidR="009C54E1" w:rsidRPr="00BC75C1" w:rsidRDefault="009C54E1" w:rsidP="009C54E1">
            <w:pPr>
              <w:jc w:val="center"/>
              <w:rPr>
                <w:rFonts w:eastAsia="Times New Roman"/>
                <w:color w:val="767171"/>
                <w:sz w:val="18"/>
                <w:szCs w:val="18"/>
              </w:rPr>
            </w:pPr>
          </w:p>
        </w:tc>
        <w:tc>
          <w:tcPr>
            <w:tcW w:w="1276" w:type="dxa"/>
            <w:noWrap/>
            <w:tcMar>
              <w:top w:w="15" w:type="dxa"/>
              <w:left w:w="70" w:type="dxa"/>
              <w:bottom w:w="0" w:type="dxa"/>
              <w:right w:w="70" w:type="dxa"/>
            </w:tcMar>
            <w:vAlign w:val="center"/>
            <w:hideMark/>
          </w:tcPr>
          <w:p w14:paraId="23884BC0" w14:textId="77777777" w:rsidR="009C54E1" w:rsidRPr="00BC75C1" w:rsidRDefault="009C54E1" w:rsidP="009C54E1">
            <w:pPr>
              <w:jc w:val="center"/>
              <w:rPr>
                <w:rFonts w:eastAsia="Times New Roman"/>
                <w:color w:val="767171"/>
                <w:sz w:val="18"/>
                <w:szCs w:val="18"/>
              </w:rPr>
            </w:pPr>
            <w:r w:rsidRPr="00BC75C1">
              <w:rPr>
                <w:rFonts w:eastAsia="Times New Roman"/>
                <w:color w:val="767171"/>
                <w:sz w:val="18"/>
                <w:szCs w:val="18"/>
              </w:rPr>
              <w:t>0%</w:t>
            </w:r>
          </w:p>
        </w:tc>
        <w:tc>
          <w:tcPr>
            <w:tcW w:w="1417" w:type="dxa"/>
            <w:tcBorders>
              <w:top w:val="nil"/>
              <w:left w:val="single" w:sz="8" w:space="0" w:color="auto"/>
              <w:bottom w:val="nil"/>
              <w:right w:val="single" w:sz="8" w:space="0" w:color="auto"/>
            </w:tcBorders>
            <w:tcMar>
              <w:top w:w="15" w:type="dxa"/>
              <w:left w:w="70" w:type="dxa"/>
              <w:bottom w:w="0" w:type="dxa"/>
              <w:right w:w="70" w:type="dxa"/>
            </w:tcMar>
            <w:vAlign w:val="center"/>
            <w:hideMark/>
          </w:tcPr>
          <w:p w14:paraId="3ECEDA18" w14:textId="77777777" w:rsidR="009C54E1" w:rsidRPr="00BC75C1" w:rsidRDefault="009C54E1" w:rsidP="009C54E1">
            <w:pPr>
              <w:jc w:val="right"/>
              <w:rPr>
                <w:rFonts w:eastAsia="Times New Roman"/>
                <w:color w:val="767171"/>
                <w:sz w:val="18"/>
                <w:szCs w:val="18"/>
              </w:rPr>
            </w:pPr>
            <w:r w:rsidRPr="00BC75C1">
              <w:rPr>
                <w:rFonts w:eastAsia="Times New Roman"/>
                <w:color w:val="767171"/>
                <w:sz w:val="18"/>
                <w:szCs w:val="18"/>
              </w:rPr>
              <w:t>72,736,290.00</w:t>
            </w:r>
          </w:p>
        </w:tc>
      </w:tr>
      <w:tr w:rsidR="009C54E1" w:rsidRPr="00BC75C1" w14:paraId="28B2EB4C" w14:textId="77777777" w:rsidTr="009C54E1">
        <w:trPr>
          <w:gridAfter w:val="1"/>
          <w:wAfter w:w="1746" w:type="dxa"/>
          <w:trHeight w:val="470"/>
        </w:trPr>
        <w:tc>
          <w:tcPr>
            <w:tcW w:w="2127" w:type="dxa"/>
            <w:gridSpan w:val="2"/>
            <w:vMerge w:val="restart"/>
            <w:tcBorders>
              <w:top w:val="single" w:sz="8" w:space="0" w:color="auto"/>
              <w:left w:val="single" w:sz="8" w:space="0" w:color="auto"/>
              <w:bottom w:val="single" w:sz="8" w:space="0" w:color="000000"/>
              <w:right w:val="single" w:sz="8" w:space="0" w:color="000000"/>
            </w:tcBorders>
            <w:shd w:val="clear" w:color="auto" w:fill="002060"/>
            <w:tcMar>
              <w:top w:w="15" w:type="dxa"/>
              <w:left w:w="70" w:type="dxa"/>
              <w:bottom w:w="0" w:type="dxa"/>
              <w:right w:w="70" w:type="dxa"/>
            </w:tcMar>
            <w:vAlign w:val="center"/>
            <w:hideMark/>
          </w:tcPr>
          <w:p w14:paraId="0DBEFAFF" w14:textId="410405D9" w:rsidR="009C54E1" w:rsidRPr="00BC75C1" w:rsidRDefault="009C54E1" w:rsidP="009C54E1">
            <w:pPr>
              <w:jc w:val="center"/>
              <w:rPr>
                <w:rFonts w:eastAsia="Times New Roman"/>
                <w:color w:val="FFFFFF" w:themeColor="background1"/>
                <w:sz w:val="18"/>
                <w:szCs w:val="18"/>
              </w:rPr>
            </w:pPr>
          </w:p>
        </w:tc>
        <w:tc>
          <w:tcPr>
            <w:tcW w:w="1559" w:type="dxa"/>
            <w:vMerge w:val="restart"/>
            <w:tcBorders>
              <w:top w:val="single" w:sz="8" w:space="0" w:color="auto"/>
              <w:left w:val="single" w:sz="8" w:space="0" w:color="000000"/>
              <w:bottom w:val="single" w:sz="8" w:space="0" w:color="000000"/>
              <w:right w:val="single" w:sz="8" w:space="0" w:color="auto"/>
            </w:tcBorders>
            <w:shd w:val="clear" w:color="auto" w:fill="002060"/>
            <w:tcMar>
              <w:top w:w="15" w:type="dxa"/>
              <w:left w:w="70" w:type="dxa"/>
              <w:bottom w:w="0" w:type="dxa"/>
              <w:right w:w="70" w:type="dxa"/>
            </w:tcMar>
            <w:vAlign w:val="center"/>
            <w:hideMark/>
          </w:tcPr>
          <w:p w14:paraId="72AFC061" w14:textId="77777777" w:rsidR="009C54E1" w:rsidRPr="00BC75C1" w:rsidRDefault="009C54E1" w:rsidP="009C54E1">
            <w:pPr>
              <w:jc w:val="center"/>
              <w:rPr>
                <w:rFonts w:eastAsia="Times New Roman"/>
                <w:color w:val="FFFFFF" w:themeColor="background1"/>
                <w:sz w:val="18"/>
                <w:szCs w:val="18"/>
              </w:rPr>
            </w:pPr>
            <w:r w:rsidRPr="00BC75C1">
              <w:rPr>
                <w:rFonts w:eastAsia="Times New Roman"/>
                <w:color w:val="FFFFFF" w:themeColor="background1"/>
                <w:sz w:val="18"/>
                <w:szCs w:val="18"/>
              </w:rPr>
              <w:t>2,014,621,927.00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002060"/>
            <w:tcMar>
              <w:top w:w="15" w:type="dxa"/>
              <w:left w:w="70" w:type="dxa"/>
              <w:bottom w:w="0" w:type="dxa"/>
              <w:right w:w="70" w:type="dxa"/>
            </w:tcMar>
            <w:vAlign w:val="center"/>
            <w:hideMark/>
          </w:tcPr>
          <w:p w14:paraId="5B744ED6" w14:textId="77777777" w:rsidR="009C54E1" w:rsidRPr="00BC75C1" w:rsidRDefault="009C54E1" w:rsidP="009C54E1">
            <w:pPr>
              <w:jc w:val="center"/>
              <w:rPr>
                <w:rFonts w:eastAsia="Times New Roman"/>
                <w:color w:val="FFFFFF" w:themeColor="background1"/>
                <w:sz w:val="18"/>
                <w:szCs w:val="18"/>
              </w:rPr>
            </w:pPr>
            <w:r w:rsidRPr="00BC75C1">
              <w:rPr>
                <w:rFonts w:eastAsia="Times New Roman"/>
                <w:color w:val="FFFFFF" w:themeColor="background1"/>
                <w:sz w:val="18"/>
                <w:szCs w:val="18"/>
              </w:rPr>
              <w:t>-340,343,436.00</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002060"/>
            <w:tcMar>
              <w:top w:w="15" w:type="dxa"/>
              <w:left w:w="70" w:type="dxa"/>
              <w:bottom w:w="0" w:type="dxa"/>
              <w:right w:w="70" w:type="dxa"/>
            </w:tcMar>
            <w:vAlign w:val="center"/>
            <w:hideMark/>
          </w:tcPr>
          <w:p w14:paraId="18013C7D" w14:textId="77777777" w:rsidR="009C54E1" w:rsidRPr="00BC75C1" w:rsidRDefault="009C54E1" w:rsidP="009C54E1">
            <w:pPr>
              <w:jc w:val="center"/>
              <w:rPr>
                <w:rFonts w:eastAsia="Times New Roman"/>
                <w:color w:val="FFFFFF" w:themeColor="background1"/>
                <w:sz w:val="18"/>
                <w:szCs w:val="18"/>
              </w:rPr>
            </w:pPr>
            <w:r w:rsidRPr="00BC75C1">
              <w:rPr>
                <w:rFonts w:eastAsia="Times New Roman"/>
                <w:color w:val="FFFFFF" w:themeColor="background1"/>
                <w:sz w:val="18"/>
                <w:szCs w:val="18"/>
              </w:rPr>
              <w:t>-16.89</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002060"/>
            <w:tcMar>
              <w:top w:w="15" w:type="dxa"/>
              <w:left w:w="70" w:type="dxa"/>
              <w:bottom w:w="0" w:type="dxa"/>
              <w:right w:w="70" w:type="dxa"/>
            </w:tcMar>
            <w:vAlign w:val="center"/>
            <w:hideMark/>
          </w:tcPr>
          <w:p w14:paraId="027A4B99" w14:textId="77777777" w:rsidR="009C54E1" w:rsidRPr="00BC75C1" w:rsidRDefault="009C54E1" w:rsidP="009C54E1">
            <w:pPr>
              <w:jc w:val="center"/>
              <w:rPr>
                <w:rFonts w:eastAsia="Times New Roman"/>
                <w:color w:val="FFFFFF" w:themeColor="background1"/>
                <w:sz w:val="18"/>
                <w:szCs w:val="18"/>
              </w:rPr>
            </w:pPr>
            <w:r w:rsidRPr="00BC75C1">
              <w:rPr>
                <w:rFonts w:eastAsia="Times New Roman"/>
                <w:color w:val="FFFFFF" w:themeColor="background1"/>
                <w:sz w:val="18"/>
                <w:szCs w:val="18"/>
              </w:rPr>
              <w:t>340,343,436.00</w:t>
            </w:r>
          </w:p>
        </w:tc>
      </w:tr>
      <w:tr w:rsidR="009C54E1" w:rsidRPr="00BC75C1" w14:paraId="30A0BD52" w14:textId="77777777" w:rsidTr="00895E91">
        <w:trPr>
          <w:trHeight w:val="300"/>
        </w:trPr>
        <w:tc>
          <w:tcPr>
            <w:tcW w:w="2127" w:type="dxa"/>
            <w:gridSpan w:val="2"/>
            <w:vMerge/>
            <w:tcBorders>
              <w:top w:val="single" w:sz="8" w:space="0" w:color="auto"/>
              <w:left w:val="single" w:sz="8" w:space="0" w:color="auto"/>
              <w:bottom w:val="single" w:sz="8" w:space="0" w:color="000000"/>
              <w:right w:val="single" w:sz="8" w:space="0" w:color="000000"/>
            </w:tcBorders>
            <w:shd w:val="clear" w:color="auto" w:fill="002060"/>
            <w:vAlign w:val="center"/>
            <w:hideMark/>
          </w:tcPr>
          <w:p w14:paraId="72F99DB9" w14:textId="77777777" w:rsidR="009C54E1" w:rsidRPr="00BC75C1" w:rsidRDefault="009C54E1" w:rsidP="009C54E1">
            <w:pPr>
              <w:rPr>
                <w:rFonts w:eastAsia="Times New Roman"/>
                <w:color w:val="767171"/>
                <w:sz w:val="18"/>
                <w:szCs w:val="18"/>
                <w:highlight w:val="yellow"/>
              </w:rPr>
            </w:pPr>
          </w:p>
        </w:tc>
        <w:tc>
          <w:tcPr>
            <w:tcW w:w="1559" w:type="dxa"/>
            <w:vMerge/>
            <w:tcBorders>
              <w:top w:val="single" w:sz="8" w:space="0" w:color="auto"/>
              <w:left w:val="single" w:sz="8" w:space="0" w:color="000000"/>
              <w:bottom w:val="single" w:sz="8" w:space="0" w:color="000000"/>
              <w:right w:val="single" w:sz="8" w:space="0" w:color="auto"/>
            </w:tcBorders>
            <w:shd w:val="clear" w:color="auto" w:fill="002060"/>
            <w:vAlign w:val="center"/>
            <w:hideMark/>
          </w:tcPr>
          <w:p w14:paraId="6D24AE40" w14:textId="77777777" w:rsidR="009C54E1" w:rsidRPr="00BC75C1" w:rsidRDefault="009C54E1" w:rsidP="009C54E1">
            <w:pPr>
              <w:rPr>
                <w:rFonts w:eastAsia="Times New Roman"/>
                <w:color w:val="767171"/>
                <w:sz w:val="18"/>
                <w:szCs w:val="18"/>
                <w:highlight w:val="yellow"/>
              </w:rPr>
            </w:pPr>
          </w:p>
        </w:tc>
        <w:tc>
          <w:tcPr>
            <w:tcW w:w="1701" w:type="dxa"/>
            <w:vMerge/>
            <w:tcBorders>
              <w:top w:val="single" w:sz="8" w:space="0" w:color="auto"/>
              <w:left w:val="single" w:sz="8" w:space="0" w:color="auto"/>
              <w:bottom w:val="single" w:sz="8" w:space="0" w:color="000000"/>
              <w:right w:val="single" w:sz="8" w:space="0" w:color="auto"/>
            </w:tcBorders>
            <w:shd w:val="clear" w:color="auto" w:fill="002060"/>
            <w:vAlign w:val="center"/>
            <w:hideMark/>
          </w:tcPr>
          <w:p w14:paraId="333DCAC2" w14:textId="77777777" w:rsidR="009C54E1" w:rsidRPr="00BC75C1" w:rsidRDefault="009C54E1" w:rsidP="009C54E1">
            <w:pPr>
              <w:rPr>
                <w:rFonts w:eastAsia="Times New Roman"/>
                <w:color w:val="767171"/>
                <w:sz w:val="18"/>
                <w:szCs w:val="18"/>
                <w:highlight w:val="yellow"/>
              </w:rPr>
            </w:pPr>
          </w:p>
        </w:tc>
        <w:tc>
          <w:tcPr>
            <w:tcW w:w="1276" w:type="dxa"/>
            <w:vMerge/>
            <w:tcBorders>
              <w:top w:val="single" w:sz="8" w:space="0" w:color="auto"/>
              <w:left w:val="single" w:sz="8" w:space="0" w:color="auto"/>
              <w:bottom w:val="single" w:sz="8" w:space="0" w:color="000000"/>
              <w:right w:val="single" w:sz="8" w:space="0" w:color="auto"/>
            </w:tcBorders>
            <w:shd w:val="clear" w:color="auto" w:fill="002060"/>
            <w:vAlign w:val="center"/>
            <w:hideMark/>
          </w:tcPr>
          <w:p w14:paraId="6498318B" w14:textId="77777777" w:rsidR="009C54E1" w:rsidRPr="00BC75C1" w:rsidRDefault="009C54E1" w:rsidP="009C54E1">
            <w:pPr>
              <w:rPr>
                <w:rFonts w:eastAsia="Times New Roman"/>
                <w:color w:val="767171"/>
                <w:sz w:val="18"/>
                <w:szCs w:val="18"/>
                <w:highlight w:val="yellow"/>
              </w:rPr>
            </w:pPr>
          </w:p>
        </w:tc>
        <w:tc>
          <w:tcPr>
            <w:tcW w:w="1417" w:type="dxa"/>
            <w:vMerge/>
            <w:tcBorders>
              <w:top w:val="single" w:sz="8" w:space="0" w:color="auto"/>
              <w:left w:val="single" w:sz="8" w:space="0" w:color="auto"/>
              <w:bottom w:val="single" w:sz="8" w:space="0" w:color="000000"/>
              <w:right w:val="single" w:sz="8" w:space="0" w:color="auto"/>
            </w:tcBorders>
            <w:shd w:val="clear" w:color="auto" w:fill="002060"/>
            <w:vAlign w:val="center"/>
            <w:hideMark/>
          </w:tcPr>
          <w:p w14:paraId="3DB17CC2" w14:textId="77777777" w:rsidR="009C54E1" w:rsidRPr="00BC75C1" w:rsidRDefault="009C54E1" w:rsidP="009C54E1">
            <w:pPr>
              <w:rPr>
                <w:rFonts w:eastAsia="Times New Roman"/>
                <w:color w:val="767171"/>
                <w:sz w:val="18"/>
                <w:szCs w:val="18"/>
                <w:highlight w:val="yellow"/>
              </w:rPr>
            </w:pPr>
          </w:p>
        </w:tc>
        <w:tc>
          <w:tcPr>
            <w:tcW w:w="1746" w:type="dxa"/>
            <w:noWrap/>
            <w:tcMar>
              <w:top w:w="15" w:type="dxa"/>
              <w:left w:w="70" w:type="dxa"/>
              <w:bottom w:w="0" w:type="dxa"/>
              <w:right w:w="70" w:type="dxa"/>
            </w:tcMar>
            <w:vAlign w:val="bottom"/>
            <w:hideMark/>
          </w:tcPr>
          <w:p w14:paraId="5D0C0175" w14:textId="77777777" w:rsidR="009C54E1" w:rsidRPr="00BC75C1" w:rsidRDefault="009C54E1" w:rsidP="009C54E1">
            <w:pPr>
              <w:rPr>
                <w:rFonts w:eastAsia="Times New Roman"/>
                <w:color w:val="767171"/>
                <w:sz w:val="18"/>
                <w:szCs w:val="18"/>
                <w:highlight w:val="yellow"/>
                <w:lang w:val="es-ES"/>
              </w:rPr>
            </w:pPr>
          </w:p>
        </w:tc>
      </w:tr>
    </w:tbl>
    <w:p w14:paraId="5B7CDE64" w14:textId="2676C7CB" w:rsidR="00A32E7E" w:rsidRDefault="001D2D20" w:rsidP="00597244">
      <w:pPr>
        <w:rPr>
          <w:rFonts w:eastAsia="Times New Roman"/>
          <w:color w:val="767171"/>
          <w:sz w:val="18"/>
          <w:szCs w:val="18"/>
        </w:rPr>
      </w:pPr>
      <w:r w:rsidRPr="009C54E1">
        <w:rPr>
          <w:rFonts w:eastAsia="Times New Roman"/>
          <w:color w:val="767171"/>
          <w:sz w:val="18"/>
          <w:szCs w:val="18"/>
        </w:rPr>
        <w:t xml:space="preserve">Fuente: </w:t>
      </w:r>
      <w:r w:rsidR="005F592E" w:rsidRPr="009C54E1">
        <w:rPr>
          <w:rFonts w:eastAsia="Times New Roman"/>
          <w:color w:val="767171"/>
          <w:sz w:val="18"/>
          <w:szCs w:val="18"/>
        </w:rPr>
        <w:t xml:space="preserve">Dirección </w:t>
      </w:r>
      <w:proofErr w:type="spellStart"/>
      <w:r w:rsidR="005F592E" w:rsidRPr="009C54E1">
        <w:rPr>
          <w:rFonts w:eastAsia="Times New Roman"/>
          <w:color w:val="767171"/>
          <w:sz w:val="18"/>
          <w:szCs w:val="18"/>
        </w:rPr>
        <w:t>DAF</w:t>
      </w:r>
      <w:proofErr w:type="spellEnd"/>
      <w:r w:rsidR="005F592E" w:rsidRPr="009C54E1">
        <w:rPr>
          <w:rFonts w:eastAsia="Times New Roman"/>
          <w:color w:val="767171"/>
          <w:sz w:val="18"/>
          <w:szCs w:val="18"/>
        </w:rPr>
        <w:t xml:space="preserve"> SIE</w:t>
      </w:r>
    </w:p>
    <w:p w14:paraId="40984C84" w14:textId="77777777" w:rsidR="000B2757" w:rsidRDefault="000B2757" w:rsidP="00597244">
      <w:pPr>
        <w:rPr>
          <w:rFonts w:eastAsia="Times New Roman"/>
          <w:color w:val="767171"/>
          <w:sz w:val="18"/>
          <w:szCs w:val="18"/>
        </w:rPr>
      </w:pPr>
    </w:p>
    <w:p w14:paraId="2B8F8FEB" w14:textId="327DB7BC" w:rsidR="000B2757" w:rsidRDefault="000B2757">
      <w:pPr>
        <w:spacing w:line="259" w:lineRule="auto"/>
        <w:jc w:val="left"/>
        <w:rPr>
          <w:rFonts w:eastAsia="Times New Roman"/>
          <w:color w:val="767171"/>
          <w:sz w:val="18"/>
          <w:szCs w:val="18"/>
          <w:highlight w:val="yellow"/>
        </w:rPr>
      </w:pPr>
      <w:r>
        <w:rPr>
          <w:rFonts w:eastAsia="Times New Roman"/>
          <w:color w:val="767171"/>
          <w:sz w:val="18"/>
          <w:szCs w:val="18"/>
          <w:highlight w:val="yellow"/>
        </w:rPr>
        <w:br w:type="page"/>
      </w:r>
    </w:p>
    <w:p w14:paraId="0D4FE3A2" w14:textId="77777777" w:rsidR="00A225D3" w:rsidRPr="00C448FD" w:rsidRDefault="009D3B35" w:rsidP="006B3671">
      <w:pPr>
        <w:pStyle w:val="Ttulo2"/>
      </w:pPr>
      <w:bookmarkStart w:id="31" w:name="_Hlk185497449"/>
      <w:bookmarkStart w:id="32" w:name="_Toc186147721"/>
      <w:r w:rsidRPr="00C448FD">
        <w:lastRenderedPageBreak/>
        <w:t>Desempeño de los Recursos Humanos</w:t>
      </w:r>
      <w:bookmarkEnd w:id="32"/>
    </w:p>
    <w:p w14:paraId="445B4429" w14:textId="4399C592" w:rsidR="00553D0D" w:rsidRPr="006D0445" w:rsidRDefault="00553D0D" w:rsidP="001A00FC">
      <w:pPr>
        <w:pBdr>
          <w:top w:val="nil"/>
          <w:left w:val="nil"/>
          <w:bottom w:val="nil"/>
          <w:right w:val="nil"/>
          <w:between w:val="nil"/>
        </w:pBdr>
        <w:rPr>
          <w:color w:val="767171"/>
        </w:rPr>
      </w:pPr>
      <w:r w:rsidRPr="006D0445">
        <w:rPr>
          <w:color w:val="767171"/>
        </w:rPr>
        <w:t xml:space="preserve">Para el año </w:t>
      </w:r>
      <w:r w:rsidR="00F2650B" w:rsidRPr="006D0445">
        <w:rPr>
          <w:color w:val="767171"/>
        </w:rPr>
        <w:t>2024</w:t>
      </w:r>
      <w:r w:rsidRPr="006D0445">
        <w:rPr>
          <w:color w:val="767171"/>
        </w:rPr>
        <w:t xml:space="preserve"> </w:t>
      </w:r>
      <w:r w:rsidR="00D4575C" w:rsidRPr="006D0445">
        <w:rPr>
          <w:color w:val="767171"/>
        </w:rPr>
        <w:t xml:space="preserve">al mes de noviembre la Superintendencia de Electricidad cuenta con </w:t>
      </w:r>
      <w:r w:rsidR="00902F53" w:rsidRPr="00897EA5">
        <w:rPr>
          <w:color w:val="767171"/>
        </w:rPr>
        <w:t>seiscientos catorce (614)</w:t>
      </w:r>
      <w:r w:rsidR="00D4575C" w:rsidRPr="006D0445">
        <w:rPr>
          <w:color w:val="767171"/>
        </w:rPr>
        <w:t xml:space="preserve"> colaboradores, de los cuales doscientos noventa y nueve (299) son mujeres y </w:t>
      </w:r>
      <w:r w:rsidR="00902F53" w:rsidRPr="00897EA5">
        <w:rPr>
          <w:color w:val="767171"/>
        </w:rPr>
        <w:t>trescientos cinco (305)</w:t>
      </w:r>
      <w:r w:rsidR="00D4575C" w:rsidRPr="006D0445">
        <w:rPr>
          <w:color w:val="767171"/>
        </w:rPr>
        <w:t xml:space="preserve"> son hombres, representado el </w:t>
      </w:r>
      <w:r w:rsidR="00902F53" w:rsidRPr="00897EA5">
        <w:rPr>
          <w:color w:val="767171"/>
        </w:rPr>
        <w:t>49.67% el primero y el segundo el 50.33%</w:t>
      </w:r>
      <w:r w:rsidR="00D4575C" w:rsidRPr="006D0445">
        <w:rPr>
          <w:color w:val="767171"/>
        </w:rPr>
        <w:t>. Detalles en la siguiente tabla.</w:t>
      </w:r>
    </w:p>
    <w:p w14:paraId="5898CA7B" w14:textId="252B6F31"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7</w:t>
      </w:r>
      <w:r w:rsidRPr="006D0445">
        <w:rPr>
          <w:color w:val="767171"/>
        </w:rPr>
        <w:fldChar w:fldCharType="end"/>
      </w:r>
      <w:r w:rsidRPr="006D0445">
        <w:rPr>
          <w:color w:val="767171"/>
        </w:rPr>
        <w:t>Cantidad de colaboradores por sexo y grupo ocupacional.</w:t>
      </w:r>
    </w:p>
    <w:tbl>
      <w:tblPr>
        <w:tblW w:w="8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1177"/>
        <w:gridCol w:w="1264"/>
        <w:gridCol w:w="919"/>
      </w:tblGrid>
      <w:tr w:rsidR="006D0445" w:rsidRPr="006D0445" w14:paraId="37C479A0" w14:textId="77777777" w:rsidTr="001A00FC">
        <w:trPr>
          <w:trHeight w:val="364"/>
          <w:tblHeader/>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011C50"/>
            <w:noWrap/>
            <w:vAlign w:val="center"/>
            <w:hideMark/>
          </w:tcPr>
          <w:p w14:paraId="7C52BD38"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GRUPO OCUPACIONAL</w:t>
            </w:r>
          </w:p>
        </w:tc>
        <w:tc>
          <w:tcPr>
            <w:tcW w:w="1177" w:type="dxa"/>
            <w:tcBorders>
              <w:top w:val="single" w:sz="4" w:space="0" w:color="000000"/>
              <w:left w:val="single" w:sz="4" w:space="0" w:color="000000"/>
              <w:bottom w:val="single" w:sz="4" w:space="0" w:color="000000"/>
              <w:right w:val="single" w:sz="4" w:space="0" w:color="000000"/>
            </w:tcBorders>
            <w:shd w:val="clear" w:color="auto" w:fill="011C50"/>
            <w:noWrap/>
            <w:vAlign w:val="center"/>
            <w:hideMark/>
          </w:tcPr>
          <w:p w14:paraId="0D3215DE"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MUJERES</w:t>
            </w:r>
          </w:p>
        </w:tc>
        <w:tc>
          <w:tcPr>
            <w:tcW w:w="1264"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557D9753"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HOMBRES</w:t>
            </w:r>
          </w:p>
        </w:tc>
        <w:tc>
          <w:tcPr>
            <w:tcW w:w="919" w:type="dxa"/>
            <w:tcBorders>
              <w:top w:val="single" w:sz="4" w:space="0" w:color="000000"/>
              <w:left w:val="single" w:sz="4" w:space="0" w:color="000000"/>
              <w:bottom w:val="single" w:sz="4" w:space="0" w:color="000000"/>
              <w:right w:val="single" w:sz="4" w:space="0" w:color="000000"/>
            </w:tcBorders>
            <w:shd w:val="clear" w:color="auto" w:fill="011C50"/>
            <w:noWrap/>
            <w:vAlign w:val="center"/>
            <w:hideMark/>
          </w:tcPr>
          <w:p w14:paraId="4E233566"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TOTAL</w:t>
            </w:r>
          </w:p>
        </w:tc>
      </w:tr>
      <w:tr w:rsidR="00902F53" w:rsidRPr="006D0445" w14:paraId="460666E0" w14:textId="77777777" w:rsidTr="001A00FC">
        <w:trPr>
          <w:trHeight w:val="566"/>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7AB45D" w14:textId="77777777" w:rsidR="00902F53" w:rsidRPr="006D0445" w:rsidRDefault="00902F53" w:rsidP="00902F53">
            <w:pPr>
              <w:spacing w:after="0" w:line="240" w:lineRule="auto"/>
              <w:jc w:val="left"/>
              <w:rPr>
                <w:color w:val="767171"/>
              </w:rPr>
            </w:pPr>
            <w:r w:rsidRPr="006D0445">
              <w:rPr>
                <w:color w:val="767171"/>
              </w:rPr>
              <w:t xml:space="preserve">Grupo Ocupacional I </w:t>
            </w:r>
            <w:r w:rsidRPr="006D0445">
              <w:rPr>
                <w:color w:val="767171"/>
              </w:rPr>
              <w:br/>
              <w:t>(Servicios Generales)</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600F8" w14:textId="174D4646" w:rsidR="00902F53" w:rsidRPr="006D0445" w:rsidRDefault="00902F53" w:rsidP="00902F53">
            <w:pPr>
              <w:spacing w:after="0" w:line="240" w:lineRule="auto"/>
              <w:jc w:val="center"/>
              <w:rPr>
                <w:color w:val="767171"/>
              </w:rPr>
            </w:pPr>
            <w:r w:rsidRPr="000A5BE4">
              <w:t>47</w:t>
            </w:r>
          </w:p>
        </w:tc>
        <w:tc>
          <w:tcPr>
            <w:tcW w:w="1264" w:type="dxa"/>
            <w:tcBorders>
              <w:top w:val="single" w:sz="4" w:space="0" w:color="000000"/>
              <w:left w:val="single" w:sz="4" w:space="0" w:color="000000"/>
              <w:bottom w:val="single" w:sz="4" w:space="0" w:color="000000"/>
              <w:right w:val="single" w:sz="4" w:space="0" w:color="000000"/>
            </w:tcBorders>
            <w:vAlign w:val="center"/>
          </w:tcPr>
          <w:p w14:paraId="293FF1E0" w14:textId="7871A0CB" w:rsidR="00902F53" w:rsidRPr="006D0445" w:rsidRDefault="00902F53" w:rsidP="00902F53">
            <w:pPr>
              <w:spacing w:after="0" w:line="240" w:lineRule="auto"/>
              <w:jc w:val="center"/>
              <w:rPr>
                <w:color w:val="767171"/>
              </w:rPr>
            </w:pPr>
            <w:r w:rsidRPr="000A5BE4">
              <w:t>24</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EF8AB" w14:textId="3CE860CA" w:rsidR="00902F53" w:rsidRPr="006D0445" w:rsidRDefault="00902F53" w:rsidP="00902F53">
            <w:pPr>
              <w:spacing w:after="0" w:line="240" w:lineRule="auto"/>
              <w:jc w:val="center"/>
              <w:rPr>
                <w:color w:val="767171"/>
              </w:rPr>
            </w:pPr>
            <w:r w:rsidRPr="000A5BE4">
              <w:t>71</w:t>
            </w:r>
          </w:p>
        </w:tc>
      </w:tr>
      <w:tr w:rsidR="00902F53" w:rsidRPr="006D0445" w14:paraId="6EB24A52" w14:textId="77777777" w:rsidTr="001A00FC">
        <w:trPr>
          <w:trHeight w:val="688"/>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A58666" w14:textId="77777777" w:rsidR="00902F53" w:rsidRPr="006D0445" w:rsidRDefault="00902F53" w:rsidP="00902F53">
            <w:pPr>
              <w:spacing w:after="0" w:line="240" w:lineRule="auto"/>
              <w:jc w:val="left"/>
              <w:rPr>
                <w:color w:val="767171"/>
              </w:rPr>
            </w:pPr>
            <w:r w:rsidRPr="006D0445">
              <w:rPr>
                <w:color w:val="767171"/>
              </w:rPr>
              <w:t>Grupo Ocupacional II</w:t>
            </w:r>
            <w:r w:rsidRPr="006D0445">
              <w:rPr>
                <w:color w:val="767171"/>
              </w:rPr>
              <w:br/>
              <w:t>(Supervisión y Apoyo)</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1EDE4" w14:textId="5F03BE07" w:rsidR="00902F53" w:rsidRPr="006D0445" w:rsidRDefault="00902F53" w:rsidP="00902F53">
            <w:pPr>
              <w:spacing w:after="0" w:line="240" w:lineRule="auto"/>
              <w:jc w:val="center"/>
              <w:rPr>
                <w:color w:val="767171"/>
              </w:rPr>
            </w:pPr>
            <w:r w:rsidRPr="000A5BE4">
              <w:t>109</w:t>
            </w:r>
          </w:p>
        </w:tc>
        <w:tc>
          <w:tcPr>
            <w:tcW w:w="1264" w:type="dxa"/>
            <w:tcBorders>
              <w:top w:val="single" w:sz="4" w:space="0" w:color="000000"/>
              <w:left w:val="single" w:sz="4" w:space="0" w:color="000000"/>
              <w:bottom w:val="single" w:sz="4" w:space="0" w:color="000000"/>
              <w:right w:val="single" w:sz="4" w:space="0" w:color="000000"/>
            </w:tcBorders>
            <w:vAlign w:val="center"/>
          </w:tcPr>
          <w:p w14:paraId="43B020F7" w14:textId="21147FA9" w:rsidR="00902F53" w:rsidRPr="006D0445" w:rsidRDefault="00902F53" w:rsidP="00902F53">
            <w:pPr>
              <w:spacing w:after="0" w:line="240" w:lineRule="auto"/>
              <w:jc w:val="center"/>
              <w:rPr>
                <w:color w:val="767171"/>
              </w:rPr>
            </w:pPr>
            <w:r w:rsidRPr="000A5BE4">
              <w:t>53</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D751A" w14:textId="7AF927F2" w:rsidR="00902F53" w:rsidRPr="006D0445" w:rsidRDefault="00902F53" w:rsidP="00902F53">
            <w:pPr>
              <w:spacing w:after="0" w:line="240" w:lineRule="auto"/>
              <w:jc w:val="center"/>
              <w:rPr>
                <w:color w:val="767171"/>
              </w:rPr>
            </w:pPr>
            <w:r w:rsidRPr="000A5BE4">
              <w:t>162</w:t>
            </w:r>
          </w:p>
        </w:tc>
      </w:tr>
      <w:tr w:rsidR="00902F53" w:rsidRPr="006D0445" w14:paraId="5FC1D9CA" w14:textId="77777777" w:rsidTr="001A00FC">
        <w:trPr>
          <w:trHeight w:val="557"/>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DA30DD" w14:textId="67773751" w:rsidR="00902F53" w:rsidRPr="006D0445" w:rsidRDefault="00902F53" w:rsidP="00902F53">
            <w:pPr>
              <w:spacing w:after="0" w:line="240" w:lineRule="auto"/>
              <w:jc w:val="left"/>
              <w:rPr>
                <w:color w:val="767171"/>
              </w:rPr>
            </w:pPr>
            <w:r w:rsidRPr="006D0445">
              <w:rPr>
                <w:color w:val="767171"/>
              </w:rPr>
              <w:t>Grupo Ocupacional III</w:t>
            </w:r>
            <w:r w:rsidRPr="006D0445">
              <w:rPr>
                <w:color w:val="767171"/>
              </w:rPr>
              <w:br/>
              <w:t>(Técnicos)</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5889" w14:textId="623D9D4E" w:rsidR="00902F53" w:rsidRPr="006D0445" w:rsidRDefault="00902F53" w:rsidP="00902F53">
            <w:pPr>
              <w:spacing w:after="0" w:line="240" w:lineRule="auto"/>
              <w:jc w:val="center"/>
              <w:rPr>
                <w:color w:val="767171"/>
              </w:rPr>
            </w:pPr>
            <w:r w:rsidRPr="000A5BE4">
              <w:t>19</w:t>
            </w:r>
          </w:p>
        </w:tc>
        <w:tc>
          <w:tcPr>
            <w:tcW w:w="1264" w:type="dxa"/>
            <w:tcBorders>
              <w:top w:val="single" w:sz="4" w:space="0" w:color="000000"/>
              <w:left w:val="single" w:sz="4" w:space="0" w:color="000000"/>
              <w:bottom w:val="single" w:sz="4" w:space="0" w:color="000000"/>
              <w:right w:val="single" w:sz="4" w:space="0" w:color="000000"/>
            </w:tcBorders>
            <w:vAlign w:val="center"/>
          </w:tcPr>
          <w:p w14:paraId="63FE8032" w14:textId="5BDC7ED6" w:rsidR="00902F53" w:rsidRPr="006D0445" w:rsidRDefault="00902F53" w:rsidP="00902F53">
            <w:pPr>
              <w:spacing w:after="0" w:line="240" w:lineRule="auto"/>
              <w:jc w:val="center"/>
              <w:rPr>
                <w:color w:val="767171"/>
              </w:rPr>
            </w:pPr>
            <w:r w:rsidRPr="000A5BE4">
              <w:t>93</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8E4E4" w14:textId="0FEBB945" w:rsidR="00902F53" w:rsidRPr="006D0445" w:rsidRDefault="00902F53" w:rsidP="00902F53">
            <w:pPr>
              <w:spacing w:after="0" w:line="240" w:lineRule="auto"/>
              <w:jc w:val="center"/>
              <w:rPr>
                <w:color w:val="767171"/>
              </w:rPr>
            </w:pPr>
            <w:r w:rsidRPr="000A5BE4">
              <w:t>112</w:t>
            </w:r>
          </w:p>
        </w:tc>
      </w:tr>
      <w:tr w:rsidR="00902F53" w:rsidRPr="006D0445" w14:paraId="4C270B0F" w14:textId="77777777" w:rsidTr="001A00FC">
        <w:trPr>
          <w:trHeight w:val="565"/>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CD07DB" w14:textId="7F45F99A" w:rsidR="00902F53" w:rsidRPr="006D0445" w:rsidRDefault="00902F53" w:rsidP="00902F53">
            <w:pPr>
              <w:spacing w:after="0" w:line="240" w:lineRule="auto"/>
              <w:jc w:val="left"/>
              <w:rPr>
                <w:color w:val="767171"/>
              </w:rPr>
            </w:pPr>
            <w:r w:rsidRPr="006D0445">
              <w:rPr>
                <w:color w:val="767171"/>
              </w:rPr>
              <w:t>Grupo Ocupacional IV</w:t>
            </w:r>
            <w:r w:rsidRPr="006D0445">
              <w:rPr>
                <w:color w:val="767171"/>
              </w:rPr>
              <w:br/>
              <w:t>(Profesionales)</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31E80" w14:textId="6EB6715F" w:rsidR="00902F53" w:rsidRPr="006D0445" w:rsidRDefault="00902F53" w:rsidP="00902F53">
            <w:pPr>
              <w:spacing w:after="0" w:line="240" w:lineRule="auto"/>
              <w:jc w:val="center"/>
              <w:rPr>
                <w:color w:val="767171"/>
              </w:rPr>
            </w:pPr>
            <w:r w:rsidRPr="000A5BE4">
              <w:t>75</w:t>
            </w:r>
          </w:p>
        </w:tc>
        <w:tc>
          <w:tcPr>
            <w:tcW w:w="1264" w:type="dxa"/>
            <w:tcBorders>
              <w:top w:val="single" w:sz="4" w:space="0" w:color="000000"/>
              <w:left w:val="single" w:sz="4" w:space="0" w:color="000000"/>
              <w:bottom w:val="single" w:sz="4" w:space="0" w:color="000000"/>
              <w:right w:val="single" w:sz="4" w:space="0" w:color="000000"/>
            </w:tcBorders>
            <w:vAlign w:val="center"/>
          </w:tcPr>
          <w:p w14:paraId="70A5C1FB" w14:textId="6828B6B2" w:rsidR="00902F53" w:rsidRPr="006D0445" w:rsidRDefault="00902F53" w:rsidP="00902F53">
            <w:pPr>
              <w:spacing w:after="0" w:line="240" w:lineRule="auto"/>
              <w:jc w:val="center"/>
              <w:rPr>
                <w:color w:val="767171"/>
              </w:rPr>
            </w:pPr>
            <w:r w:rsidRPr="000A5BE4">
              <w:t>63</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F9DD7" w14:textId="7C045D5C" w:rsidR="00902F53" w:rsidRPr="006D0445" w:rsidRDefault="00902F53" w:rsidP="00902F53">
            <w:pPr>
              <w:spacing w:after="0" w:line="240" w:lineRule="auto"/>
              <w:jc w:val="center"/>
              <w:rPr>
                <w:color w:val="767171"/>
              </w:rPr>
            </w:pPr>
            <w:r w:rsidRPr="000A5BE4">
              <w:t>138</w:t>
            </w:r>
          </w:p>
        </w:tc>
      </w:tr>
      <w:tr w:rsidR="00902F53" w:rsidRPr="006D0445" w14:paraId="63264DE1" w14:textId="77777777" w:rsidTr="001A00FC">
        <w:trPr>
          <w:trHeight w:val="545"/>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E02302" w14:textId="3A85913E" w:rsidR="00902F53" w:rsidRPr="006D0445" w:rsidRDefault="00902F53" w:rsidP="00902F53">
            <w:pPr>
              <w:spacing w:after="0" w:line="240" w:lineRule="auto"/>
              <w:jc w:val="left"/>
              <w:rPr>
                <w:color w:val="767171"/>
              </w:rPr>
            </w:pPr>
            <w:r w:rsidRPr="006D0445">
              <w:rPr>
                <w:color w:val="767171"/>
              </w:rPr>
              <w:t>Grupo Ocupacional V</w:t>
            </w:r>
            <w:r w:rsidRPr="006D0445">
              <w:rPr>
                <w:color w:val="767171"/>
              </w:rPr>
              <w:br/>
              <w:t>(Dirección y Supervisión)</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BAE11" w14:textId="69D449F9" w:rsidR="00902F53" w:rsidRPr="006D0445" w:rsidRDefault="00902F53" w:rsidP="00902F53">
            <w:pPr>
              <w:spacing w:after="0" w:line="240" w:lineRule="auto"/>
              <w:jc w:val="center"/>
              <w:rPr>
                <w:color w:val="767171"/>
              </w:rPr>
            </w:pPr>
            <w:r w:rsidRPr="000A5BE4">
              <w:t>49</w:t>
            </w:r>
          </w:p>
        </w:tc>
        <w:tc>
          <w:tcPr>
            <w:tcW w:w="1264" w:type="dxa"/>
            <w:tcBorders>
              <w:top w:val="single" w:sz="4" w:space="0" w:color="000000"/>
              <w:left w:val="single" w:sz="4" w:space="0" w:color="000000"/>
              <w:bottom w:val="single" w:sz="4" w:space="0" w:color="000000"/>
              <w:right w:val="single" w:sz="4" w:space="0" w:color="000000"/>
            </w:tcBorders>
            <w:vAlign w:val="center"/>
          </w:tcPr>
          <w:p w14:paraId="32416757" w14:textId="38C65545" w:rsidR="00902F53" w:rsidRPr="006D0445" w:rsidRDefault="00902F53" w:rsidP="00902F53">
            <w:pPr>
              <w:spacing w:after="0" w:line="240" w:lineRule="auto"/>
              <w:jc w:val="center"/>
              <w:rPr>
                <w:color w:val="767171"/>
              </w:rPr>
            </w:pPr>
            <w:r w:rsidRPr="000A5BE4">
              <w:t>70</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6520C" w14:textId="505815E4" w:rsidR="00902F53" w:rsidRPr="006D0445" w:rsidRDefault="00902F53" w:rsidP="00902F53">
            <w:pPr>
              <w:spacing w:after="0" w:line="240" w:lineRule="auto"/>
              <w:jc w:val="center"/>
              <w:rPr>
                <w:color w:val="767171"/>
              </w:rPr>
            </w:pPr>
            <w:r w:rsidRPr="000A5BE4">
              <w:t>119</w:t>
            </w:r>
          </w:p>
        </w:tc>
      </w:tr>
      <w:tr w:rsidR="00902F53" w:rsidRPr="006D0445" w14:paraId="111354D0" w14:textId="77777777" w:rsidTr="001A00FC">
        <w:trPr>
          <w:trHeight w:val="411"/>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6A16E" w14:textId="77777777" w:rsidR="00902F53" w:rsidRPr="006D0445" w:rsidRDefault="00902F53" w:rsidP="00902F53">
            <w:pPr>
              <w:spacing w:after="0" w:line="240" w:lineRule="auto"/>
              <w:jc w:val="left"/>
              <w:rPr>
                <w:color w:val="767171"/>
              </w:rPr>
            </w:pPr>
            <w:r w:rsidRPr="006D0445">
              <w:rPr>
                <w:color w:val="767171"/>
              </w:rPr>
              <w:t>Cargos de Confianza</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BD9FD" w14:textId="3E48799C" w:rsidR="00902F53" w:rsidRPr="006D0445" w:rsidRDefault="00902F53" w:rsidP="00902F53">
            <w:pPr>
              <w:spacing w:after="0" w:line="240" w:lineRule="auto"/>
              <w:jc w:val="center"/>
              <w:rPr>
                <w:color w:val="767171"/>
              </w:rPr>
            </w:pPr>
            <w:r w:rsidRPr="000A5BE4">
              <w:t>6</w:t>
            </w:r>
          </w:p>
        </w:tc>
        <w:tc>
          <w:tcPr>
            <w:tcW w:w="1264" w:type="dxa"/>
            <w:tcBorders>
              <w:top w:val="single" w:sz="4" w:space="0" w:color="000000"/>
              <w:left w:val="single" w:sz="4" w:space="0" w:color="000000"/>
              <w:bottom w:val="single" w:sz="4" w:space="0" w:color="000000"/>
              <w:right w:val="single" w:sz="4" w:space="0" w:color="000000"/>
            </w:tcBorders>
            <w:vAlign w:val="center"/>
          </w:tcPr>
          <w:p w14:paraId="4516C7BB" w14:textId="09354E57" w:rsidR="00902F53" w:rsidRPr="006D0445" w:rsidRDefault="00902F53" w:rsidP="00902F53">
            <w:pPr>
              <w:spacing w:after="0" w:line="240" w:lineRule="auto"/>
              <w:jc w:val="center"/>
              <w:rPr>
                <w:color w:val="767171"/>
              </w:rPr>
            </w:pPr>
            <w:r w:rsidRPr="000A5BE4">
              <w:t>6</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91E7D" w14:textId="0D94568B" w:rsidR="00902F53" w:rsidRPr="006D0445" w:rsidRDefault="00902F53" w:rsidP="00902F53">
            <w:pPr>
              <w:spacing w:after="0" w:line="240" w:lineRule="auto"/>
              <w:jc w:val="center"/>
              <w:rPr>
                <w:color w:val="767171"/>
              </w:rPr>
            </w:pPr>
            <w:r w:rsidRPr="000A5BE4">
              <w:t>12</w:t>
            </w:r>
          </w:p>
        </w:tc>
      </w:tr>
      <w:tr w:rsidR="00902F53" w:rsidRPr="006D0445" w14:paraId="6B7BFC40" w14:textId="77777777" w:rsidTr="001A00FC">
        <w:trPr>
          <w:trHeight w:val="430"/>
          <w:jc w:val="center"/>
        </w:trPr>
        <w:tc>
          <w:tcPr>
            <w:tcW w:w="4655"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2DA97A44" w14:textId="14752506" w:rsidR="00902F53" w:rsidRPr="006D0445" w:rsidRDefault="00902F53" w:rsidP="00902F53">
            <w:pPr>
              <w:spacing w:after="0" w:line="240" w:lineRule="auto"/>
              <w:jc w:val="center"/>
              <w:rPr>
                <w:rFonts w:eastAsia="Calibri"/>
                <w:b/>
                <w:bCs/>
                <w:noProof/>
                <w:color w:val="767171"/>
              </w:rPr>
            </w:pPr>
            <w:r w:rsidRPr="006D0445">
              <w:rPr>
                <w:rFonts w:eastAsia="Calibri"/>
                <w:b/>
                <w:bCs/>
                <w:noProof/>
                <w:color w:val="767171"/>
              </w:rPr>
              <w:t>Total</w:t>
            </w:r>
          </w:p>
        </w:tc>
        <w:tc>
          <w:tcPr>
            <w:tcW w:w="117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9C46036" w14:textId="4A7ECF2D" w:rsidR="00902F53" w:rsidRPr="006D0445" w:rsidRDefault="00902F53" w:rsidP="00902F53">
            <w:pPr>
              <w:spacing w:after="0" w:line="240" w:lineRule="auto"/>
              <w:jc w:val="center"/>
              <w:rPr>
                <w:rFonts w:eastAsia="Calibri"/>
                <w:b/>
                <w:bCs/>
                <w:noProof/>
                <w:color w:val="767171"/>
              </w:rPr>
            </w:pPr>
            <w:r w:rsidRPr="000A5BE4">
              <w:rPr>
                <w:rFonts w:eastAsia="Calibri"/>
                <w:b/>
                <w:bCs/>
                <w:noProof/>
                <w:color w:val="767171"/>
              </w:rPr>
              <w:t>305</w:t>
            </w:r>
          </w:p>
        </w:tc>
        <w:tc>
          <w:tcPr>
            <w:tcW w:w="12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BEBD4" w14:textId="67DDB9D5" w:rsidR="00902F53" w:rsidRPr="006D0445" w:rsidRDefault="00902F53" w:rsidP="00902F53">
            <w:pPr>
              <w:spacing w:after="0" w:line="240" w:lineRule="auto"/>
              <w:jc w:val="center"/>
              <w:rPr>
                <w:rFonts w:eastAsia="Calibri"/>
                <w:b/>
                <w:bCs/>
                <w:noProof/>
                <w:color w:val="767171"/>
              </w:rPr>
            </w:pPr>
            <w:r w:rsidRPr="000A5BE4">
              <w:rPr>
                <w:rFonts w:eastAsia="Calibri"/>
                <w:b/>
                <w:bCs/>
                <w:noProof/>
                <w:color w:val="767171"/>
              </w:rPr>
              <w:t>309</w:t>
            </w:r>
          </w:p>
        </w:tc>
        <w:tc>
          <w:tcPr>
            <w:tcW w:w="91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78319A8" w14:textId="65EE8041" w:rsidR="00902F53" w:rsidRPr="006D0445" w:rsidRDefault="00902F53" w:rsidP="00902F53">
            <w:pPr>
              <w:spacing w:after="0" w:line="240" w:lineRule="auto"/>
              <w:jc w:val="center"/>
              <w:rPr>
                <w:rFonts w:eastAsia="Calibri"/>
                <w:b/>
                <w:bCs/>
                <w:noProof/>
                <w:color w:val="767171"/>
              </w:rPr>
            </w:pPr>
            <w:r w:rsidRPr="000A5BE4">
              <w:rPr>
                <w:rFonts w:eastAsia="Calibri"/>
                <w:b/>
                <w:bCs/>
                <w:noProof/>
                <w:color w:val="767171"/>
              </w:rPr>
              <w:t>614</w:t>
            </w:r>
          </w:p>
        </w:tc>
      </w:tr>
    </w:tbl>
    <w:p w14:paraId="197CD3C4" w14:textId="13B89752" w:rsidR="00553D0D" w:rsidRPr="006D0445" w:rsidRDefault="00553D0D" w:rsidP="008C4DF5">
      <w:pPr>
        <w:pBdr>
          <w:top w:val="nil"/>
          <w:left w:val="nil"/>
          <w:bottom w:val="nil"/>
          <w:right w:val="nil"/>
          <w:between w:val="nil"/>
        </w:pBdr>
        <w:ind w:left="426"/>
        <w:jc w:val="left"/>
        <w:rPr>
          <w:color w:val="767171"/>
          <w:sz w:val="18"/>
          <w:szCs w:val="18"/>
        </w:rPr>
      </w:pPr>
      <w:r w:rsidRPr="006D0445">
        <w:rPr>
          <w:rFonts w:eastAsia="Times New Roman"/>
          <w:color w:val="767171"/>
          <w:sz w:val="18"/>
          <w:szCs w:val="18"/>
        </w:rPr>
        <w:t xml:space="preserve">Fuente: Maestro de colaboradores </w:t>
      </w:r>
      <w:r w:rsidR="00902F53">
        <w:rPr>
          <w:rFonts w:eastAsia="Times New Roman"/>
          <w:color w:val="767171"/>
          <w:sz w:val="18"/>
          <w:szCs w:val="18"/>
        </w:rPr>
        <w:t>diciembre</w:t>
      </w:r>
      <w:r w:rsidRPr="006D0445">
        <w:rPr>
          <w:rFonts w:eastAsia="Times New Roman"/>
          <w:color w:val="767171"/>
          <w:sz w:val="18"/>
          <w:szCs w:val="18"/>
        </w:rPr>
        <w:t xml:space="preserve"> </w:t>
      </w:r>
      <w:r w:rsidR="00F2650B" w:rsidRPr="006D0445">
        <w:rPr>
          <w:rFonts w:eastAsia="Times New Roman"/>
          <w:color w:val="767171"/>
          <w:sz w:val="18"/>
          <w:szCs w:val="18"/>
        </w:rPr>
        <w:t>2024</w:t>
      </w:r>
      <w:r w:rsidRPr="006D0445">
        <w:rPr>
          <w:rFonts w:eastAsia="Times New Roman"/>
          <w:color w:val="767171"/>
          <w:sz w:val="18"/>
          <w:szCs w:val="18"/>
        </w:rPr>
        <w:t xml:space="preserve"> (Agatha)</w:t>
      </w:r>
    </w:p>
    <w:p w14:paraId="7742F372" w14:textId="0C43A390" w:rsidR="00553D0D" w:rsidRPr="006D0445" w:rsidRDefault="00553D0D" w:rsidP="002620D3">
      <w:pPr>
        <w:rPr>
          <w:color w:val="767171"/>
        </w:rPr>
      </w:pPr>
      <w:r w:rsidRPr="006D0445">
        <w:rPr>
          <w:color w:val="767171"/>
        </w:rPr>
        <w:t>Como parte de la contribución a la política de empleo</w:t>
      </w:r>
      <w:r w:rsidRPr="006D0445">
        <w:rPr>
          <w:color w:val="767171"/>
          <w:spacing w:val="20"/>
        </w:rPr>
        <w:t xml:space="preserve">, </w:t>
      </w:r>
      <w:r w:rsidRPr="006D0445">
        <w:rPr>
          <w:color w:val="767171"/>
        </w:rPr>
        <w:t xml:space="preserve">durante el periodo </w:t>
      </w:r>
      <w:r w:rsidR="00902F53" w:rsidRPr="001660D2">
        <w:rPr>
          <w:color w:val="767171"/>
        </w:rPr>
        <w:t>enero - diciembre 2024 fueron contratados cincuenta y un (51) colaboradores, de los cuales el 49.01% fueron posicionados en áreas misionales de la SIE para garantizar la efectiva protección de los usuarios y la eficiencia de nuestros servicios</w:t>
      </w:r>
      <w:r w:rsidRPr="006D0445">
        <w:rPr>
          <w:color w:val="767171"/>
        </w:rPr>
        <w:t>;</w:t>
      </w:r>
      <w:r w:rsidR="00902F53">
        <w:rPr>
          <w:color w:val="767171"/>
        </w:rPr>
        <w:t xml:space="preserve"> </w:t>
      </w:r>
      <w:r w:rsidRPr="006D0445">
        <w:rPr>
          <w:color w:val="767171"/>
        </w:rPr>
        <w:t>y se distribuyeron de la siguiente manera</w:t>
      </w:r>
      <w:r w:rsidR="00BE183B" w:rsidRPr="006D0445">
        <w:rPr>
          <w:color w:val="767171"/>
        </w:rPr>
        <w:t>:</w:t>
      </w:r>
    </w:p>
    <w:p w14:paraId="55AE9A9F" w14:textId="6F1ABC67"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8</w:t>
      </w:r>
      <w:r w:rsidRPr="006D0445">
        <w:rPr>
          <w:color w:val="767171"/>
        </w:rPr>
        <w:fldChar w:fldCharType="end"/>
      </w:r>
      <w:r w:rsidRPr="006D0445">
        <w:rPr>
          <w:color w:val="767171"/>
        </w:rPr>
        <w:t>Entradas de personal</w:t>
      </w:r>
    </w:p>
    <w:tbl>
      <w:tblPr>
        <w:tblW w:w="7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8"/>
        <w:gridCol w:w="2061"/>
        <w:gridCol w:w="876"/>
      </w:tblGrid>
      <w:tr w:rsidR="006D0445" w:rsidRPr="006D0445" w14:paraId="346DA570" w14:textId="77777777" w:rsidTr="00902F53">
        <w:trPr>
          <w:trHeight w:val="531"/>
          <w:tblHeader/>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011C50"/>
            <w:noWrap/>
            <w:vAlign w:val="center"/>
            <w:hideMark/>
          </w:tcPr>
          <w:p w14:paraId="1992027F"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ÁREA</w:t>
            </w:r>
          </w:p>
        </w:tc>
        <w:tc>
          <w:tcPr>
            <w:tcW w:w="2061" w:type="dxa"/>
            <w:tcBorders>
              <w:top w:val="single" w:sz="4" w:space="0" w:color="000000"/>
              <w:left w:val="single" w:sz="4" w:space="0" w:color="000000"/>
              <w:bottom w:val="single" w:sz="4" w:space="0" w:color="000000"/>
              <w:right w:val="single" w:sz="4" w:space="0" w:color="000000"/>
            </w:tcBorders>
            <w:shd w:val="clear" w:color="auto" w:fill="011C50"/>
            <w:noWrap/>
            <w:vAlign w:val="center"/>
            <w:hideMark/>
          </w:tcPr>
          <w:p w14:paraId="11766F3F"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COLABORADORES</w:t>
            </w:r>
          </w:p>
        </w:tc>
        <w:tc>
          <w:tcPr>
            <w:tcW w:w="876" w:type="dxa"/>
            <w:tcBorders>
              <w:top w:val="single" w:sz="4" w:space="0" w:color="000000"/>
              <w:left w:val="single" w:sz="4" w:space="0" w:color="000000"/>
              <w:bottom w:val="single" w:sz="4" w:space="0" w:color="000000"/>
              <w:right w:val="single" w:sz="4" w:space="0" w:color="000000"/>
            </w:tcBorders>
            <w:shd w:val="clear" w:color="auto" w:fill="011C50"/>
            <w:vAlign w:val="center"/>
          </w:tcPr>
          <w:p w14:paraId="079684B4" w14:textId="77777777" w:rsidR="00553D0D" w:rsidRPr="00C448FD" w:rsidRDefault="00553D0D" w:rsidP="00F81D2A">
            <w:pPr>
              <w:spacing w:after="0" w:line="240" w:lineRule="auto"/>
              <w:jc w:val="center"/>
              <w:rPr>
                <w:b/>
                <w:bCs/>
                <w:color w:val="FFFFFF" w:themeColor="background1"/>
                <w:sz w:val="20"/>
                <w:szCs w:val="20"/>
              </w:rPr>
            </w:pPr>
            <w:r w:rsidRPr="00C448FD">
              <w:rPr>
                <w:b/>
                <w:bCs/>
                <w:color w:val="FFFFFF" w:themeColor="background1"/>
                <w:sz w:val="20"/>
                <w:szCs w:val="20"/>
              </w:rPr>
              <w:t xml:space="preserve">% </w:t>
            </w:r>
          </w:p>
        </w:tc>
      </w:tr>
      <w:tr w:rsidR="00902F53" w:rsidRPr="006D0445" w14:paraId="78A70730" w14:textId="77777777" w:rsidTr="00902F53">
        <w:trPr>
          <w:trHeight w:val="410"/>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08E6E" w14:textId="74F30F86" w:rsidR="00902F53" w:rsidRPr="006D0445" w:rsidRDefault="00902F53" w:rsidP="00902F53">
            <w:pPr>
              <w:spacing w:after="0" w:line="240" w:lineRule="auto"/>
              <w:jc w:val="left"/>
              <w:rPr>
                <w:color w:val="767171"/>
              </w:rPr>
            </w:pPr>
            <w:r w:rsidRPr="008C3375">
              <w:rPr>
                <w:color w:val="767171"/>
              </w:rPr>
              <w:t>Consejo SIE</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4FC83" w14:textId="54DB3D6F" w:rsidR="00902F53" w:rsidRPr="006D0445" w:rsidRDefault="00902F53" w:rsidP="00902F53">
            <w:pPr>
              <w:spacing w:after="0" w:line="240" w:lineRule="auto"/>
              <w:jc w:val="center"/>
              <w:rPr>
                <w:color w:val="767171"/>
              </w:rPr>
            </w:pPr>
            <w:r w:rsidRPr="008C3375">
              <w:rPr>
                <w:color w:val="767171"/>
              </w:rPr>
              <w:t>0</w:t>
            </w:r>
          </w:p>
        </w:tc>
        <w:tc>
          <w:tcPr>
            <w:tcW w:w="876" w:type="dxa"/>
            <w:tcBorders>
              <w:top w:val="single" w:sz="4" w:space="0" w:color="000000"/>
              <w:left w:val="single" w:sz="4" w:space="0" w:color="000000"/>
              <w:bottom w:val="single" w:sz="4" w:space="0" w:color="000000"/>
              <w:right w:val="single" w:sz="4" w:space="0" w:color="000000"/>
            </w:tcBorders>
            <w:vAlign w:val="center"/>
          </w:tcPr>
          <w:p w14:paraId="4A27EC74" w14:textId="563198D9" w:rsidR="00902F53" w:rsidRPr="006D0445" w:rsidRDefault="00902F53" w:rsidP="00902F53">
            <w:pPr>
              <w:spacing w:after="0" w:line="240" w:lineRule="auto"/>
              <w:jc w:val="center"/>
              <w:rPr>
                <w:color w:val="767171"/>
              </w:rPr>
            </w:pPr>
            <w:r w:rsidRPr="002F5DC7">
              <w:rPr>
                <w:color w:val="767171"/>
              </w:rPr>
              <w:t>0.00</w:t>
            </w:r>
          </w:p>
        </w:tc>
      </w:tr>
      <w:tr w:rsidR="00902F53" w:rsidRPr="006D0445" w14:paraId="02469D20" w14:textId="77777777" w:rsidTr="00902F53">
        <w:trPr>
          <w:trHeight w:val="458"/>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EB59B" w14:textId="6B813657" w:rsidR="00902F53" w:rsidRPr="006D0445" w:rsidRDefault="00902F53" w:rsidP="00902F53">
            <w:pPr>
              <w:spacing w:after="0" w:line="240" w:lineRule="auto"/>
              <w:jc w:val="left"/>
              <w:rPr>
                <w:color w:val="767171"/>
              </w:rPr>
            </w:pPr>
            <w:r w:rsidRPr="008C3375">
              <w:rPr>
                <w:color w:val="767171"/>
              </w:rPr>
              <w:t>Dirección de Regulación</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9AE7D" w14:textId="65C49EEA" w:rsidR="00902F53" w:rsidRPr="006D0445" w:rsidRDefault="00902F53" w:rsidP="00902F53">
            <w:pPr>
              <w:spacing w:after="0" w:line="240" w:lineRule="auto"/>
              <w:jc w:val="center"/>
              <w:rPr>
                <w:color w:val="767171"/>
              </w:rPr>
            </w:pPr>
            <w:r w:rsidRPr="008C3375">
              <w:rPr>
                <w:color w:val="767171"/>
              </w:rPr>
              <w:t>1</w:t>
            </w:r>
          </w:p>
        </w:tc>
        <w:tc>
          <w:tcPr>
            <w:tcW w:w="876" w:type="dxa"/>
            <w:tcBorders>
              <w:top w:val="single" w:sz="4" w:space="0" w:color="000000"/>
              <w:left w:val="single" w:sz="4" w:space="0" w:color="000000"/>
              <w:bottom w:val="single" w:sz="4" w:space="0" w:color="000000"/>
              <w:right w:val="single" w:sz="4" w:space="0" w:color="000000"/>
            </w:tcBorders>
            <w:vAlign w:val="center"/>
          </w:tcPr>
          <w:p w14:paraId="6E27A735" w14:textId="0BAD771E" w:rsidR="00902F53" w:rsidRPr="006D0445" w:rsidRDefault="00902F53" w:rsidP="00902F53">
            <w:pPr>
              <w:spacing w:after="0" w:line="240" w:lineRule="auto"/>
              <w:jc w:val="center"/>
              <w:rPr>
                <w:color w:val="767171"/>
              </w:rPr>
            </w:pPr>
            <w:r w:rsidRPr="002F5DC7">
              <w:rPr>
                <w:color w:val="767171"/>
              </w:rPr>
              <w:t>1.96</w:t>
            </w:r>
          </w:p>
        </w:tc>
      </w:tr>
      <w:tr w:rsidR="00902F53" w:rsidRPr="006D0445" w14:paraId="031BF16B" w14:textId="77777777" w:rsidTr="00902F53">
        <w:trPr>
          <w:trHeight w:val="458"/>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BAF9A" w14:textId="04019FF9" w:rsidR="00902F53" w:rsidRPr="006D0445" w:rsidRDefault="00902F53" w:rsidP="00902F53">
            <w:pPr>
              <w:spacing w:after="0" w:line="240" w:lineRule="auto"/>
              <w:jc w:val="left"/>
              <w:rPr>
                <w:color w:val="767171"/>
              </w:rPr>
            </w:pPr>
            <w:r w:rsidRPr="008C3375">
              <w:rPr>
                <w:color w:val="767171"/>
              </w:rPr>
              <w:t>Dirección de PROTECOM (Nacional)</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C87D4" w14:textId="5FCA43C4" w:rsidR="00902F53" w:rsidRPr="006D0445" w:rsidRDefault="00902F53" w:rsidP="00902F53">
            <w:pPr>
              <w:spacing w:after="0" w:line="240" w:lineRule="auto"/>
              <w:jc w:val="center"/>
              <w:rPr>
                <w:color w:val="767171"/>
              </w:rPr>
            </w:pPr>
            <w:r w:rsidRPr="008C3375">
              <w:rPr>
                <w:color w:val="767171"/>
              </w:rPr>
              <w:t>18</w:t>
            </w:r>
          </w:p>
        </w:tc>
        <w:tc>
          <w:tcPr>
            <w:tcW w:w="876" w:type="dxa"/>
            <w:tcBorders>
              <w:top w:val="single" w:sz="4" w:space="0" w:color="000000"/>
              <w:left w:val="single" w:sz="4" w:space="0" w:color="000000"/>
              <w:bottom w:val="single" w:sz="4" w:space="0" w:color="000000"/>
              <w:right w:val="single" w:sz="4" w:space="0" w:color="000000"/>
            </w:tcBorders>
            <w:vAlign w:val="center"/>
          </w:tcPr>
          <w:p w14:paraId="6893A488" w14:textId="4418280E" w:rsidR="00902F53" w:rsidRPr="006D0445" w:rsidRDefault="00902F53" w:rsidP="00902F53">
            <w:pPr>
              <w:spacing w:after="0" w:line="240" w:lineRule="auto"/>
              <w:jc w:val="center"/>
              <w:rPr>
                <w:color w:val="767171"/>
              </w:rPr>
            </w:pPr>
            <w:r w:rsidRPr="002F5DC7">
              <w:rPr>
                <w:color w:val="767171"/>
              </w:rPr>
              <w:t>35.29</w:t>
            </w:r>
          </w:p>
        </w:tc>
      </w:tr>
      <w:tr w:rsidR="00902F53" w:rsidRPr="006D0445" w14:paraId="1BBCF2B1" w14:textId="77777777" w:rsidTr="00902F53">
        <w:trPr>
          <w:trHeight w:val="594"/>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93A96" w14:textId="4DD59314" w:rsidR="00902F53" w:rsidRPr="006D0445" w:rsidRDefault="00902F53" w:rsidP="00902F53">
            <w:pPr>
              <w:spacing w:after="0" w:line="240" w:lineRule="auto"/>
              <w:jc w:val="left"/>
              <w:rPr>
                <w:color w:val="767171"/>
              </w:rPr>
            </w:pPr>
            <w:r w:rsidRPr="008C3375">
              <w:rPr>
                <w:color w:val="767171"/>
              </w:rPr>
              <w:t>Dirección de Fiscalización Mercado Eléctrico Minorista</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9667C" w14:textId="4020AA6A" w:rsidR="00902F53" w:rsidRPr="006D0445" w:rsidRDefault="00902F53" w:rsidP="00902F53">
            <w:pPr>
              <w:spacing w:after="0" w:line="240" w:lineRule="auto"/>
              <w:jc w:val="center"/>
              <w:rPr>
                <w:color w:val="767171"/>
              </w:rPr>
            </w:pPr>
            <w:r w:rsidRPr="008C3375">
              <w:rPr>
                <w:color w:val="767171"/>
              </w:rPr>
              <w:t>1</w:t>
            </w:r>
          </w:p>
        </w:tc>
        <w:tc>
          <w:tcPr>
            <w:tcW w:w="876" w:type="dxa"/>
            <w:tcBorders>
              <w:top w:val="single" w:sz="4" w:space="0" w:color="000000"/>
              <w:left w:val="single" w:sz="4" w:space="0" w:color="000000"/>
              <w:bottom w:val="single" w:sz="4" w:space="0" w:color="000000"/>
              <w:right w:val="single" w:sz="4" w:space="0" w:color="000000"/>
            </w:tcBorders>
            <w:vAlign w:val="center"/>
          </w:tcPr>
          <w:p w14:paraId="447D734C" w14:textId="040D3FDB" w:rsidR="00902F53" w:rsidRPr="006D0445" w:rsidRDefault="00902F53" w:rsidP="00902F53">
            <w:pPr>
              <w:spacing w:after="0" w:line="240" w:lineRule="auto"/>
              <w:jc w:val="center"/>
              <w:rPr>
                <w:color w:val="767171"/>
              </w:rPr>
            </w:pPr>
            <w:r w:rsidRPr="002F5DC7">
              <w:rPr>
                <w:color w:val="767171"/>
              </w:rPr>
              <w:t>1.96</w:t>
            </w:r>
          </w:p>
        </w:tc>
      </w:tr>
      <w:tr w:rsidR="00902F53" w:rsidRPr="006D0445" w14:paraId="3F67D322" w14:textId="77777777" w:rsidTr="00902F53">
        <w:trPr>
          <w:trHeight w:val="687"/>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7401A" w14:textId="322AFF5C" w:rsidR="00902F53" w:rsidRPr="006D0445" w:rsidRDefault="00902F53" w:rsidP="00902F53">
            <w:pPr>
              <w:spacing w:after="0" w:line="240" w:lineRule="auto"/>
              <w:jc w:val="left"/>
              <w:rPr>
                <w:color w:val="767171"/>
              </w:rPr>
            </w:pPr>
            <w:r w:rsidRPr="008C3375">
              <w:rPr>
                <w:color w:val="767171"/>
              </w:rPr>
              <w:t>Dirección de Fiscalización Mercado Eléctrico Mayorista</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2EA15" w14:textId="46F6384F" w:rsidR="00902F53" w:rsidRPr="006D0445" w:rsidRDefault="00902F53" w:rsidP="00902F53">
            <w:pPr>
              <w:spacing w:after="0" w:line="240" w:lineRule="auto"/>
              <w:jc w:val="center"/>
              <w:rPr>
                <w:color w:val="767171"/>
              </w:rPr>
            </w:pPr>
            <w:r w:rsidRPr="008C3375">
              <w:rPr>
                <w:color w:val="767171"/>
              </w:rPr>
              <w:t>1</w:t>
            </w:r>
          </w:p>
        </w:tc>
        <w:tc>
          <w:tcPr>
            <w:tcW w:w="876" w:type="dxa"/>
            <w:tcBorders>
              <w:top w:val="single" w:sz="4" w:space="0" w:color="000000"/>
              <w:left w:val="single" w:sz="4" w:space="0" w:color="000000"/>
              <w:bottom w:val="single" w:sz="4" w:space="0" w:color="000000"/>
              <w:right w:val="single" w:sz="4" w:space="0" w:color="000000"/>
            </w:tcBorders>
            <w:vAlign w:val="center"/>
          </w:tcPr>
          <w:p w14:paraId="0D7AE9CB" w14:textId="6672CA51" w:rsidR="00902F53" w:rsidRPr="006D0445" w:rsidRDefault="00902F53" w:rsidP="00902F53">
            <w:pPr>
              <w:spacing w:after="0" w:line="240" w:lineRule="auto"/>
              <w:jc w:val="center"/>
              <w:rPr>
                <w:color w:val="767171"/>
              </w:rPr>
            </w:pPr>
            <w:r w:rsidRPr="002F5DC7">
              <w:rPr>
                <w:color w:val="767171"/>
              </w:rPr>
              <w:t>1.96</w:t>
            </w:r>
          </w:p>
        </w:tc>
      </w:tr>
      <w:tr w:rsidR="00902F53" w:rsidRPr="006D0445" w14:paraId="46A5DABD" w14:textId="77777777" w:rsidTr="00902F53">
        <w:trPr>
          <w:trHeight w:val="554"/>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96A5" w14:textId="10DB6445" w:rsidR="00902F53" w:rsidRPr="006D0445" w:rsidRDefault="00902F53" w:rsidP="00902F53">
            <w:pPr>
              <w:spacing w:after="0" w:line="240" w:lineRule="auto"/>
              <w:jc w:val="left"/>
              <w:rPr>
                <w:color w:val="767171"/>
              </w:rPr>
            </w:pPr>
            <w:r w:rsidRPr="008C3375">
              <w:rPr>
                <w:color w:val="767171"/>
              </w:rPr>
              <w:t>Dirección de Asuntos Jurídicos</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F02DE" w14:textId="31E06BD6" w:rsidR="00902F53" w:rsidRPr="006D0445" w:rsidRDefault="00902F53" w:rsidP="00902F53">
            <w:pPr>
              <w:spacing w:after="0" w:line="240" w:lineRule="auto"/>
              <w:jc w:val="center"/>
              <w:rPr>
                <w:color w:val="767171"/>
              </w:rPr>
            </w:pPr>
            <w:r w:rsidRPr="008C3375">
              <w:rPr>
                <w:color w:val="767171"/>
              </w:rPr>
              <w:t>4</w:t>
            </w:r>
          </w:p>
        </w:tc>
        <w:tc>
          <w:tcPr>
            <w:tcW w:w="876" w:type="dxa"/>
            <w:tcBorders>
              <w:top w:val="single" w:sz="4" w:space="0" w:color="000000"/>
              <w:left w:val="single" w:sz="4" w:space="0" w:color="000000"/>
              <w:bottom w:val="single" w:sz="4" w:space="0" w:color="000000"/>
              <w:right w:val="single" w:sz="4" w:space="0" w:color="000000"/>
            </w:tcBorders>
            <w:vAlign w:val="center"/>
          </w:tcPr>
          <w:p w14:paraId="1BCDF111" w14:textId="534CFF01" w:rsidR="00902F53" w:rsidRPr="006D0445" w:rsidRDefault="00902F53" w:rsidP="00902F53">
            <w:pPr>
              <w:spacing w:after="0" w:line="240" w:lineRule="auto"/>
              <w:jc w:val="center"/>
              <w:rPr>
                <w:color w:val="767171"/>
              </w:rPr>
            </w:pPr>
            <w:r w:rsidRPr="002F5DC7">
              <w:rPr>
                <w:color w:val="767171"/>
              </w:rPr>
              <w:t>7.84</w:t>
            </w:r>
          </w:p>
        </w:tc>
      </w:tr>
      <w:tr w:rsidR="00902F53" w:rsidRPr="006D0445" w14:paraId="7185BD68" w14:textId="77777777" w:rsidTr="00902F53">
        <w:trPr>
          <w:trHeight w:val="576"/>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55C06" w14:textId="6172E64C" w:rsidR="00902F53" w:rsidRPr="006D0445" w:rsidRDefault="00902F53" w:rsidP="00902F53">
            <w:pPr>
              <w:spacing w:after="0" w:line="240" w:lineRule="auto"/>
              <w:jc w:val="left"/>
              <w:rPr>
                <w:color w:val="767171"/>
              </w:rPr>
            </w:pPr>
            <w:r w:rsidRPr="009A123A">
              <w:rPr>
                <w:color w:val="767171"/>
              </w:rPr>
              <w:t>Dirección de Planificación y Desarrollo</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84A71" w14:textId="7F3DB295" w:rsidR="00902F53" w:rsidRPr="006D0445" w:rsidRDefault="00902F53" w:rsidP="00902F53">
            <w:pPr>
              <w:spacing w:after="0" w:line="240" w:lineRule="auto"/>
              <w:jc w:val="center"/>
              <w:rPr>
                <w:color w:val="767171"/>
              </w:rPr>
            </w:pPr>
            <w:r w:rsidRPr="009A123A">
              <w:rPr>
                <w:color w:val="767171"/>
              </w:rPr>
              <w:t>2</w:t>
            </w:r>
          </w:p>
        </w:tc>
        <w:tc>
          <w:tcPr>
            <w:tcW w:w="876" w:type="dxa"/>
            <w:tcBorders>
              <w:top w:val="single" w:sz="4" w:space="0" w:color="000000"/>
              <w:left w:val="single" w:sz="4" w:space="0" w:color="000000"/>
              <w:bottom w:val="single" w:sz="4" w:space="0" w:color="000000"/>
              <w:right w:val="single" w:sz="4" w:space="0" w:color="000000"/>
            </w:tcBorders>
            <w:vAlign w:val="center"/>
          </w:tcPr>
          <w:p w14:paraId="2CFC98FC" w14:textId="7467B579" w:rsidR="00902F53" w:rsidRPr="006D0445" w:rsidRDefault="00902F53" w:rsidP="00902F53">
            <w:pPr>
              <w:spacing w:after="0" w:line="240" w:lineRule="auto"/>
              <w:jc w:val="center"/>
              <w:rPr>
                <w:color w:val="767171"/>
              </w:rPr>
            </w:pPr>
            <w:r w:rsidRPr="002F5DC7">
              <w:rPr>
                <w:color w:val="767171"/>
              </w:rPr>
              <w:t>3.92</w:t>
            </w:r>
          </w:p>
        </w:tc>
      </w:tr>
      <w:tr w:rsidR="00902F53" w:rsidRPr="006D0445" w14:paraId="60D1F739" w14:textId="77777777" w:rsidTr="00902F53">
        <w:trPr>
          <w:trHeight w:val="556"/>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03206" w14:textId="125D5199" w:rsidR="00902F53" w:rsidRPr="006D0445" w:rsidRDefault="00902F53" w:rsidP="00902F53">
            <w:pPr>
              <w:spacing w:after="0" w:line="240" w:lineRule="auto"/>
              <w:jc w:val="left"/>
              <w:rPr>
                <w:color w:val="767171"/>
              </w:rPr>
            </w:pPr>
            <w:r w:rsidRPr="009A123A">
              <w:rPr>
                <w:color w:val="767171"/>
              </w:rPr>
              <w:t>Dirección de Recursos Humanos</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BD1BF" w14:textId="002904ED" w:rsidR="00902F53" w:rsidRPr="006D0445" w:rsidRDefault="00902F53" w:rsidP="00902F53">
            <w:pPr>
              <w:spacing w:after="0" w:line="240" w:lineRule="auto"/>
              <w:jc w:val="center"/>
              <w:rPr>
                <w:color w:val="767171"/>
              </w:rPr>
            </w:pPr>
            <w:r w:rsidRPr="009A123A">
              <w:rPr>
                <w:color w:val="767171"/>
              </w:rPr>
              <w:t>3</w:t>
            </w:r>
          </w:p>
        </w:tc>
        <w:tc>
          <w:tcPr>
            <w:tcW w:w="876" w:type="dxa"/>
            <w:tcBorders>
              <w:top w:val="single" w:sz="4" w:space="0" w:color="000000"/>
              <w:left w:val="single" w:sz="4" w:space="0" w:color="000000"/>
              <w:bottom w:val="single" w:sz="4" w:space="0" w:color="000000"/>
              <w:right w:val="single" w:sz="4" w:space="0" w:color="000000"/>
            </w:tcBorders>
            <w:vAlign w:val="center"/>
          </w:tcPr>
          <w:p w14:paraId="01BA3D65" w14:textId="08E78D58" w:rsidR="00902F53" w:rsidRPr="006D0445" w:rsidRDefault="00902F53" w:rsidP="00902F53">
            <w:pPr>
              <w:spacing w:after="0" w:line="240" w:lineRule="auto"/>
              <w:jc w:val="center"/>
              <w:rPr>
                <w:color w:val="767171"/>
              </w:rPr>
            </w:pPr>
            <w:r w:rsidRPr="002F5DC7">
              <w:rPr>
                <w:color w:val="767171"/>
              </w:rPr>
              <w:t>5.88</w:t>
            </w:r>
          </w:p>
        </w:tc>
      </w:tr>
      <w:tr w:rsidR="00902F53" w:rsidRPr="006D0445" w14:paraId="2C2D7CF1" w14:textId="77777777" w:rsidTr="00902F53">
        <w:trPr>
          <w:trHeight w:val="692"/>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63400" w14:textId="71B05578" w:rsidR="00902F53" w:rsidRPr="006D0445" w:rsidRDefault="00902F53" w:rsidP="00902F53">
            <w:pPr>
              <w:spacing w:after="0" w:line="240" w:lineRule="auto"/>
              <w:jc w:val="left"/>
              <w:rPr>
                <w:color w:val="767171"/>
              </w:rPr>
            </w:pPr>
            <w:r w:rsidRPr="009A123A">
              <w:rPr>
                <w:color w:val="767171"/>
              </w:rPr>
              <w:t>Dirección de Tecnología de la Información y Comunicaciones</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5E33A" w14:textId="685E9868" w:rsidR="00902F53" w:rsidRPr="006D0445" w:rsidRDefault="00902F53" w:rsidP="00902F53">
            <w:pPr>
              <w:spacing w:after="0" w:line="240" w:lineRule="auto"/>
              <w:jc w:val="center"/>
              <w:rPr>
                <w:color w:val="767171"/>
              </w:rPr>
            </w:pPr>
            <w:r w:rsidRPr="009A123A">
              <w:rPr>
                <w:color w:val="767171"/>
              </w:rPr>
              <w:t>10</w:t>
            </w:r>
          </w:p>
        </w:tc>
        <w:tc>
          <w:tcPr>
            <w:tcW w:w="876" w:type="dxa"/>
            <w:tcBorders>
              <w:top w:val="single" w:sz="4" w:space="0" w:color="000000"/>
              <w:left w:val="single" w:sz="4" w:space="0" w:color="000000"/>
              <w:bottom w:val="single" w:sz="4" w:space="0" w:color="000000"/>
              <w:right w:val="single" w:sz="4" w:space="0" w:color="000000"/>
            </w:tcBorders>
            <w:vAlign w:val="center"/>
          </w:tcPr>
          <w:p w14:paraId="43EB1265" w14:textId="630AAFE6" w:rsidR="00902F53" w:rsidRPr="006D0445" w:rsidRDefault="00902F53" w:rsidP="00902F53">
            <w:pPr>
              <w:spacing w:after="0" w:line="240" w:lineRule="auto"/>
              <w:jc w:val="center"/>
              <w:rPr>
                <w:color w:val="767171"/>
              </w:rPr>
            </w:pPr>
            <w:r w:rsidRPr="002F5DC7">
              <w:rPr>
                <w:color w:val="767171"/>
              </w:rPr>
              <w:t>19.61</w:t>
            </w:r>
          </w:p>
        </w:tc>
      </w:tr>
      <w:tr w:rsidR="00902F53" w:rsidRPr="006D0445" w14:paraId="07342C80" w14:textId="77777777" w:rsidTr="00902F53">
        <w:trPr>
          <w:trHeight w:val="560"/>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EF1A1" w14:textId="3B1F0EE3" w:rsidR="00902F53" w:rsidRPr="006D0445" w:rsidRDefault="00902F53" w:rsidP="00902F53">
            <w:pPr>
              <w:spacing w:after="0" w:line="240" w:lineRule="auto"/>
              <w:jc w:val="left"/>
              <w:rPr>
                <w:color w:val="767171"/>
              </w:rPr>
            </w:pPr>
            <w:r w:rsidRPr="009A123A">
              <w:rPr>
                <w:color w:val="767171"/>
              </w:rPr>
              <w:t>Dirección Administrativa y Financiera</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8A3A7" w14:textId="39CB5185" w:rsidR="00902F53" w:rsidRPr="006D0445" w:rsidRDefault="00902F53" w:rsidP="00902F53">
            <w:pPr>
              <w:spacing w:after="0" w:line="240" w:lineRule="auto"/>
              <w:jc w:val="center"/>
              <w:rPr>
                <w:color w:val="767171"/>
              </w:rPr>
            </w:pPr>
            <w:r w:rsidRPr="009A123A">
              <w:rPr>
                <w:color w:val="767171"/>
              </w:rPr>
              <w:t>3</w:t>
            </w:r>
          </w:p>
        </w:tc>
        <w:tc>
          <w:tcPr>
            <w:tcW w:w="876" w:type="dxa"/>
            <w:tcBorders>
              <w:top w:val="single" w:sz="4" w:space="0" w:color="000000"/>
              <w:left w:val="single" w:sz="4" w:space="0" w:color="000000"/>
              <w:bottom w:val="single" w:sz="4" w:space="0" w:color="000000"/>
              <w:right w:val="single" w:sz="4" w:space="0" w:color="000000"/>
            </w:tcBorders>
            <w:vAlign w:val="center"/>
          </w:tcPr>
          <w:p w14:paraId="601B024D" w14:textId="3B830F14" w:rsidR="00902F53" w:rsidRPr="006D0445" w:rsidRDefault="00902F53" w:rsidP="00902F53">
            <w:pPr>
              <w:spacing w:after="0" w:line="240" w:lineRule="auto"/>
              <w:jc w:val="center"/>
              <w:rPr>
                <w:color w:val="767171"/>
              </w:rPr>
            </w:pPr>
            <w:r w:rsidRPr="002F5DC7">
              <w:rPr>
                <w:color w:val="767171"/>
              </w:rPr>
              <w:t>5.88</w:t>
            </w:r>
          </w:p>
        </w:tc>
      </w:tr>
      <w:tr w:rsidR="00902F53" w:rsidRPr="006D0445" w14:paraId="2F0719B5" w14:textId="77777777" w:rsidTr="00902F53">
        <w:trPr>
          <w:trHeight w:val="554"/>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BECE2" w14:textId="75E0268A" w:rsidR="00902F53" w:rsidRPr="006D0445" w:rsidRDefault="00902F53" w:rsidP="00902F53">
            <w:pPr>
              <w:spacing w:after="0" w:line="240" w:lineRule="auto"/>
              <w:jc w:val="left"/>
              <w:rPr>
                <w:color w:val="767171"/>
              </w:rPr>
            </w:pPr>
            <w:r w:rsidRPr="00BD648F">
              <w:rPr>
                <w:color w:val="767171"/>
              </w:rPr>
              <w:t>Dirección de Comunicaciones y Relaciones Publicas</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B97C2" w14:textId="58472BA6" w:rsidR="00902F53" w:rsidRPr="006D0445" w:rsidRDefault="00902F53" w:rsidP="00902F53">
            <w:pPr>
              <w:spacing w:after="0" w:line="240" w:lineRule="auto"/>
              <w:jc w:val="center"/>
              <w:rPr>
                <w:color w:val="767171"/>
              </w:rPr>
            </w:pPr>
            <w:r w:rsidRPr="00BD648F">
              <w:rPr>
                <w:color w:val="767171"/>
              </w:rPr>
              <w:t>4</w:t>
            </w:r>
          </w:p>
        </w:tc>
        <w:tc>
          <w:tcPr>
            <w:tcW w:w="876" w:type="dxa"/>
            <w:tcBorders>
              <w:top w:val="single" w:sz="4" w:space="0" w:color="000000"/>
              <w:left w:val="single" w:sz="4" w:space="0" w:color="000000"/>
              <w:bottom w:val="single" w:sz="4" w:space="0" w:color="000000"/>
              <w:right w:val="single" w:sz="4" w:space="0" w:color="000000"/>
            </w:tcBorders>
            <w:vAlign w:val="center"/>
          </w:tcPr>
          <w:p w14:paraId="0A59B87C" w14:textId="0075D874" w:rsidR="00902F53" w:rsidRPr="006D0445" w:rsidRDefault="00902F53" w:rsidP="00902F53">
            <w:pPr>
              <w:spacing w:after="0" w:line="240" w:lineRule="auto"/>
              <w:jc w:val="center"/>
              <w:rPr>
                <w:color w:val="767171"/>
              </w:rPr>
            </w:pPr>
            <w:r w:rsidRPr="002F5DC7">
              <w:rPr>
                <w:color w:val="767171"/>
              </w:rPr>
              <w:t>7.84</w:t>
            </w:r>
          </w:p>
        </w:tc>
      </w:tr>
      <w:tr w:rsidR="00902F53" w:rsidRPr="006D0445" w14:paraId="6BCF3784" w14:textId="77777777" w:rsidTr="00902F53">
        <w:trPr>
          <w:trHeight w:val="548"/>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1F21F" w14:textId="72A18763" w:rsidR="00902F53" w:rsidRPr="006D0445" w:rsidRDefault="00902F53" w:rsidP="00902F53">
            <w:pPr>
              <w:spacing w:after="0" w:line="240" w:lineRule="auto"/>
              <w:jc w:val="left"/>
              <w:rPr>
                <w:color w:val="767171"/>
              </w:rPr>
            </w:pPr>
            <w:r w:rsidRPr="00BD648F">
              <w:rPr>
                <w:color w:val="767171"/>
              </w:rPr>
              <w:lastRenderedPageBreak/>
              <w:t>Dirección Despacho Superintendente</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26009" w14:textId="0D2AA622" w:rsidR="00902F53" w:rsidRPr="006D0445" w:rsidRDefault="00902F53" w:rsidP="00902F53">
            <w:pPr>
              <w:spacing w:after="0" w:line="240" w:lineRule="auto"/>
              <w:jc w:val="center"/>
              <w:rPr>
                <w:color w:val="767171"/>
              </w:rPr>
            </w:pPr>
            <w:r w:rsidRPr="00BD648F">
              <w:rPr>
                <w:color w:val="767171"/>
              </w:rPr>
              <w:t>0</w:t>
            </w:r>
          </w:p>
        </w:tc>
        <w:tc>
          <w:tcPr>
            <w:tcW w:w="876" w:type="dxa"/>
            <w:tcBorders>
              <w:top w:val="single" w:sz="4" w:space="0" w:color="000000"/>
              <w:left w:val="single" w:sz="4" w:space="0" w:color="000000"/>
              <w:bottom w:val="single" w:sz="4" w:space="0" w:color="000000"/>
              <w:right w:val="single" w:sz="4" w:space="0" w:color="000000"/>
            </w:tcBorders>
            <w:vAlign w:val="center"/>
          </w:tcPr>
          <w:p w14:paraId="3D0B0BC4" w14:textId="44E6281F" w:rsidR="00902F53" w:rsidRPr="006D0445" w:rsidRDefault="00902F53" w:rsidP="00902F53">
            <w:pPr>
              <w:spacing w:after="0" w:line="240" w:lineRule="auto"/>
              <w:jc w:val="center"/>
              <w:rPr>
                <w:color w:val="767171"/>
              </w:rPr>
            </w:pPr>
            <w:r w:rsidRPr="002F5DC7">
              <w:rPr>
                <w:color w:val="767171"/>
              </w:rPr>
              <w:t>0.00</w:t>
            </w:r>
          </w:p>
        </w:tc>
      </w:tr>
      <w:tr w:rsidR="00902F53" w:rsidRPr="006D0445" w14:paraId="52CE0323" w14:textId="77777777" w:rsidTr="00902F53">
        <w:trPr>
          <w:trHeight w:val="556"/>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1B094" w14:textId="68158480" w:rsidR="00902F53" w:rsidRPr="006D0445" w:rsidRDefault="00902F53" w:rsidP="00902F53">
            <w:pPr>
              <w:spacing w:after="0" w:line="240" w:lineRule="auto"/>
              <w:jc w:val="left"/>
              <w:rPr>
                <w:color w:val="767171"/>
              </w:rPr>
            </w:pPr>
            <w:r w:rsidRPr="00BD648F">
              <w:rPr>
                <w:color w:val="767171"/>
              </w:rPr>
              <w:t>Dirección de Infraestructura y Servicios Generales</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FC759" w14:textId="50816D8A" w:rsidR="00902F53" w:rsidRPr="006D0445" w:rsidRDefault="00902F53" w:rsidP="00902F53">
            <w:pPr>
              <w:spacing w:after="0" w:line="240" w:lineRule="auto"/>
              <w:jc w:val="center"/>
              <w:rPr>
                <w:color w:val="767171"/>
              </w:rPr>
            </w:pPr>
            <w:r w:rsidRPr="00BD648F">
              <w:rPr>
                <w:color w:val="767171"/>
              </w:rPr>
              <w:t>4</w:t>
            </w:r>
          </w:p>
        </w:tc>
        <w:tc>
          <w:tcPr>
            <w:tcW w:w="876" w:type="dxa"/>
            <w:tcBorders>
              <w:top w:val="single" w:sz="4" w:space="0" w:color="000000"/>
              <w:left w:val="single" w:sz="4" w:space="0" w:color="000000"/>
              <w:bottom w:val="single" w:sz="4" w:space="0" w:color="000000"/>
              <w:right w:val="single" w:sz="4" w:space="0" w:color="000000"/>
            </w:tcBorders>
            <w:vAlign w:val="center"/>
          </w:tcPr>
          <w:p w14:paraId="72FF9A43" w14:textId="0A0579A7" w:rsidR="00902F53" w:rsidRPr="006D0445" w:rsidRDefault="00902F53" w:rsidP="00902F53">
            <w:pPr>
              <w:spacing w:after="0" w:line="240" w:lineRule="auto"/>
              <w:jc w:val="center"/>
              <w:rPr>
                <w:color w:val="767171"/>
              </w:rPr>
            </w:pPr>
            <w:r w:rsidRPr="002F5DC7">
              <w:rPr>
                <w:color w:val="767171"/>
              </w:rPr>
              <w:t>7.84</w:t>
            </w:r>
          </w:p>
        </w:tc>
      </w:tr>
      <w:tr w:rsidR="00902F53" w:rsidRPr="006D0445" w14:paraId="4491C1ED" w14:textId="77777777" w:rsidTr="00902F53">
        <w:trPr>
          <w:trHeight w:val="550"/>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26DD" w14:textId="431D77EE" w:rsidR="00902F53" w:rsidRPr="006D0445" w:rsidRDefault="00902F53" w:rsidP="00902F53">
            <w:pPr>
              <w:spacing w:after="0" w:line="240" w:lineRule="auto"/>
              <w:jc w:val="left"/>
              <w:rPr>
                <w:color w:val="767171"/>
              </w:rPr>
            </w:pPr>
            <w:r w:rsidRPr="00BD648F">
              <w:rPr>
                <w:color w:val="767171"/>
              </w:rPr>
              <w:t>Departamento de Seguridad</w:t>
            </w:r>
          </w:p>
        </w:tc>
        <w:tc>
          <w:tcPr>
            <w:tcW w:w="2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EBB42" w14:textId="6ABB253D" w:rsidR="00902F53" w:rsidRPr="006D0445" w:rsidRDefault="00902F53" w:rsidP="00902F53">
            <w:pPr>
              <w:spacing w:after="0" w:line="240" w:lineRule="auto"/>
              <w:jc w:val="center"/>
              <w:rPr>
                <w:color w:val="767171"/>
              </w:rPr>
            </w:pPr>
            <w:r w:rsidRPr="00BD648F">
              <w:rPr>
                <w:color w:val="767171"/>
              </w:rPr>
              <w:t>0</w:t>
            </w:r>
          </w:p>
        </w:tc>
        <w:tc>
          <w:tcPr>
            <w:tcW w:w="876" w:type="dxa"/>
            <w:tcBorders>
              <w:top w:val="single" w:sz="4" w:space="0" w:color="000000"/>
              <w:left w:val="single" w:sz="4" w:space="0" w:color="000000"/>
              <w:bottom w:val="single" w:sz="4" w:space="0" w:color="000000"/>
              <w:right w:val="single" w:sz="4" w:space="0" w:color="000000"/>
            </w:tcBorders>
            <w:vAlign w:val="center"/>
          </w:tcPr>
          <w:p w14:paraId="1C92BE0D" w14:textId="4AAE25C3" w:rsidR="00902F53" w:rsidRPr="006D0445" w:rsidRDefault="00902F53" w:rsidP="00902F53">
            <w:pPr>
              <w:spacing w:after="0" w:line="240" w:lineRule="auto"/>
              <w:jc w:val="center"/>
              <w:rPr>
                <w:color w:val="767171"/>
              </w:rPr>
            </w:pPr>
            <w:r w:rsidRPr="002F5DC7">
              <w:rPr>
                <w:color w:val="767171"/>
              </w:rPr>
              <w:t>0.00</w:t>
            </w:r>
          </w:p>
        </w:tc>
      </w:tr>
      <w:tr w:rsidR="00902F53" w:rsidRPr="006D0445" w14:paraId="219E6258" w14:textId="77777777" w:rsidTr="00902F53">
        <w:trPr>
          <w:trHeight w:val="572"/>
          <w:jc w:val="center"/>
        </w:trPr>
        <w:tc>
          <w:tcPr>
            <w:tcW w:w="5038"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6C98CB2" w14:textId="08F64711" w:rsidR="00902F53" w:rsidRPr="006D0445" w:rsidRDefault="00902F53" w:rsidP="00902F53">
            <w:pPr>
              <w:spacing w:after="0" w:line="240" w:lineRule="auto"/>
              <w:jc w:val="center"/>
              <w:rPr>
                <w:rFonts w:eastAsia="Calibri"/>
                <w:b/>
                <w:bCs/>
                <w:noProof/>
                <w:color w:val="767171"/>
                <w:sz w:val="22"/>
                <w:szCs w:val="22"/>
              </w:rPr>
            </w:pPr>
            <w:r w:rsidRPr="002F5DC7">
              <w:rPr>
                <w:color w:val="767171"/>
              </w:rPr>
              <w:t>TOTAL</w:t>
            </w:r>
          </w:p>
        </w:tc>
        <w:tc>
          <w:tcPr>
            <w:tcW w:w="2061"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D275C36" w14:textId="060F2EA6" w:rsidR="00902F53" w:rsidRPr="006D0445" w:rsidRDefault="00902F53" w:rsidP="00902F53">
            <w:pPr>
              <w:spacing w:after="0" w:line="240" w:lineRule="auto"/>
              <w:jc w:val="center"/>
              <w:rPr>
                <w:rFonts w:eastAsia="Calibri"/>
                <w:b/>
                <w:bCs/>
                <w:noProof/>
                <w:color w:val="767171"/>
                <w:sz w:val="22"/>
                <w:szCs w:val="22"/>
              </w:rPr>
            </w:pPr>
            <w:r w:rsidRPr="002F5DC7">
              <w:rPr>
                <w:color w:val="767171"/>
              </w:rPr>
              <w:t>51</w:t>
            </w:r>
          </w:p>
        </w:tc>
        <w:tc>
          <w:tcPr>
            <w:tcW w:w="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094B67" w14:textId="53AF98E6" w:rsidR="00902F53" w:rsidRPr="006D0445" w:rsidRDefault="00902F53" w:rsidP="00902F53">
            <w:pPr>
              <w:spacing w:after="0" w:line="240" w:lineRule="auto"/>
              <w:jc w:val="center"/>
              <w:rPr>
                <w:rFonts w:eastAsia="Calibri"/>
                <w:b/>
                <w:bCs/>
                <w:noProof/>
                <w:color w:val="767171"/>
                <w:sz w:val="22"/>
                <w:szCs w:val="22"/>
              </w:rPr>
            </w:pPr>
            <w:r w:rsidRPr="002F5DC7">
              <w:rPr>
                <w:color w:val="767171"/>
              </w:rPr>
              <w:t>100.00</w:t>
            </w:r>
          </w:p>
        </w:tc>
      </w:tr>
    </w:tbl>
    <w:p w14:paraId="542F9F16" w14:textId="352DFD7C" w:rsidR="00553D0D" w:rsidRPr="006D0445" w:rsidRDefault="00553D0D" w:rsidP="00D95D03">
      <w:pPr>
        <w:pBdr>
          <w:top w:val="nil"/>
          <w:left w:val="nil"/>
          <w:bottom w:val="nil"/>
          <w:right w:val="nil"/>
          <w:between w:val="nil"/>
        </w:pBdr>
        <w:jc w:val="left"/>
        <w:rPr>
          <w:rFonts w:eastAsia="Times New Roman"/>
          <w:color w:val="767171"/>
          <w:sz w:val="18"/>
          <w:szCs w:val="18"/>
        </w:rPr>
      </w:pPr>
      <w:r w:rsidRPr="006D0445">
        <w:rPr>
          <w:rFonts w:eastAsia="Times New Roman"/>
          <w:color w:val="767171"/>
          <w:sz w:val="18"/>
          <w:szCs w:val="18"/>
        </w:rPr>
        <w:t xml:space="preserve">Fuente: Maestro de colaboradores </w:t>
      </w:r>
      <w:r w:rsidR="00902F53">
        <w:rPr>
          <w:rFonts w:eastAsia="Times New Roman"/>
          <w:color w:val="767171"/>
          <w:sz w:val="18"/>
          <w:szCs w:val="18"/>
        </w:rPr>
        <w:t>diciembre</w:t>
      </w:r>
      <w:r w:rsidRPr="006D0445">
        <w:rPr>
          <w:rFonts w:eastAsia="Times New Roman"/>
          <w:color w:val="767171"/>
          <w:sz w:val="18"/>
          <w:szCs w:val="18"/>
        </w:rPr>
        <w:t xml:space="preserve"> </w:t>
      </w:r>
      <w:r w:rsidR="00F2650B" w:rsidRPr="006D0445">
        <w:rPr>
          <w:rFonts w:eastAsia="Times New Roman"/>
          <w:color w:val="767171"/>
          <w:sz w:val="18"/>
          <w:szCs w:val="18"/>
        </w:rPr>
        <w:t>2024</w:t>
      </w:r>
      <w:r w:rsidRPr="006D0445">
        <w:rPr>
          <w:rFonts w:eastAsia="Times New Roman"/>
          <w:color w:val="767171"/>
          <w:sz w:val="18"/>
          <w:szCs w:val="18"/>
        </w:rPr>
        <w:t xml:space="preserve"> (Agatha).</w:t>
      </w:r>
    </w:p>
    <w:p w14:paraId="1396C1E5" w14:textId="77777777" w:rsidR="00902F53" w:rsidRDefault="00902F53" w:rsidP="00902F53">
      <w:pPr>
        <w:rPr>
          <w:color w:val="767171"/>
        </w:rPr>
      </w:pPr>
      <w:r w:rsidRPr="005051A9">
        <w:rPr>
          <w:color w:val="767171"/>
        </w:rPr>
        <w:t>En cuanto a mujeres en posiciones directivas, de doce (12) direcciones, cinco (5) son encabezadas por personal femenino, representado esta distribución el 41.66%. Dicho grupo dirige las siguientes áreas: recursos humanos, planificación y desarrollo, administrativo y financiero, comunicaciones y despacho. Asimismo, la Oficina de Acceso a la Información (</w:t>
      </w:r>
      <w:proofErr w:type="spellStart"/>
      <w:r w:rsidRPr="005051A9">
        <w:rPr>
          <w:color w:val="767171"/>
        </w:rPr>
        <w:t>OAI</w:t>
      </w:r>
      <w:proofErr w:type="spellEnd"/>
      <w:r w:rsidRPr="005051A9">
        <w:rPr>
          <w:color w:val="767171"/>
        </w:rPr>
        <w:t>).</w:t>
      </w:r>
      <w:r>
        <w:rPr>
          <w:color w:val="767171"/>
        </w:rPr>
        <w:t xml:space="preserve"> Se destaca que la escala salarial vigente se aplica a todos los colaboradores indistintamente de su sexo.</w:t>
      </w:r>
    </w:p>
    <w:p w14:paraId="20A4B265" w14:textId="747AAE70" w:rsidR="000F3210" w:rsidRPr="00C448FD" w:rsidRDefault="009B409D" w:rsidP="000F3210">
      <w:pPr>
        <w:pBdr>
          <w:top w:val="nil"/>
          <w:left w:val="nil"/>
          <w:bottom w:val="nil"/>
          <w:right w:val="nil"/>
          <w:between w:val="nil"/>
        </w:pBdr>
        <w:rPr>
          <w:b/>
          <w:bCs/>
          <w:color w:val="767171"/>
        </w:rPr>
      </w:pPr>
      <w:r w:rsidRPr="00C448FD">
        <w:rPr>
          <w:b/>
          <w:bCs/>
          <w:color w:val="767171"/>
        </w:rPr>
        <w:t>Diseño Organizacional</w:t>
      </w:r>
      <w:bookmarkStart w:id="33" w:name="_Hlk138966608"/>
    </w:p>
    <w:p w14:paraId="705FF208" w14:textId="6360E533" w:rsidR="00EC04F0" w:rsidRDefault="009B409D" w:rsidP="00EC04F0">
      <w:pPr>
        <w:pBdr>
          <w:top w:val="nil"/>
          <w:left w:val="nil"/>
          <w:bottom w:val="nil"/>
          <w:right w:val="nil"/>
          <w:between w:val="nil"/>
        </w:pBdr>
        <w:rPr>
          <w:color w:val="767171"/>
        </w:rPr>
      </w:pPr>
      <w:r w:rsidRPr="006D0445">
        <w:rPr>
          <w:color w:val="767171"/>
        </w:rPr>
        <w:t xml:space="preserve">Actualmente de cara a la estandarización y homologación de los procesos, facilitación del proceso de reclutamiento y selección y organización y reforzamiento de las estructuras departamentales, la SIE se encuentra realizando el “Circuito de Revisión de Estructura Organizativa y Actualización de Perfiles”. </w:t>
      </w:r>
    </w:p>
    <w:p w14:paraId="2B0EDB6C" w14:textId="34D5FCB7" w:rsidR="009B409D" w:rsidRPr="006D0445" w:rsidRDefault="009B409D" w:rsidP="000F3210">
      <w:pPr>
        <w:pBdr>
          <w:top w:val="nil"/>
          <w:left w:val="nil"/>
          <w:bottom w:val="nil"/>
          <w:right w:val="nil"/>
          <w:between w:val="nil"/>
        </w:pBdr>
        <w:rPr>
          <w:color w:val="767171"/>
        </w:rPr>
      </w:pPr>
      <w:r w:rsidRPr="006D0445">
        <w:rPr>
          <w:color w:val="767171"/>
        </w:rPr>
        <w:t xml:space="preserve">Al mes de </w:t>
      </w:r>
      <w:r w:rsidR="00BD03A8">
        <w:rPr>
          <w:color w:val="767171"/>
        </w:rPr>
        <w:t>diciembre</w:t>
      </w:r>
      <w:r w:rsidRPr="006D0445">
        <w:rPr>
          <w:color w:val="767171"/>
        </w:rPr>
        <w:t xml:space="preserve"> se cuenta con el </w:t>
      </w:r>
      <w:r w:rsidR="00432464" w:rsidRPr="006D0445">
        <w:rPr>
          <w:color w:val="767171"/>
        </w:rPr>
        <w:t>100</w:t>
      </w:r>
      <w:r w:rsidRPr="006D0445">
        <w:rPr>
          <w:color w:val="767171"/>
        </w:rPr>
        <w:t>% de avance, respecto a lo planificado, representado a través de las siguientes áreas:</w:t>
      </w:r>
    </w:p>
    <w:bookmarkEnd w:id="33"/>
    <w:p w14:paraId="452BE983" w14:textId="77777777" w:rsidR="00432464" w:rsidRPr="006D0445" w:rsidRDefault="00432464" w:rsidP="00AE6336">
      <w:pPr>
        <w:numPr>
          <w:ilvl w:val="0"/>
          <w:numId w:val="11"/>
        </w:numPr>
        <w:rPr>
          <w:color w:val="767171"/>
        </w:rPr>
      </w:pPr>
      <w:r w:rsidRPr="006D0445">
        <w:rPr>
          <w:color w:val="767171"/>
        </w:rPr>
        <w:t>Dirección de Fiscalización de Mercado Eléctrico Minorista.</w:t>
      </w:r>
    </w:p>
    <w:p w14:paraId="07438AAE" w14:textId="5D13BD8F" w:rsidR="00432464" w:rsidRPr="006D0445" w:rsidRDefault="00432464" w:rsidP="00AE6336">
      <w:pPr>
        <w:numPr>
          <w:ilvl w:val="0"/>
          <w:numId w:val="11"/>
        </w:numPr>
        <w:rPr>
          <w:color w:val="767171"/>
        </w:rPr>
      </w:pPr>
      <w:r w:rsidRPr="006D0445">
        <w:rPr>
          <w:color w:val="767171"/>
        </w:rPr>
        <w:t xml:space="preserve">Dirección de Fiscalización de Mercado Eléctrico Mayorista. </w:t>
      </w:r>
    </w:p>
    <w:p w14:paraId="6B98A78C" w14:textId="77777777" w:rsidR="00432464" w:rsidRPr="006D0445" w:rsidRDefault="00432464" w:rsidP="00432464">
      <w:pPr>
        <w:pBdr>
          <w:top w:val="nil"/>
          <w:left w:val="nil"/>
          <w:bottom w:val="nil"/>
          <w:right w:val="nil"/>
          <w:between w:val="nil"/>
        </w:pBdr>
        <w:rPr>
          <w:color w:val="767171"/>
        </w:rPr>
      </w:pPr>
      <w:r w:rsidRPr="006D0445">
        <w:rPr>
          <w:color w:val="767171"/>
        </w:rPr>
        <w:t>En adición se actualizaron los perfiles de la Gerencia de Recursos Jerárquicos, Dirección de Tecnología de la Información y Comunicaciones y Dirección de Despacho.</w:t>
      </w:r>
    </w:p>
    <w:p w14:paraId="02971003" w14:textId="2CA33203" w:rsidR="00E61158" w:rsidRPr="006D0445" w:rsidRDefault="00432464" w:rsidP="00511646">
      <w:pPr>
        <w:pBdr>
          <w:top w:val="nil"/>
          <w:left w:val="nil"/>
          <w:bottom w:val="nil"/>
          <w:right w:val="nil"/>
          <w:between w:val="nil"/>
        </w:pBdr>
        <w:rPr>
          <w:color w:val="767171"/>
        </w:rPr>
      </w:pPr>
      <w:r w:rsidRPr="006D0445">
        <w:rPr>
          <w:color w:val="767171"/>
        </w:rPr>
        <w:t>Igualmente, se destaca la revisión de la estructura organizativa y la actualización de las políticas de Licencias, Permisos y Vacaciones, Capacitación, Nómina, Inducción, Pasantías y el Procedimiento de Cobertura de Puestos SIE.</w:t>
      </w:r>
    </w:p>
    <w:p w14:paraId="2654E99F" w14:textId="17B7D5F0" w:rsidR="00511646" w:rsidRPr="00C448FD" w:rsidRDefault="00511646" w:rsidP="00511646">
      <w:pPr>
        <w:pBdr>
          <w:top w:val="nil"/>
          <w:left w:val="nil"/>
          <w:bottom w:val="nil"/>
          <w:right w:val="nil"/>
          <w:between w:val="nil"/>
        </w:pBdr>
        <w:rPr>
          <w:b/>
          <w:bCs/>
          <w:color w:val="767171"/>
        </w:rPr>
      </w:pPr>
      <w:r w:rsidRPr="00C448FD">
        <w:rPr>
          <w:b/>
          <w:bCs/>
          <w:color w:val="767171"/>
        </w:rPr>
        <w:t>Capacitación y Desarrollo</w:t>
      </w:r>
    </w:p>
    <w:p w14:paraId="3F401843" w14:textId="071C28E7" w:rsidR="008A1A95" w:rsidRDefault="00432464" w:rsidP="00432464">
      <w:pPr>
        <w:pBdr>
          <w:top w:val="nil"/>
          <w:left w:val="nil"/>
          <w:bottom w:val="nil"/>
          <w:right w:val="nil"/>
          <w:between w:val="nil"/>
        </w:pBdr>
        <w:rPr>
          <w:color w:val="767171"/>
        </w:rPr>
      </w:pPr>
      <w:r w:rsidRPr="006D0445">
        <w:rPr>
          <w:color w:val="767171"/>
        </w:rPr>
        <w:t xml:space="preserve">En cuanto al desarrollo de competencias para garantizar la correcta protección de los usuarios/ciudadanos y para fortalecer las competencias conductuales especificadas en el Manual de Cargos, a la fecha se han impartido </w:t>
      </w:r>
      <w:r w:rsidR="00902F53" w:rsidRPr="00C046D7">
        <w:rPr>
          <w:color w:val="767171"/>
        </w:rPr>
        <w:t>ciento veinticuatro (124)</w:t>
      </w:r>
      <w:r w:rsidR="00902F53">
        <w:rPr>
          <w:color w:val="767171"/>
        </w:rPr>
        <w:t xml:space="preserve"> </w:t>
      </w:r>
      <w:r w:rsidRPr="006D0445">
        <w:rPr>
          <w:color w:val="767171"/>
        </w:rPr>
        <w:t xml:space="preserve">acciones formativas, impactando a </w:t>
      </w:r>
      <w:r w:rsidR="00902F53" w:rsidRPr="00C046D7">
        <w:rPr>
          <w:color w:val="767171"/>
        </w:rPr>
        <w:t>quinientos sesenta y ocho (568)</w:t>
      </w:r>
      <w:r w:rsidRPr="006D0445">
        <w:rPr>
          <w:color w:val="767171"/>
        </w:rPr>
        <w:t xml:space="preserve"> colaboradores con un nivel de satisfacción de 92%. Asimismo, como parte del enfoque en el fortalecimiento de los conocimientos técnicos y el aprovechamiento máximo de las habilidades de los colaboradores, se han otorgado dieciocho (18) becas de estudios a nivel de grado y postgrado.</w:t>
      </w:r>
    </w:p>
    <w:p w14:paraId="3BA761CC" w14:textId="5E455244" w:rsidR="00EC04F0" w:rsidRDefault="006F5774" w:rsidP="006F5774">
      <w:pPr>
        <w:pBdr>
          <w:top w:val="nil"/>
          <w:left w:val="nil"/>
          <w:bottom w:val="nil"/>
          <w:right w:val="nil"/>
          <w:between w:val="nil"/>
        </w:pBdr>
        <w:rPr>
          <w:color w:val="767171"/>
        </w:rPr>
      </w:pPr>
      <w:r w:rsidRPr="006D0445">
        <w:rPr>
          <w:color w:val="767171"/>
        </w:rPr>
        <w:lastRenderedPageBreak/>
        <w:t>Igualmente, se encuentra desarrollando el “Programa de Habilidades Directivas”, a los fines de dotar a los lideres de las herramientas necesarias para enfrentar los desafíos del sector eléctrico dominicano, contribuyendo así al éxito y sostenibilidad de la organización.</w:t>
      </w:r>
    </w:p>
    <w:p w14:paraId="29653583" w14:textId="5531B7B7" w:rsidR="00511646" w:rsidRPr="00C448FD" w:rsidRDefault="00511646" w:rsidP="00511646">
      <w:pPr>
        <w:pBdr>
          <w:top w:val="nil"/>
          <w:left w:val="nil"/>
          <w:bottom w:val="nil"/>
          <w:right w:val="nil"/>
          <w:between w:val="nil"/>
        </w:pBdr>
        <w:rPr>
          <w:b/>
          <w:bCs/>
          <w:color w:val="767171"/>
        </w:rPr>
      </w:pPr>
      <w:r w:rsidRPr="00C448FD">
        <w:rPr>
          <w:b/>
          <w:bCs/>
          <w:color w:val="767171"/>
        </w:rPr>
        <w:t>Seguridad y Salud Ocupacional</w:t>
      </w:r>
    </w:p>
    <w:p w14:paraId="2AC2B370" w14:textId="4FE023AD" w:rsidR="00511646" w:rsidRPr="006D0445" w:rsidRDefault="00511646" w:rsidP="00511646">
      <w:pPr>
        <w:pBdr>
          <w:top w:val="nil"/>
          <w:left w:val="nil"/>
          <w:bottom w:val="nil"/>
          <w:right w:val="nil"/>
          <w:between w:val="nil"/>
        </w:pBdr>
        <w:rPr>
          <w:color w:val="767171"/>
        </w:rPr>
      </w:pPr>
      <w:r w:rsidRPr="006D0445">
        <w:rPr>
          <w:color w:val="767171"/>
        </w:rPr>
        <w:t xml:space="preserve">En el </w:t>
      </w:r>
      <w:r w:rsidR="00F2650B" w:rsidRPr="006D0445">
        <w:rPr>
          <w:color w:val="767171"/>
        </w:rPr>
        <w:t>2024</w:t>
      </w:r>
      <w:r w:rsidRPr="006D0445">
        <w:rPr>
          <w:color w:val="767171"/>
        </w:rPr>
        <w:t>, se reestructuró el Comité Mixto de Seguridad y Salud en el Trabajo, destacándose las siguientes actividades: conformación de las brigadas de emergencias, análisis de riesgos y peligros, actualización de la documentación en materia de seguridad, realización de simulacro de evacuación, además de implementarse otras medidas de mitigación como inspecciones de seguridad a nivel nacional</w:t>
      </w:r>
      <w:r w:rsidR="006F5774" w:rsidRPr="006D0445">
        <w:rPr>
          <w:color w:val="767171"/>
        </w:rPr>
        <w:t xml:space="preserve">. Se realizaron operativos de organización y limpieza en distintos puntos de la organización a nivel nacional, análisis de riesgos y peligros (minimización de riesgos eléctricos) en el archivo documental de la oficina principal de Protecom, ubicada en el edificio Doctor Rafael </w:t>
      </w:r>
      <w:proofErr w:type="spellStart"/>
      <w:r w:rsidR="006F5774" w:rsidRPr="006D0445">
        <w:rPr>
          <w:color w:val="767171"/>
        </w:rPr>
        <w:t>Kasse</w:t>
      </w:r>
      <w:proofErr w:type="spellEnd"/>
      <w:r w:rsidR="006F5774" w:rsidRPr="006D0445">
        <w:rPr>
          <w:color w:val="767171"/>
        </w:rPr>
        <w:t xml:space="preserve"> Acta y en uno de los almacenes de la institución ubicado en el KM 13. Se realizaron acciones formativas en </w:t>
      </w:r>
      <w:proofErr w:type="spellStart"/>
      <w:r w:rsidR="006F5774" w:rsidRPr="006D0445">
        <w:rPr>
          <w:color w:val="767171"/>
        </w:rPr>
        <w:t>SIGOS</w:t>
      </w:r>
      <w:proofErr w:type="spellEnd"/>
      <w:r w:rsidR="006F5774" w:rsidRPr="006D0445">
        <w:rPr>
          <w:color w:val="767171"/>
        </w:rPr>
        <w:t xml:space="preserve">, extinción de incendios, primeros auxilios, señales de alerta de posibles eventos cardíacos o cerebrovasculares, gestión de riesgos para las temporadas de huracanes y prevención de cáncer de mama. En adición se participó en el Simulacro Nacional de Evacuación realizado el 23 de octubre de 2024 y se obtuvieron las siguientes certificaciones: Espacio </w:t>
      </w:r>
      <w:r w:rsidR="00BC5F4A" w:rsidRPr="006D0445">
        <w:rPr>
          <w:color w:val="767171"/>
        </w:rPr>
        <w:t>Cardio protegido</w:t>
      </w:r>
      <w:r w:rsidR="006F5774" w:rsidRPr="006D0445">
        <w:rPr>
          <w:color w:val="767171"/>
        </w:rPr>
        <w:t xml:space="preserve"> y Protección Contra Incendios.</w:t>
      </w:r>
    </w:p>
    <w:p w14:paraId="339CA92A" w14:textId="77777777" w:rsidR="00B1756E" w:rsidRPr="006D0445" w:rsidRDefault="00B1756E" w:rsidP="00B1756E">
      <w:pPr>
        <w:pBdr>
          <w:top w:val="nil"/>
          <w:left w:val="nil"/>
          <w:bottom w:val="nil"/>
          <w:right w:val="nil"/>
          <w:between w:val="nil"/>
        </w:pBdr>
        <w:rPr>
          <w:color w:val="767171"/>
        </w:rPr>
      </w:pPr>
      <w:r w:rsidRPr="006D0445">
        <w:rPr>
          <w:color w:val="767171"/>
        </w:rPr>
        <w:t xml:space="preserve">Otras de las iniciativas institucionales es el Programa de Pasantía SIE; en el periodo enero - noviembre 2024, contó con la participación de veintisiete (27) pasantes de quince (15) entidades educativas, entre ellas:  universidades, centros de formación técnico-profesional (INFOTEP e </w:t>
      </w:r>
      <w:proofErr w:type="spellStart"/>
      <w:r w:rsidRPr="006D0445">
        <w:rPr>
          <w:color w:val="767171"/>
        </w:rPr>
        <w:t>ITLA</w:t>
      </w:r>
      <w:proofErr w:type="spellEnd"/>
      <w:r w:rsidRPr="006D0445">
        <w:rPr>
          <w:color w:val="767171"/>
        </w:rPr>
        <w:t>) y Politécnicos, los cuales han realizado su pasantía en la organización. Con esta acción contribuimos con la adquisición de experiencia laboral, mediante el traspaso de primeros aprendizajes y desarrollo de nuevas habilidades; interacción con colaboradores diversos con quienes puedan compartir la profesión que estudian y vivencias en el órgano regulador de cara a la protección de los derechos de los ciudadanos.</w:t>
      </w:r>
    </w:p>
    <w:p w14:paraId="1C1290D8" w14:textId="77777777" w:rsidR="00B1756E" w:rsidRPr="006D0445" w:rsidRDefault="00B1756E" w:rsidP="00B1756E">
      <w:pPr>
        <w:pBdr>
          <w:top w:val="nil"/>
          <w:left w:val="nil"/>
          <w:bottom w:val="nil"/>
          <w:right w:val="nil"/>
          <w:between w:val="nil"/>
        </w:pBdr>
        <w:rPr>
          <w:color w:val="767171"/>
        </w:rPr>
      </w:pPr>
      <w:r w:rsidRPr="006D0445">
        <w:rPr>
          <w:color w:val="767171"/>
        </w:rPr>
        <w:t xml:space="preserve">Como parte del fortalecimiento institucional se destacan los siguientes proyectos: </w:t>
      </w:r>
    </w:p>
    <w:p w14:paraId="0F4B671E" w14:textId="77777777" w:rsidR="00B1756E" w:rsidRPr="006D0445" w:rsidRDefault="00B1756E" w:rsidP="00AE6336">
      <w:pPr>
        <w:numPr>
          <w:ilvl w:val="0"/>
          <w:numId w:val="21"/>
        </w:numPr>
        <w:pBdr>
          <w:top w:val="nil"/>
          <w:left w:val="nil"/>
          <w:bottom w:val="nil"/>
          <w:right w:val="nil"/>
          <w:between w:val="nil"/>
        </w:pBdr>
        <w:rPr>
          <w:color w:val="767171"/>
        </w:rPr>
      </w:pPr>
      <w:r w:rsidRPr="006D0445">
        <w:rPr>
          <w:color w:val="767171"/>
        </w:rPr>
        <w:t>Implementación del programa Cultura de Servicios</w:t>
      </w:r>
    </w:p>
    <w:p w14:paraId="5ABFA9A9" w14:textId="77777777" w:rsidR="00B1756E" w:rsidRPr="006D0445" w:rsidRDefault="00B1756E" w:rsidP="00AE6336">
      <w:pPr>
        <w:numPr>
          <w:ilvl w:val="0"/>
          <w:numId w:val="21"/>
        </w:numPr>
        <w:pBdr>
          <w:top w:val="nil"/>
          <w:left w:val="nil"/>
          <w:bottom w:val="nil"/>
          <w:right w:val="nil"/>
          <w:between w:val="nil"/>
        </w:pBdr>
        <w:rPr>
          <w:color w:val="767171"/>
        </w:rPr>
      </w:pPr>
      <w:r w:rsidRPr="006D0445">
        <w:rPr>
          <w:color w:val="767171"/>
        </w:rPr>
        <w:t>Plataforma E-Learning (cursos técnicos y de habilidades blandas) “Espacio de Aprendizaje Integral SIE”.</w:t>
      </w:r>
    </w:p>
    <w:p w14:paraId="05DCA857" w14:textId="25A1A8A7" w:rsidR="00BD03A8" w:rsidRDefault="00B1756E" w:rsidP="00AE6336">
      <w:pPr>
        <w:numPr>
          <w:ilvl w:val="0"/>
          <w:numId w:val="21"/>
        </w:numPr>
        <w:pBdr>
          <w:top w:val="nil"/>
          <w:left w:val="nil"/>
          <w:bottom w:val="nil"/>
          <w:right w:val="nil"/>
          <w:between w:val="nil"/>
        </w:pBdr>
        <w:rPr>
          <w:color w:val="767171"/>
        </w:rPr>
      </w:pPr>
      <w:r w:rsidRPr="006D0445">
        <w:rPr>
          <w:color w:val="767171"/>
        </w:rPr>
        <w:t xml:space="preserve">Robustecimiento Sistema de Desempeño y cierre del “Circuito de Revisión de Estructura Organizativa y Actualización de Perfiles” acorde a lo planificado para este año. </w:t>
      </w:r>
    </w:p>
    <w:p w14:paraId="45CFCE48" w14:textId="77777777" w:rsidR="00BD03A8" w:rsidRDefault="00BD03A8">
      <w:pPr>
        <w:spacing w:line="259" w:lineRule="auto"/>
        <w:jc w:val="left"/>
        <w:rPr>
          <w:color w:val="767171"/>
        </w:rPr>
      </w:pPr>
      <w:r>
        <w:rPr>
          <w:color w:val="767171"/>
        </w:rPr>
        <w:br w:type="page"/>
      </w:r>
    </w:p>
    <w:p w14:paraId="7D32D350" w14:textId="77777777" w:rsidR="00B1756E" w:rsidRPr="006D0445" w:rsidRDefault="00B1756E" w:rsidP="00B1756E">
      <w:pPr>
        <w:pBdr>
          <w:top w:val="nil"/>
          <w:left w:val="nil"/>
          <w:bottom w:val="nil"/>
          <w:right w:val="nil"/>
          <w:between w:val="nil"/>
        </w:pBdr>
        <w:rPr>
          <w:color w:val="767171"/>
        </w:rPr>
      </w:pPr>
      <w:r w:rsidRPr="006D0445">
        <w:rPr>
          <w:color w:val="767171"/>
        </w:rPr>
        <w:lastRenderedPageBreak/>
        <w:t>Igualmente, se aplicó la encuesta de clima en la institución obteniendo como resultado un 84% de satisfacción. En la actualidad se desarrolla el Plan de Salud y Bienestar Integral enfocado en mantener un clima favorable que abarque el desarrollo de los colaboradores en todas sus dimensiones: física y emocional.</w:t>
      </w:r>
    </w:p>
    <w:p w14:paraId="6A40874E" w14:textId="74687F06" w:rsidR="00C46EF4" w:rsidRPr="00C448FD" w:rsidRDefault="00C46EF4" w:rsidP="00C46EF4">
      <w:pPr>
        <w:rPr>
          <w:b/>
          <w:bCs/>
          <w:color w:val="767171"/>
        </w:rPr>
      </w:pPr>
      <w:r w:rsidRPr="00C448FD">
        <w:rPr>
          <w:b/>
          <w:bCs/>
          <w:color w:val="767171"/>
        </w:rPr>
        <w:t xml:space="preserve">Análisis de resultados del </w:t>
      </w:r>
      <w:proofErr w:type="spellStart"/>
      <w:r w:rsidRPr="00C448FD">
        <w:rPr>
          <w:b/>
          <w:bCs/>
          <w:color w:val="767171"/>
        </w:rPr>
        <w:t>SISMAP</w:t>
      </w:r>
      <w:proofErr w:type="spellEnd"/>
    </w:p>
    <w:p w14:paraId="70375463" w14:textId="6F557823" w:rsidR="00E61158" w:rsidRPr="006D0445" w:rsidRDefault="00C46EF4" w:rsidP="00E61158">
      <w:pPr>
        <w:rPr>
          <w:color w:val="767171"/>
        </w:rPr>
      </w:pPr>
      <w:r w:rsidRPr="006D0445">
        <w:rPr>
          <w:color w:val="767171"/>
        </w:rPr>
        <w:t>Con relación al cumplimiento del Sistema de Monitoreo de la Administración Pública (</w:t>
      </w:r>
      <w:proofErr w:type="spellStart"/>
      <w:r w:rsidRPr="006D0445">
        <w:rPr>
          <w:color w:val="767171"/>
        </w:rPr>
        <w:t>SISMAP</w:t>
      </w:r>
      <w:proofErr w:type="spellEnd"/>
      <w:r w:rsidRPr="006D0445">
        <w:rPr>
          <w:color w:val="767171"/>
        </w:rPr>
        <w:t xml:space="preserve">), al mes de </w:t>
      </w:r>
      <w:r w:rsidR="00902F53">
        <w:rPr>
          <w:color w:val="767171"/>
        </w:rPr>
        <w:t>diciembre</w:t>
      </w:r>
      <w:r w:rsidRPr="006D0445">
        <w:rPr>
          <w:color w:val="767171"/>
        </w:rPr>
        <w:t xml:space="preserve"> la Superintendencia de Electricidad tiene una puntuación general de </w:t>
      </w:r>
      <w:bookmarkEnd w:id="31"/>
      <w:r w:rsidR="00902F53" w:rsidRPr="00C046D7">
        <w:rPr>
          <w:color w:val="767171"/>
        </w:rPr>
        <w:t>41.6%.</w:t>
      </w:r>
    </w:p>
    <w:p w14:paraId="287984C0" w14:textId="254003B8" w:rsidR="009D3B35" w:rsidRPr="00C448FD" w:rsidRDefault="009D3B35" w:rsidP="006B3671">
      <w:pPr>
        <w:pStyle w:val="Ttulo2"/>
        <w:rPr>
          <w:sz w:val="28"/>
          <w:szCs w:val="24"/>
        </w:rPr>
      </w:pPr>
      <w:bookmarkStart w:id="34" w:name="_Toc186147722"/>
      <w:r w:rsidRPr="00C448FD">
        <w:rPr>
          <w:sz w:val="28"/>
          <w:szCs w:val="24"/>
        </w:rPr>
        <w:t>Desempeño de los Procesos Jurídicos</w:t>
      </w:r>
      <w:bookmarkEnd w:id="34"/>
      <w:r w:rsidRPr="00C448FD">
        <w:rPr>
          <w:sz w:val="28"/>
          <w:szCs w:val="24"/>
        </w:rPr>
        <w:t xml:space="preserve"> </w:t>
      </w:r>
    </w:p>
    <w:p w14:paraId="7D36B6A2" w14:textId="648F64C6" w:rsidR="00974F68" w:rsidRPr="006D0445" w:rsidRDefault="00500597" w:rsidP="00625D43">
      <w:pPr>
        <w:rPr>
          <w:color w:val="767171"/>
        </w:rPr>
      </w:pPr>
      <w:r w:rsidRPr="006D0445">
        <w:rPr>
          <w:color w:val="767171"/>
        </w:rPr>
        <w:t>En cuanto a</w:t>
      </w:r>
      <w:r w:rsidR="006D3DB6" w:rsidRPr="006D0445">
        <w:rPr>
          <w:color w:val="767171"/>
        </w:rPr>
        <w:t>l</w:t>
      </w:r>
      <w:r w:rsidRPr="006D0445">
        <w:rPr>
          <w:color w:val="767171"/>
        </w:rPr>
        <w:t xml:space="preserve"> desempeño </w:t>
      </w:r>
      <w:r w:rsidR="006D3DB6" w:rsidRPr="006D0445">
        <w:rPr>
          <w:color w:val="767171"/>
        </w:rPr>
        <w:t xml:space="preserve">de los asuntos de naturaleza </w:t>
      </w:r>
      <w:r w:rsidRPr="006D0445">
        <w:rPr>
          <w:color w:val="767171"/>
        </w:rPr>
        <w:t>legal</w:t>
      </w:r>
      <w:r w:rsidR="006D3DB6" w:rsidRPr="006D0445">
        <w:rPr>
          <w:color w:val="767171"/>
        </w:rPr>
        <w:t xml:space="preserve">, durante el año </w:t>
      </w:r>
      <w:r w:rsidR="00F2650B" w:rsidRPr="006D0445">
        <w:rPr>
          <w:color w:val="767171"/>
        </w:rPr>
        <w:t>2024</w:t>
      </w:r>
      <w:r w:rsidR="006D3DB6" w:rsidRPr="006D0445">
        <w:rPr>
          <w:color w:val="767171"/>
        </w:rPr>
        <w:t xml:space="preserve"> en la Superintendencia de Electricidad los procesos y ejecutoria</w:t>
      </w:r>
      <w:r w:rsidR="008443CB" w:rsidRPr="006D0445">
        <w:rPr>
          <w:color w:val="767171"/>
        </w:rPr>
        <w:t>s se realizaron enmarcados en las</w:t>
      </w:r>
      <w:r w:rsidR="00D76FCA" w:rsidRPr="006D0445">
        <w:rPr>
          <w:color w:val="767171"/>
        </w:rPr>
        <w:t xml:space="preserve"> siguientes unidades: </w:t>
      </w:r>
      <w:r w:rsidR="000349FD" w:rsidRPr="006D0445">
        <w:rPr>
          <w:color w:val="767171"/>
        </w:rPr>
        <w:t>i</w:t>
      </w:r>
      <w:r w:rsidR="00D76FCA" w:rsidRPr="006D0445">
        <w:rPr>
          <w:color w:val="767171"/>
        </w:rPr>
        <w:t xml:space="preserve">) Autorizaciones y concesiones: </w:t>
      </w:r>
      <w:proofErr w:type="spellStart"/>
      <w:r w:rsidR="000349FD" w:rsidRPr="006D0445">
        <w:rPr>
          <w:color w:val="767171"/>
        </w:rPr>
        <w:t>ii</w:t>
      </w:r>
      <w:proofErr w:type="spellEnd"/>
      <w:r w:rsidR="00D76FCA" w:rsidRPr="006D0445">
        <w:rPr>
          <w:color w:val="767171"/>
        </w:rPr>
        <w:t xml:space="preserve">) Asuntos regulatorios; </w:t>
      </w:r>
      <w:proofErr w:type="spellStart"/>
      <w:r w:rsidR="000349FD" w:rsidRPr="006D0445">
        <w:rPr>
          <w:color w:val="767171"/>
        </w:rPr>
        <w:t>iii</w:t>
      </w:r>
      <w:proofErr w:type="spellEnd"/>
      <w:r w:rsidR="00D76FCA" w:rsidRPr="006D0445">
        <w:rPr>
          <w:color w:val="767171"/>
        </w:rPr>
        <w:t xml:space="preserve">) Contratos y licitaciones; </w:t>
      </w:r>
      <w:proofErr w:type="spellStart"/>
      <w:r w:rsidR="000349FD" w:rsidRPr="006D0445">
        <w:rPr>
          <w:color w:val="767171"/>
        </w:rPr>
        <w:t>iv</w:t>
      </w:r>
      <w:proofErr w:type="spellEnd"/>
      <w:r w:rsidR="00D76FCA" w:rsidRPr="006D0445">
        <w:rPr>
          <w:color w:val="767171"/>
        </w:rPr>
        <w:t>) Litigios</w:t>
      </w:r>
      <w:r w:rsidR="00C62CF6" w:rsidRPr="006D0445">
        <w:rPr>
          <w:color w:val="767171"/>
        </w:rPr>
        <w:t>; v) Sanciones.</w:t>
      </w:r>
    </w:p>
    <w:p w14:paraId="06A9C943" w14:textId="77777777" w:rsidR="00C62CF6" w:rsidRPr="00C448FD" w:rsidRDefault="00C62CF6" w:rsidP="00C62CF6">
      <w:pPr>
        <w:rPr>
          <w:b/>
          <w:color w:val="767171"/>
        </w:rPr>
      </w:pPr>
      <w:r w:rsidRPr="00C448FD">
        <w:rPr>
          <w:b/>
          <w:color w:val="767171"/>
        </w:rPr>
        <w:t>Autorizaciones y Concesiones</w:t>
      </w:r>
    </w:p>
    <w:p w14:paraId="3A9ABB79" w14:textId="503B3FE1" w:rsidR="00C62CF6" w:rsidRPr="006D0445" w:rsidRDefault="00C62CF6" w:rsidP="00C62CF6">
      <w:pPr>
        <w:rPr>
          <w:color w:val="767171"/>
        </w:rPr>
      </w:pPr>
      <w:r w:rsidRPr="006D0445">
        <w:rPr>
          <w:color w:val="767171"/>
        </w:rPr>
        <w:t xml:space="preserve">Se tramitaron los correspondientes Informes Técnicos–Legales y propuestas de Resoluciones para el otorgamiento de </w:t>
      </w:r>
      <w:r w:rsidR="00676259" w:rsidRPr="006D0445">
        <w:rPr>
          <w:color w:val="767171"/>
        </w:rPr>
        <w:t xml:space="preserve">diez </w:t>
      </w:r>
      <w:r w:rsidRPr="006D0445">
        <w:rPr>
          <w:color w:val="767171"/>
        </w:rPr>
        <w:t>(</w:t>
      </w:r>
      <w:r w:rsidR="00676259" w:rsidRPr="006D0445">
        <w:rPr>
          <w:color w:val="767171"/>
        </w:rPr>
        <w:t>10</w:t>
      </w:r>
      <w:r w:rsidRPr="006D0445">
        <w:rPr>
          <w:color w:val="767171"/>
        </w:rPr>
        <w:t>) Autorizaciones para el Ejercicio de la Condición de Usuario No Regulado y una (01) Autorización de renuncia a la referida condición de UNR.</w:t>
      </w:r>
    </w:p>
    <w:p w14:paraId="5D16EA45" w14:textId="6C8DDED0" w:rsidR="00C62CF6" w:rsidRPr="006D0445" w:rsidRDefault="00C62CF6" w:rsidP="00C62CF6">
      <w:pPr>
        <w:rPr>
          <w:color w:val="767171"/>
        </w:rPr>
      </w:pPr>
      <w:r w:rsidRPr="006D0445">
        <w:rPr>
          <w:color w:val="767171"/>
        </w:rPr>
        <w:t xml:space="preserve">De igual manera, se procedió a la tramitación de </w:t>
      </w:r>
      <w:r w:rsidR="00676259" w:rsidRPr="006D0445">
        <w:rPr>
          <w:rFonts w:eastAsia="Calibri"/>
          <w:color w:val="767171"/>
        </w:rPr>
        <w:t xml:space="preserve">veintitrés (23) </w:t>
      </w:r>
      <w:r w:rsidRPr="006D0445">
        <w:rPr>
          <w:color w:val="767171"/>
        </w:rPr>
        <w:t>recomendaciones sobre Concesiones Definitivas a la Comisión Nacional de Energía, destacándose el Proyecto correspondiente a la obra de generación “Parque Energético Los Minas”, ubicada en la Avenida Venezuela, Sector Los Minas, Provincia Santo Domingo Este, República Dominicana.</w:t>
      </w:r>
    </w:p>
    <w:p w14:paraId="532646B0" w14:textId="154492E0" w:rsidR="00C62CF6" w:rsidRPr="006D0445" w:rsidRDefault="00C62CF6" w:rsidP="00C62CF6">
      <w:pPr>
        <w:rPr>
          <w:color w:val="767171"/>
        </w:rPr>
      </w:pPr>
      <w:r w:rsidRPr="006D0445">
        <w:rPr>
          <w:color w:val="767171"/>
        </w:rPr>
        <w:t xml:space="preserve">Asimismo, se aprobaron cuatro (4) Autorizaciones para la transferencia de concesiones definitivas y la elaboración </w:t>
      </w:r>
      <w:r w:rsidR="00467407" w:rsidRPr="006D0445">
        <w:rPr>
          <w:color w:val="767171"/>
        </w:rPr>
        <w:t>de una</w:t>
      </w:r>
      <w:r w:rsidR="00E9160D" w:rsidRPr="006D0445">
        <w:rPr>
          <w:color w:val="767171"/>
        </w:rPr>
        <w:t xml:space="preserve"> </w:t>
      </w:r>
      <w:r w:rsidRPr="006D0445">
        <w:rPr>
          <w:color w:val="767171"/>
        </w:rPr>
        <w:t>(01) resolución administrativa.</w:t>
      </w:r>
    </w:p>
    <w:p w14:paraId="7E729DCF" w14:textId="77777777" w:rsidR="00C62CF6" w:rsidRPr="006D0445" w:rsidRDefault="00C62CF6" w:rsidP="00C62CF6">
      <w:pPr>
        <w:rPr>
          <w:color w:val="767171"/>
        </w:rPr>
      </w:pPr>
      <w:r w:rsidRPr="006D0445">
        <w:rPr>
          <w:color w:val="767171"/>
        </w:rPr>
        <w:t>Cabe resaltar que, de los procesos de Concesiones Definitivas tramitadas, la mayoría resultaron ser favorables y versaron sobre proyectos de Energía Renovable.</w:t>
      </w:r>
    </w:p>
    <w:p w14:paraId="461573D4" w14:textId="40095AC4" w:rsidR="00E61158" w:rsidRPr="006D0445" w:rsidRDefault="00C62CF6" w:rsidP="00E61158">
      <w:pPr>
        <w:rPr>
          <w:color w:val="767171"/>
        </w:rPr>
      </w:pPr>
      <w:r w:rsidRPr="006D0445">
        <w:rPr>
          <w:color w:val="767171"/>
        </w:rPr>
        <w:t>También fueron procesados ocho (08) permisos de Interconexión Provisional de Obras Eléctricas (</w:t>
      </w:r>
      <w:proofErr w:type="spellStart"/>
      <w:r w:rsidRPr="006D0445">
        <w:rPr>
          <w:color w:val="767171"/>
        </w:rPr>
        <w:t>PIP</w:t>
      </w:r>
      <w:proofErr w:type="spellEnd"/>
      <w:r w:rsidRPr="006D0445">
        <w:rPr>
          <w:color w:val="767171"/>
        </w:rPr>
        <w:t>), los Permisos Adicionales (</w:t>
      </w:r>
      <w:proofErr w:type="spellStart"/>
      <w:r w:rsidRPr="006D0445">
        <w:rPr>
          <w:color w:val="767171"/>
        </w:rPr>
        <w:t>PIP</w:t>
      </w:r>
      <w:proofErr w:type="spellEnd"/>
      <w:r w:rsidRPr="006D0445">
        <w:rPr>
          <w:color w:val="767171"/>
        </w:rPr>
        <w:t xml:space="preserve"> Adicionales) correspondientes, así como las autorizaciones de Puesta en Servicios de Obras Eléctricas (PSD) y de continuidad de trabajos en línea de transmisión.</w:t>
      </w:r>
      <w:r w:rsidR="00E61158" w:rsidRPr="006D0445">
        <w:rPr>
          <w:color w:val="767171"/>
        </w:rPr>
        <w:br w:type="page"/>
      </w:r>
    </w:p>
    <w:p w14:paraId="3CB2057B" w14:textId="0ABAFEF3" w:rsidR="0035730C" w:rsidRPr="00C448FD" w:rsidRDefault="0035730C" w:rsidP="0035730C">
      <w:pPr>
        <w:jc w:val="left"/>
        <w:rPr>
          <w:b/>
          <w:bCs/>
          <w:color w:val="767171"/>
        </w:rPr>
      </w:pPr>
      <w:r w:rsidRPr="00C448FD">
        <w:rPr>
          <w:b/>
          <w:bCs/>
          <w:color w:val="767171"/>
        </w:rPr>
        <w:lastRenderedPageBreak/>
        <w:t>Asuntos Regulatorios</w:t>
      </w:r>
    </w:p>
    <w:p w14:paraId="3E951528" w14:textId="40859243" w:rsidR="00C62CF6" w:rsidRPr="006D0445" w:rsidRDefault="00C62CF6" w:rsidP="00C62CF6">
      <w:pPr>
        <w:rPr>
          <w:color w:val="767171"/>
        </w:rPr>
      </w:pPr>
      <w:r w:rsidRPr="006D0445">
        <w:rPr>
          <w:color w:val="767171"/>
        </w:rPr>
        <w:t xml:space="preserve">En relación con las acciones para reglamentar y regularizar el comportamiento de los agentes del mercado del Sub-Sector Eléctrico, fueron instrumentados y tramitados al Consejo SIE la fijación de tarifas mensuales para las Empresas Distribuidoras </w:t>
      </w:r>
      <w:r w:rsidR="00BC5F4A" w:rsidRPr="006D0445">
        <w:rPr>
          <w:color w:val="767171"/>
        </w:rPr>
        <w:t xml:space="preserve">Compañía </w:t>
      </w:r>
      <w:r w:rsidR="00BC5F4A">
        <w:rPr>
          <w:color w:val="767171"/>
        </w:rPr>
        <w:t>d</w:t>
      </w:r>
      <w:r w:rsidR="00BC5F4A" w:rsidRPr="006D0445">
        <w:rPr>
          <w:color w:val="767171"/>
        </w:rPr>
        <w:t xml:space="preserve">e Luz </w:t>
      </w:r>
      <w:r w:rsidR="00BC5F4A">
        <w:rPr>
          <w:color w:val="767171"/>
        </w:rPr>
        <w:t>y</w:t>
      </w:r>
      <w:r w:rsidR="00BC5F4A" w:rsidRPr="006D0445">
        <w:rPr>
          <w:color w:val="767171"/>
        </w:rPr>
        <w:t xml:space="preserve"> Fuerza De Las Terrenas, El Progreso </w:t>
      </w:r>
      <w:r w:rsidR="00BC5F4A">
        <w:rPr>
          <w:color w:val="767171"/>
        </w:rPr>
        <w:t>d</w:t>
      </w:r>
      <w:r w:rsidR="00BC5F4A" w:rsidRPr="006D0445">
        <w:rPr>
          <w:color w:val="767171"/>
        </w:rPr>
        <w:t xml:space="preserve">el Limón, </w:t>
      </w:r>
      <w:proofErr w:type="spellStart"/>
      <w:r w:rsidR="00BC5F4A" w:rsidRPr="006D0445">
        <w:rPr>
          <w:color w:val="767171"/>
        </w:rPr>
        <w:t>S.R.L</w:t>
      </w:r>
      <w:proofErr w:type="spellEnd"/>
      <w:r w:rsidR="00BC5F4A" w:rsidRPr="006D0445">
        <w:rPr>
          <w:color w:val="767171"/>
        </w:rPr>
        <w:t>., Tarifas Trimestrales Empresas Distribuidoras (</w:t>
      </w:r>
      <w:proofErr w:type="spellStart"/>
      <w:r w:rsidR="00BC5F4A" w:rsidRPr="006D0445">
        <w:rPr>
          <w:color w:val="767171"/>
        </w:rPr>
        <w:t>EDENORTE</w:t>
      </w:r>
      <w:proofErr w:type="spellEnd"/>
      <w:r w:rsidR="00BC5F4A" w:rsidRPr="006D0445">
        <w:rPr>
          <w:color w:val="767171"/>
        </w:rPr>
        <w:t xml:space="preserve">, EDESUR </w:t>
      </w:r>
      <w:proofErr w:type="spellStart"/>
      <w:r w:rsidR="00BC5F4A" w:rsidRPr="006D0445">
        <w:rPr>
          <w:color w:val="767171"/>
        </w:rPr>
        <w:t>EDEESTE</w:t>
      </w:r>
      <w:proofErr w:type="spellEnd"/>
      <w:r w:rsidR="00BC5F4A" w:rsidRPr="006D0445">
        <w:rPr>
          <w:color w:val="767171"/>
        </w:rPr>
        <w:t xml:space="preserve">), Tarifa Trimestral Movilidad Eléctrica </w:t>
      </w:r>
      <w:r w:rsidR="00BC5F4A">
        <w:rPr>
          <w:color w:val="767171"/>
        </w:rPr>
        <w:t>y</w:t>
      </w:r>
      <w:r w:rsidR="00BC5F4A" w:rsidRPr="006D0445">
        <w:rPr>
          <w:color w:val="767171"/>
        </w:rPr>
        <w:t xml:space="preserve"> Fijación Tarifa Puerto Plata Electricidad </w:t>
      </w:r>
      <w:r w:rsidRPr="006D0445">
        <w:rPr>
          <w:color w:val="767171"/>
        </w:rPr>
        <w:t>S.A.S., correspondientes a los Usuarios finales o Clientes sometidos a regulación de precios, resultando dictados los actos administrativos correspondientes durante el referido periodo, así como la elaboración de resoluciones y reglamentos técnicos, certificaciones, opiniones, consultas regulatorios y, por igual la actualización y/o adecuación de reglamentos regulatorios del Sub-Sector Eléctrico, de conformidad con la normativa aplicable.</w:t>
      </w:r>
    </w:p>
    <w:p w14:paraId="78597C24" w14:textId="77777777" w:rsidR="00C62CF6" w:rsidRPr="006D0445" w:rsidRDefault="00C62CF6" w:rsidP="00C62CF6">
      <w:pPr>
        <w:rPr>
          <w:color w:val="767171"/>
        </w:rPr>
      </w:pPr>
      <w:r w:rsidRPr="006D0445">
        <w:rPr>
          <w:color w:val="767171"/>
        </w:rPr>
        <w:t>De igual manera, se ha agotado un proceso de adecuación y sensibilización interna para el adiestramiento de los procedimientos y protocolos de cara al cumplimiento de las disposiciones contenidas en la Ley No. 167-21 de Mejora Regulatoria y Simplificación de Trámites y su respectivo Reglamento de Aplicación, procediendo a remitir al Ministerio de Administración Pública (</w:t>
      </w:r>
      <w:proofErr w:type="spellStart"/>
      <w:r w:rsidRPr="006D0445">
        <w:rPr>
          <w:color w:val="767171"/>
        </w:rPr>
        <w:t>MAP</w:t>
      </w:r>
      <w:proofErr w:type="spellEnd"/>
      <w:r w:rsidRPr="006D0445">
        <w:rPr>
          <w:color w:val="767171"/>
        </w:rPr>
        <w:t xml:space="preserve">) los Informes de </w:t>
      </w:r>
      <w:r w:rsidRPr="006D0445">
        <w:rPr>
          <w:i/>
          <w:iCs/>
          <w:color w:val="767171"/>
        </w:rPr>
        <w:t>Impacto Regulatorio</w:t>
      </w:r>
      <w:r w:rsidRPr="006D0445">
        <w:rPr>
          <w:color w:val="767171"/>
        </w:rPr>
        <w:t xml:space="preserve"> correspondientes a los proyectos de Reglamentos contenidos en la Agenda Regulatoria Institucional del año 2024 y, de esta manera, asegurar la correcta tramitación de los procesos de Consultas Públicas de conformidad con el marco legal aplicable, para la posterior publicación de los referidos Proyectos de Reglamentos, conforme a las facultades conferidas a la Superintendencia a través de la Ley Núm. 125-01, General de Electricidad.</w:t>
      </w:r>
    </w:p>
    <w:p w14:paraId="3C9059C5" w14:textId="6425B85E" w:rsidR="008A1A95" w:rsidRDefault="00C62CF6" w:rsidP="008A1A95">
      <w:pPr>
        <w:rPr>
          <w:color w:val="767171"/>
        </w:rPr>
      </w:pPr>
      <w:r w:rsidRPr="006D0445">
        <w:rPr>
          <w:color w:val="767171"/>
        </w:rPr>
        <w:t xml:space="preserve">En ese sentido, cabe destacar que, durante </w:t>
      </w:r>
      <w:r w:rsidR="000B1B78">
        <w:rPr>
          <w:color w:val="767171"/>
        </w:rPr>
        <w:t>el año</w:t>
      </w:r>
      <w:r w:rsidRPr="006D0445">
        <w:rPr>
          <w:color w:val="767171"/>
        </w:rPr>
        <w:t xml:space="preserve"> fueron celebradas las audiencias públicas correspondiente a los Proyectos de Reglamentos de: (i) Para la Aprobación, Interconexión y Operación de Instalaciones de Generación Distribuida de Energía y (</w:t>
      </w:r>
      <w:proofErr w:type="spellStart"/>
      <w:r w:rsidRPr="006D0445">
        <w:rPr>
          <w:color w:val="767171"/>
        </w:rPr>
        <w:t>ii</w:t>
      </w:r>
      <w:proofErr w:type="spellEnd"/>
      <w:r w:rsidRPr="006D0445">
        <w:rPr>
          <w:color w:val="767171"/>
        </w:rPr>
        <w:t>) Reglamento de Aplicación para la Prestación de los Servicios Auxiliares de Regulación de Frecuencia.</w:t>
      </w:r>
    </w:p>
    <w:p w14:paraId="3BBE497E" w14:textId="77777777" w:rsidR="00C62CF6" w:rsidRPr="006D0445" w:rsidRDefault="00C62CF6" w:rsidP="00C62CF6">
      <w:pPr>
        <w:rPr>
          <w:color w:val="767171"/>
        </w:rPr>
      </w:pPr>
      <w:r w:rsidRPr="006D0445">
        <w:rPr>
          <w:color w:val="767171"/>
        </w:rPr>
        <w:t>Ambos proyectos de Reglamentos son herramientas normativas necesarias para robustecer los niveles de seguridad y estabilidad del Sistema Eléctrico Nacional Interconectado (</w:t>
      </w:r>
      <w:proofErr w:type="spellStart"/>
      <w:r w:rsidRPr="006D0445">
        <w:rPr>
          <w:color w:val="767171"/>
        </w:rPr>
        <w:t>SENI</w:t>
      </w:r>
      <w:proofErr w:type="spellEnd"/>
      <w:r w:rsidRPr="006D0445">
        <w:rPr>
          <w:color w:val="767171"/>
        </w:rPr>
        <w:t xml:space="preserve">) y asegurar la calidad del servicio eléctrico de cara a los consumidores y usuarios finales, como también permiten la </w:t>
      </w:r>
      <w:proofErr w:type="spellStart"/>
      <w:r w:rsidRPr="006D0445">
        <w:rPr>
          <w:color w:val="767171"/>
        </w:rPr>
        <w:t>eficientización</w:t>
      </w:r>
      <w:proofErr w:type="spellEnd"/>
      <w:r w:rsidRPr="006D0445">
        <w:rPr>
          <w:color w:val="767171"/>
        </w:rPr>
        <w:t xml:space="preserve"> de las capacidades y herramientas de los agentes del mercado eléctrico en el desarrollo de las actividades enmarcadas en su ámbito de competencia.</w:t>
      </w:r>
    </w:p>
    <w:p w14:paraId="0E1649D5" w14:textId="77777777" w:rsidR="00C62CF6" w:rsidRPr="006D0445" w:rsidRDefault="00C62CF6" w:rsidP="00C62CF6">
      <w:pPr>
        <w:rPr>
          <w:color w:val="767171"/>
        </w:rPr>
      </w:pPr>
      <w:r w:rsidRPr="006D0445">
        <w:rPr>
          <w:color w:val="767171"/>
        </w:rPr>
        <w:t xml:space="preserve">En el caso del Reglamento de Aplicación para la Prestación de los Servicios Auxiliares de Regulación de Frecuencia es importante destacar que, con esta Reglamento, se introducen los Sistemas de Almacenamiento con Baterías para la Regulación de Frecuencia, por primera vez en nuestro país, promoviendo el aprovechamiento de las bondades de </w:t>
      </w:r>
      <w:r w:rsidRPr="006D0445">
        <w:rPr>
          <w:color w:val="767171"/>
        </w:rPr>
        <w:lastRenderedPageBreak/>
        <w:t>las nuevas tecnologías para continuar fortaleciendo la integridad nuestro sistema eléctrico, promoviendo la reducción de costos operativos y asegurando la estabilidad de las redes eléctricas en el mediano-largo plazo. Este Reglamento marca el inicio de un plan piloto institucional para promover los Sistemas de Almacenamiento de Energía a gran escala en nuestro país como parte del marco estratégico de la administración actual.</w:t>
      </w:r>
    </w:p>
    <w:p w14:paraId="0BDF10E2" w14:textId="63734F36" w:rsidR="00E61158" w:rsidRPr="006D0445" w:rsidRDefault="00C62CF6" w:rsidP="00E61158">
      <w:pPr>
        <w:rPr>
          <w:color w:val="767171"/>
        </w:rPr>
      </w:pPr>
      <w:r w:rsidRPr="006D0445">
        <w:rPr>
          <w:color w:val="767171"/>
        </w:rPr>
        <w:t>De igual manera, fueron recibidas las Bases de Licitación Pública para el Abastecimiento de la demanda de energía asociada en el Sistema Eléctrico de las Galeras, Samaná asociada con la Empresa Distribuidora de Electricidad Compañía de Luz y Fuerza de las Terrenas, S.A. mediante Contratos de Compraventa de Energía por un periodo de setenta y dos (72) meses, bajo la supervisión de esta Superintendencia de Electricidad.</w:t>
      </w:r>
    </w:p>
    <w:p w14:paraId="39E47646" w14:textId="12A064E7" w:rsidR="008E7E66" w:rsidRPr="00C448FD" w:rsidRDefault="008E7E66" w:rsidP="007178E5">
      <w:pPr>
        <w:rPr>
          <w:b/>
          <w:bCs/>
          <w:color w:val="767171"/>
        </w:rPr>
      </w:pPr>
      <w:r w:rsidRPr="00C448FD">
        <w:rPr>
          <w:b/>
          <w:bCs/>
          <w:color w:val="767171"/>
        </w:rPr>
        <w:t>Procesos de Licitaciones, Compras y Contrataciones</w:t>
      </w:r>
    </w:p>
    <w:p w14:paraId="5EC4A938" w14:textId="62D08C07" w:rsidR="00FF669A" w:rsidRPr="006D0445" w:rsidRDefault="001456C1" w:rsidP="007178E5">
      <w:pPr>
        <w:rPr>
          <w:color w:val="767171"/>
        </w:rPr>
      </w:pPr>
      <w:r w:rsidRPr="006D0445">
        <w:rPr>
          <w:color w:val="767171"/>
        </w:rPr>
        <w:t xml:space="preserve">Durante el 2024 conforme a los procesos de Compras y Contrataciones establecidos en la ley 340-06, la SIE entre los procesos de compras en las distintas modalidades ejecutó </w:t>
      </w:r>
      <w:r w:rsidR="001923EA" w:rsidRPr="006D0445">
        <w:rPr>
          <w:color w:val="767171"/>
        </w:rPr>
        <w:t xml:space="preserve">nueve </w:t>
      </w:r>
      <w:r w:rsidR="00FF669A" w:rsidRPr="006D0445">
        <w:rPr>
          <w:color w:val="767171"/>
        </w:rPr>
        <w:t>(</w:t>
      </w:r>
      <w:r w:rsidR="001923EA" w:rsidRPr="006D0445">
        <w:rPr>
          <w:color w:val="767171"/>
        </w:rPr>
        <w:t>9</w:t>
      </w:r>
      <w:r w:rsidR="00FF669A" w:rsidRPr="006D0445">
        <w:rPr>
          <w:color w:val="767171"/>
        </w:rPr>
        <w:t>) procesos de licitación pública nacional</w:t>
      </w:r>
      <w:r w:rsidRPr="006D0445">
        <w:rPr>
          <w:color w:val="767171"/>
        </w:rPr>
        <w:t>, los cuales fueron:</w:t>
      </w:r>
    </w:p>
    <w:p w14:paraId="4BB32C4D" w14:textId="77777777" w:rsidR="001456C1" w:rsidRPr="006D0445" w:rsidRDefault="001456C1" w:rsidP="00BC5F4A">
      <w:pPr>
        <w:numPr>
          <w:ilvl w:val="0"/>
          <w:numId w:val="24"/>
        </w:numPr>
        <w:tabs>
          <w:tab w:val="clear" w:pos="720"/>
          <w:tab w:val="num" w:pos="284"/>
        </w:tabs>
        <w:ind w:left="284" w:hanging="284"/>
        <w:rPr>
          <w:color w:val="767171"/>
        </w:rPr>
      </w:pPr>
      <w:r w:rsidRPr="006D0445">
        <w:rPr>
          <w:color w:val="767171"/>
        </w:rPr>
        <w:t>SIE-CCC-LPN-2024-0010. Objeto: Adquisición de mobiliarios a nivel nacional para las oficinas de PROTECOM y las oficinas de la Superintendencia de Electricidad.  Fecha 30/09/2024</w:t>
      </w:r>
    </w:p>
    <w:p w14:paraId="33B755FF" w14:textId="77777777" w:rsidR="001456C1" w:rsidRPr="006D0445" w:rsidRDefault="001456C1" w:rsidP="00BC5F4A">
      <w:pPr>
        <w:numPr>
          <w:ilvl w:val="0"/>
          <w:numId w:val="24"/>
        </w:numPr>
        <w:tabs>
          <w:tab w:val="clear" w:pos="720"/>
          <w:tab w:val="num" w:pos="284"/>
        </w:tabs>
        <w:ind w:left="284" w:hanging="284"/>
        <w:rPr>
          <w:color w:val="767171"/>
        </w:rPr>
      </w:pPr>
      <w:r w:rsidRPr="006D0445">
        <w:rPr>
          <w:color w:val="767171"/>
        </w:rPr>
        <w:t>SIE-CCC-LPN-2024-0009. Objeto: Adquisición de una solución para la actualización de la infraestructura crítica en cuanto almacenamiento de datos, servidores de alta gama y licencias de software. Fecha 06/09/2024</w:t>
      </w:r>
    </w:p>
    <w:p w14:paraId="1B6AF12E" w14:textId="77777777" w:rsidR="001456C1" w:rsidRPr="006D0445" w:rsidRDefault="001456C1" w:rsidP="00BC5F4A">
      <w:pPr>
        <w:numPr>
          <w:ilvl w:val="0"/>
          <w:numId w:val="24"/>
        </w:numPr>
        <w:tabs>
          <w:tab w:val="clear" w:pos="720"/>
          <w:tab w:val="num" w:pos="284"/>
        </w:tabs>
        <w:ind w:left="284" w:hanging="284"/>
        <w:rPr>
          <w:color w:val="767171"/>
        </w:rPr>
      </w:pPr>
      <w:r w:rsidRPr="006D0445">
        <w:rPr>
          <w:color w:val="767171"/>
        </w:rPr>
        <w:t xml:space="preserve">SIE-CCC-LPN-2024-0008. Objeto: Consultoría para establecer las bases técnicas, referencia y metodología a seguir por las </w:t>
      </w:r>
      <w:proofErr w:type="spellStart"/>
      <w:r w:rsidRPr="006D0445">
        <w:rPr>
          <w:color w:val="767171"/>
        </w:rPr>
        <w:t>EDES</w:t>
      </w:r>
      <w:proofErr w:type="spellEnd"/>
      <w:r w:rsidRPr="006D0445">
        <w:rPr>
          <w:color w:val="767171"/>
        </w:rPr>
        <w:t xml:space="preserve"> para determinar el nivel de penetración de generación distribuida renovable aceptable en las redes de distribución eléctrica de la RD. Fecha 06/06/2024</w:t>
      </w:r>
    </w:p>
    <w:p w14:paraId="4E99A48E" w14:textId="0FCD22FF" w:rsidR="00A13015" w:rsidRPr="006D0445" w:rsidRDefault="00A13015" w:rsidP="00BC5F4A">
      <w:pPr>
        <w:numPr>
          <w:ilvl w:val="0"/>
          <w:numId w:val="24"/>
        </w:numPr>
        <w:tabs>
          <w:tab w:val="clear" w:pos="720"/>
          <w:tab w:val="num" w:pos="284"/>
        </w:tabs>
        <w:ind w:left="284" w:hanging="284"/>
        <w:rPr>
          <w:color w:val="767171"/>
        </w:rPr>
      </w:pPr>
      <w:r w:rsidRPr="006D0445">
        <w:rPr>
          <w:color w:val="767171"/>
        </w:rPr>
        <w:t>SIE-CCC-LPN-2024-0006. Objeto: Consultoría para Establecer la Metodología y Procedimiento de Valorización de las Unidades Constructivas e Indexación de sus Respectivos Costos Unitarios. Fecha:</w:t>
      </w:r>
      <w:r w:rsidRPr="006D0445">
        <w:rPr>
          <w:color w:val="767171"/>
          <w:sz w:val="18"/>
          <w:szCs w:val="18"/>
          <w:shd w:val="clear" w:color="auto" w:fill="CCCCCC"/>
        </w:rPr>
        <w:t xml:space="preserve"> </w:t>
      </w:r>
      <w:r w:rsidRPr="006D0445">
        <w:rPr>
          <w:color w:val="767171"/>
        </w:rPr>
        <w:t>16/07/2024.</w:t>
      </w:r>
    </w:p>
    <w:p w14:paraId="4481322E" w14:textId="5C5A5E90" w:rsidR="00A13015" w:rsidRPr="006D0445" w:rsidRDefault="00A13015" w:rsidP="00BC5F4A">
      <w:pPr>
        <w:numPr>
          <w:ilvl w:val="0"/>
          <w:numId w:val="24"/>
        </w:numPr>
        <w:tabs>
          <w:tab w:val="clear" w:pos="720"/>
          <w:tab w:val="num" w:pos="284"/>
        </w:tabs>
        <w:ind w:left="284" w:hanging="284"/>
        <w:rPr>
          <w:color w:val="767171"/>
        </w:rPr>
      </w:pPr>
      <w:r w:rsidRPr="006D0445">
        <w:rPr>
          <w:color w:val="767171"/>
        </w:rPr>
        <w:t>SIE-CCC-LPN-2024-0005. Objeto: Servicio De Almuerzo, Cena Y Servicio De Almuerzo Corporativo. Fecha: 02/07/2024.</w:t>
      </w:r>
    </w:p>
    <w:p w14:paraId="73923C2D" w14:textId="2B7930DC" w:rsidR="00A13015" w:rsidRPr="006D0445" w:rsidRDefault="00A13015" w:rsidP="00BC5F4A">
      <w:pPr>
        <w:numPr>
          <w:ilvl w:val="0"/>
          <w:numId w:val="24"/>
        </w:numPr>
        <w:tabs>
          <w:tab w:val="clear" w:pos="720"/>
          <w:tab w:val="num" w:pos="284"/>
        </w:tabs>
        <w:ind w:left="284" w:hanging="284"/>
        <w:rPr>
          <w:color w:val="767171"/>
        </w:rPr>
      </w:pPr>
      <w:r w:rsidRPr="006D0445">
        <w:rPr>
          <w:color w:val="767171"/>
        </w:rPr>
        <w:t>SIE-CCC-LPN-2024-0004. Objeto: Contratación De Los Servicios De Consultoría Para La Implementación De Un Sistema De Gestión Integrado (</w:t>
      </w:r>
      <w:proofErr w:type="spellStart"/>
      <w:r w:rsidRPr="006D0445">
        <w:rPr>
          <w:color w:val="767171"/>
        </w:rPr>
        <w:t>SGI</w:t>
      </w:r>
      <w:proofErr w:type="spellEnd"/>
      <w:r w:rsidRPr="006D0445">
        <w:rPr>
          <w:color w:val="767171"/>
        </w:rPr>
        <w:t>) De Calidad, Antisoborno Y Cumplimiento Regulatorio Basado En Las Normas ISO. Fecha: 08/05/2024.</w:t>
      </w:r>
    </w:p>
    <w:p w14:paraId="31DECDDA" w14:textId="58442155" w:rsidR="00A13015" w:rsidRPr="006D0445" w:rsidRDefault="00A13015" w:rsidP="00BC5F4A">
      <w:pPr>
        <w:numPr>
          <w:ilvl w:val="0"/>
          <w:numId w:val="24"/>
        </w:numPr>
        <w:tabs>
          <w:tab w:val="clear" w:pos="720"/>
          <w:tab w:val="num" w:pos="284"/>
        </w:tabs>
        <w:ind w:left="284" w:hanging="284"/>
        <w:rPr>
          <w:color w:val="767171"/>
        </w:rPr>
      </w:pPr>
      <w:r w:rsidRPr="006D0445">
        <w:rPr>
          <w:color w:val="767171"/>
        </w:rPr>
        <w:t>SIE-CCC-LPN-2024-0003 Objeto: Sistema Ininterrumpido de Energía (UPS) para Edificio Corporativo. Fecha: 22/04/2024.</w:t>
      </w:r>
    </w:p>
    <w:p w14:paraId="597FD22E" w14:textId="59B2AF2B" w:rsidR="001456C1" w:rsidRPr="00BC5F4A" w:rsidRDefault="00A13015" w:rsidP="00BD7751">
      <w:pPr>
        <w:numPr>
          <w:ilvl w:val="0"/>
          <w:numId w:val="24"/>
        </w:numPr>
        <w:tabs>
          <w:tab w:val="clear" w:pos="720"/>
          <w:tab w:val="num" w:pos="284"/>
        </w:tabs>
        <w:spacing w:line="259" w:lineRule="auto"/>
        <w:ind w:left="284" w:hanging="284"/>
        <w:jc w:val="left"/>
        <w:rPr>
          <w:color w:val="767171"/>
        </w:rPr>
      </w:pPr>
      <w:r w:rsidRPr="00BC5F4A">
        <w:rPr>
          <w:color w:val="767171"/>
        </w:rPr>
        <w:lastRenderedPageBreak/>
        <w:t>SIE-CCC-LPN-2024-0002 Objeto: Proyecto de Rediseño y Mejora de Ciberseguridad SIE. Fecha: 18/04/2024.</w:t>
      </w:r>
    </w:p>
    <w:p w14:paraId="752AA6E5" w14:textId="77777777" w:rsidR="00D94EDA" w:rsidRPr="00C448FD" w:rsidRDefault="00D94EDA" w:rsidP="008A1A95">
      <w:pPr>
        <w:rPr>
          <w:b/>
          <w:color w:val="767171"/>
        </w:rPr>
      </w:pPr>
      <w:r w:rsidRPr="00C448FD">
        <w:rPr>
          <w:b/>
          <w:color w:val="767171"/>
        </w:rPr>
        <w:t>Litigios y Resolución de Controversias</w:t>
      </w:r>
    </w:p>
    <w:p w14:paraId="55D225A5" w14:textId="13534041" w:rsidR="00E9160D" w:rsidRPr="006D0445" w:rsidRDefault="00D94EDA" w:rsidP="008A1A95">
      <w:pPr>
        <w:spacing w:after="0"/>
        <w:rPr>
          <w:color w:val="767171"/>
          <w14:ligatures w14:val="standardContextual"/>
        </w:rPr>
      </w:pPr>
      <w:r w:rsidRPr="006D0445">
        <w:rPr>
          <w:color w:val="767171"/>
        </w:rPr>
        <w:t>Durante el 2024 se tramitaron y dictaron antes los Tribunales de Orden Judicial los expedientes que involucraron a la Superintendencia de Electricidad</w:t>
      </w:r>
      <w:r w:rsidR="00E9160D" w:rsidRPr="006D0445">
        <w:rPr>
          <w:color w:val="767171"/>
        </w:rPr>
        <w:t>.</w:t>
      </w:r>
      <w:r w:rsidRPr="006D0445">
        <w:rPr>
          <w:color w:val="767171"/>
        </w:rPr>
        <w:t xml:space="preserve"> </w:t>
      </w:r>
      <w:r w:rsidR="00E9160D" w:rsidRPr="006D0445">
        <w:rPr>
          <w:color w:val="767171"/>
        </w:rPr>
        <w:t>En total fueron procesados 83 casos que involucran a la Superintendencia de Electricidad ante distintas jurisdicciones y Tribunales de la República Dominicana</w:t>
      </w:r>
      <w:r w:rsidR="00E9160D" w:rsidRPr="006D0445">
        <w:rPr>
          <w:color w:val="767171"/>
          <w14:ligatures w14:val="standardContextual"/>
        </w:rPr>
        <w:t>.</w:t>
      </w:r>
    </w:p>
    <w:p w14:paraId="231770F1" w14:textId="5647D3C6" w:rsidR="00D94EDA" w:rsidRPr="006D0445" w:rsidRDefault="00E61158" w:rsidP="008A1A95">
      <w:pPr>
        <w:spacing w:after="0"/>
        <w:rPr>
          <w:color w:val="767171"/>
          <w14:ligatures w14:val="standardContextual"/>
        </w:rPr>
      </w:pPr>
      <w:r w:rsidRPr="006D0445">
        <w:rPr>
          <w:color w:val="767171"/>
          <w14:ligatures w14:val="standardContextual"/>
        </w:rPr>
        <w:t xml:space="preserve"> </w:t>
      </w:r>
      <w:r w:rsidR="00D94EDA" w:rsidRPr="006D0445">
        <w:rPr>
          <w:color w:val="767171"/>
          <w14:ligatures w14:val="standardContextual"/>
        </w:rPr>
        <w:t xml:space="preserve">Por igual, durante este </w:t>
      </w:r>
      <w:r w:rsidR="00E9160D" w:rsidRPr="006D0445">
        <w:rPr>
          <w:color w:val="767171"/>
          <w14:ligatures w14:val="standardContextual"/>
        </w:rPr>
        <w:t>2024</w:t>
      </w:r>
      <w:r w:rsidR="00D94EDA" w:rsidRPr="006D0445">
        <w:rPr>
          <w:color w:val="767171"/>
          <w14:ligatures w14:val="standardContextual"/>
        </w:rPr>
        <w:t xml:space="preserve"> fueron celebradas </w:t>
      </w:r>
      <w:r w:rsidR="00E9160D" w:rsidRPr="006D0445">
        <w:rPr>
          <w:color w:val="767171"/>
          <w14:ligatures w14:val="standardContextual"/>
        </w:rPr>
        <w:t>más de</w:t>
      </w:r>
      <w:r w:rsidR="00D94EDA" w:rsidRPr="006D0445">
        <w:rPr>
          <w:color w:val="767171"/>
          <w14:ligatures w14:val="standardContextual"/>
        </w:rPr>
        <w:t xml:space="preserve"> trece (13) mediaciones sobre diversas disputas presentadas entre agentes del mercado eléctrico, con el fin de promover la utilización de métodos alternativos de resolución de controversias entre las partes, de conformidad con el marco normativo aplicable.</w:t>
      </w:r>
    </w:p>
    <w:p w14:paraId="55548D04" w14:textId="77777777" w:rsidR="00D94EDA" w:rsidRPr="006D0445" w:rsidRDefault="00D94EDA" w:rsidP="008A1A95">
      <w:pPr>
        <w:spacing w:after="0"/>
        <w:rPr>
          <w:b/>
          <w:bCs/>
          <w:color w:val="767171"/>
          <w14:ligatures w14:val="standardContextual"/>
        </w:rPr>
      </w:pPr>
    </w:p>
    <w:p w14:paraId="27B2A686" w14:textId="77777777" w:rsidR="00D94EDA" w:rsidRPr="00C448FD" w:rsidRDefault="00D94EDA" w:rsidP="008A1A95">
      <w:pPr>
        <w:spacing w:after="0"/>
        <w:rPr>
          <w:b/>
          <w:bCs/>
          <w:color w:val="767171"/>
          <w14:ligatures w14:val="standardContextual"/>
        </w:rPr>
      </w:pPr>
      <w:r w:rsidRPr="00C448FD">
        <w:rPr>
          <w:b/>
          <w:bCs/>
          <w:color w:val="767171"/>
          <w14:ligatures w14:val="standardContextual"/>
        </w:rPr>
        <w:t>Cumplimiento Normativo</w:t>
      </w:r>
    </w:p>
    <w:p w14:paraId="4218592E" w14:textId="77777777" w:rsidR="00D94EDA" w:rsidRPr="006D0445" w:rsidRDefault="00D94EDA" w:rsidP="008A1A95">
      <w:pPr>
        <w:spacing w:after="0"/>
        <w:rPr>
          <w:color w:val="767171"/>
          <w14:ligatures w14:val="standardContextual"/>
        </w:rPr>
      </w:pPr>
      <w:r w:rsidRPr="006D0445">
        <w:rPr>
          <w:color w:val="767171"/>
          <w14:ligatures w14:val="standardContextual"/>
        </w:rPr>
        <w:t>De igual manera, esta Dirección de Asuntos Jurídicos, como parte del proceso de preparación para la implementación y certificación de un Sistema de Gestión de Calidad, Cumplimiento Normativo, Antisoborno y Seguridad de la Información, en virtud de los lineamientos y buenas prácticas internacionales establecidos en la Normas ISO 9001, 37301, 37001 y 27001 ha participado en las reuniones y mesas de trabajo tendentes a delimitar el alcance del referido sistema de gestión, en virtud de la naturaleza de las funciones de esta Superintendencia de Electricidad.</w:t>
      </w:r>
    </w:p>
    <w:p w14:paraId="25045D85" w14:textId="3DA5829A" w:rsidR="00E61158" w:rsidRPr="006D0445" w:rsidRDefault="00D94EDA" w:rsidP="008A1A95">
      <w:pPr>
        <w:spacing w:after="0"/>
        <w:rPr>
          <w:color w:val="767171"/>
          <w14:ligatures w14:val="standardContextual"/>
        </w:rPr>
      </w:pPr>
      <w:r w:rsidRPr="006D0445">
        <w:rPr>
          <w:color w:val="767171"/>
          <w14:ligatures w14:val="standardContextual"/>
        </w:rPr>
        <w:t>Asimismo, esta Dirección ha participado en la revisión y formalización de políticas y procedimientos institucionales en conjunto con la Dirección de Planificación y Desarrollo, de cara a la implementación del Sistema de Gestión por Excelencia institucional, entre los cuales se destacan: Procedimiento de Inducción Institucional, Procedimiento de Gestión de Pasantías SIE, Procedimiento de Gestión de Recursos Jerárquicos, Procedimiento de Evacuación en casos de eventos de Emergencia, entre otros.</w:t>
      </w:r>
    </w:p>
    <w:p w14:paraId="32222193" w14:textId="2272FF07" w:rsidR="00A61A92" w:rsidRPr="00C448FD" w:rsidRDefault="00F50AF3" w:rsidP="008A1A95">
      <w:pPr>
        <w:rPr>
          <w:b/>
          <w:bCs/>
          <w:color w:val="767171"/>
        </w:rPr>
      </w:pPr>
      <w:r w:rsidRPr="00C448FD">
        <w:rPr>
          <w:b/>
          <w:bCs/>
          <w:color w:val="767171"/>
        </w:rPr>
        <w:t xml:space="preserve">Acuerdos y </w:t>
      </w:r>
      <w:r w:rsidR="00A61A92" w:rsidRPr="00C448FD">
        <w:rPr>
          <w:b/>
          <w:bCs/>
          <w:color w:val="767171"/>
        </w:rPr>
        <w:t>Convenios Institucionales</w:t>
      </w:r>
    </w:p>
    <w:p w14:paraId="6E903110" w14:textId="77777777" w:rsidR="00630AEE" w:rsidRPr="00832511" w:rsidRDefault="00630AEE" w:rsidP="008A1A95">
      <w:pPr>
        <w:rPr>
          <w:color w:val="767171"/>
          <w:lang w:val="es-419"/>
        </w:rPr>
      </w:pPr>
      <w:r w:rsidRPr="00832511">
        <w:rPr>
          <w:color w:val="767171"/>
          <w:lang w:val="es-419"/>
        </w:rPr>
        <w:t>Acuerdo de Colaboración entre la Superintendencia de Electricidad (SIE) y la Cámara de Comercio y Producción de Santo Domingo (</w:t>
      </w:r>
      <w:proofErr w:type="spellStart"/>
      <w:r w:rsidRPr="00832511">
        <w:rPr>
          <w:color w:val="767171"/>
          <w:lang w:val="es-419"/>
        </w:rPr>
        <w:t>CCPSD</w:t>
      </w:r>
      <w:proofErr w:type="spellEnd"/>
      <w:r w:rsidRPr="00832511">
        <w:rPr>
          <w:color w:val="767171"/>
          <w:lang w:val="es-419"/>
        </w:rPr>
        <w:t xml:space="preserve">), de fecha 28 de agosto de 2024, el cual </w:t>
      </w:r>
      <w:r w:rsidRPr="00832511">
        <w:rPr>
          <w:color w:val="767171"/>
        </w:rPr>
        <w:t xml:space="preserve">tiene como objetivo aunar esfuerzos para llevar a cabo el </w:t>
      </w:r>
      <w:r w:rsidRPr="00832511">
        <w:rPr>
          <w:color w:val="767171"/>
          <w:lang w:val="es-419"/>
        </w:rPr>
        <w:t xml:space="preserve">intercambio de datos e informaciones societarias entre ambas instituciones, con la finalidad de lograr la simplificación de trámites y la </w:t>
      </w:r>
      <w:proofErr w:type="spellStart"/>
      <w:r w:rsidRPr="00832511">
        <w:rPr>
          <w:color w:val="767171"/>
          <w:lang w:val="es-419"/>
        </w:rPr>
        <w:t>eficientización</w:t>
      </w:r>
      <w:proofErr w:type="spellEnd"/>
      <w:r w:rsidRPr="00832511">
        <w:rPr>
          <w:color w:val="767171"/>
          <w:lang w:val="es-419"/>
        </w:rPr>
        <w:t xml:space="preserve"> de los servicios administrativos.</w:t>
      </w:r>
    </w:p>
    <w:p w14:paraId="659E405F" w14:textId="0318614B" w:rsidR="00BD03A8" w:rsidRDefault="00F145F3" w:rsidP="00BD03A8">
      <w:pPr>
        <w:rPr>
          <w:rFonts w:eastAsia="Calibri"/>
          <w:color w:val="767171"/>
        </w:rPr>
      </w:pPr>
      <w:r w:rsidRPr="00832511">
        <w:rPr>
          <w:rFonts w:eastAsia="Calibri"/>
          <w:color w:val="767171"/>
        </w:rPr>
        <w:t>Convenio marco de cooperación entre el Instituto Centroamericano de Administración Pública (</w:t>
      </w:r>
      <w:proofErr w:type="spellStart"/>
      <w:r w:rsidRPr="00832511">
        <w:rPr>
          <w:rFonts w:eastAsia="Calibri"/>
          <w:color w:val="767171"/>
        </w:rPr>
        <w:t>ICAP</w:t>
      </w:r>
      <w:proofErr w:type="spellEnd"/>
      <w:r w:rsidRPr="00832511">
        <w:rPr>
          <w:rFonts w:eastAsia="Calibri"/>
          <w:color w:val="767171"/>
        </w:rPr>
        <w:t>) y la Superintendencia de Electricidad (SIE) El convenio fue firmado con el propósito de formular estrategias, proyectos, programas de investigación, formación académica, capacitación, eventos y actividades de difusión que contribuyan con el sector energía en beneficio del desarrollo sostenible, resiliente y equitativo.</w:t>
      </w:r>
      <w:r w:rsidR="00BD03A8">
        <w:rPr>
          <w:rFonts w:eastAsia="Calibri"/>
          <w:color w:val="767171"/>
        </w:rPr>
        <w:t xml:space="preserve"> </w:t>
      </w:r>
      <w:r w:rsidR="00BD03A8">
        <w:rPr>
          <w:rFonts w:eastAsia="Calibri"/>
          <w:color w:val="767171"/>
        </w:rPr>
        <w:br w:type="page"/>
      </w:r>
    </w:p>
    <w:p w14:paraId="2CB71D70" w14:textId="3C71B502" w:rsidR="00630AEE" w:rsidRPr="00832511" w:rsidRDefault="00630AEE" w:rsidP="008A1A95">
      <w:pPr>
        <w:rPr>
          <w:color w:val="767171"/>
          <w:lang w:val="es-419"/>
        </w:rPr>
      </w:pPr>
      <w:r w:rsidRPr="00832511">
        <w:rPr>
          <w:color w:val="767171"/>
          <w:lang w:val="es-419"/>
        </w:rPr>
        <w:lastRenderedPageBreak/>
        <w:t>Acuerdo de Colaboración Interinstitucional entre el Instituto Técnico Superior Comunitario (</w:t>
      </w:r>
      <w:proofErr w:type="spellStart"/>
      <w:r w:rsidRPr="00832511">
        <w:rPr>
          <w:color w:val="767171"/>
          <w:lang w:val="es-419"/>
        </w:rPr>
        <w:t>ITSC</w:t>
      </w:r>
      <w:proofErr w:type="spellEnd"/>
      <w:r w:rsidRPr="00832511">
        <w:rPr>
          <w:color w:val="767171"/>
          <w:lang w:val="es-419"/>
        </w:rPr>
        <w:t xml:space="preserve">) y la Superintendencia de Electricidad (SIE),.el cual se enfoca en establecer esfuerzos conjuntos a fin de fortalecer las habilidades y conocimientos de los técnicos y auxiliares electricistas de instalaciones interiores y redes de baja y media tensión, ofreciendo a través del </w:t>
      </w:r>
      <w:proofErr w:type="spellStart"/>
      <w:r w:rsidRPr="00832511">
        <w:rPr>
          <w:color w:val="767171"/>
          <w:lang w:val="es-419"/>
        </w:rPr>
        <w:t>ITSC</w:t>
      </w:r>
      <w:proofErr w:type="spellEnd"/>
      <w:r w:rsidRPr="00832511">
        <w:rPr>
          <w:color w:val="767171"/>
          <w:lang w:val="es-419"/>
        </w:rPr>
        <w:t xml:space="preserve"> los adecuados programas de capacitación y talleres asociados, y de la SIE la licencia para ejercer los servicios eléctricos a los egresados de ese centro de estudios.</w:t>
      </w:r>
    </w:p>
    <w:p w14:paraId="52593B2C" w14:textId="28DFA559" w:rsidR="00F145F3" w:rsidRPr="00832511" w:rsidRDefault="00F145F3" w:rsidP="008A1A95">
      <w:pPr>
        <w:rPr>
          <w:rFonts w:eastAsia="Calibri"/>
          <w:color w:val="767171"/>
        </w:rPr>
      </w:pPr>
      <w:r w:rsidRPr="00832511">
        <w:rPr>
          <w:rFonts w:eastAsia="Calibri"/>
          <w:color w:val="767171"/>
        </w:rPr>
        <w:t>Acuerdo marco de cooperación entre Asociación Iberoamericana de Derecho de Energía (ASIDE), y la Superintendencia de Electricidad (SIE) El convenio fue firmado con el objetivo de formular estrategias y realizar actividades que contribuyan a desarrollar una regulación energética eficiente, flexible, justa y descarbonizada.</w:t>
      </w:r>
    </w:p>
    <w:p w14:paraId="1DD56D5F" w14:textId="77777777" w:rsidR="00B11868" w:rsidRPr="00832511" w:rsidRDefault="00630AEE" w:rsidP="008A1A95">
      <w:pPr>
        <w:rPr>
          <w:rFonts w:eastAsia="Calibri"/>
          <w:noProof/>
          <w:color w:val="767171"/>
          <w:spacing w:val="20"/>
        </w:rPr>
      </w:pPr>
      <w:r w:rsidRPr="00832511">
        <w:rPr>
          <w:color w:val="767171"/>
          <w:lang w:val="es-419"/>
        </w:rPr>
        <w:t xml:space="preserve">Convenio Marco de Colaboración entre </w:t>
      </w:r>
      <w:proofErr w:type="spellStart"/>
      <w:r w:rsidRPr="00832511">
        <w:rPr>
          <w:color w:val="767171"/>
          <w:lang w:val="es-419"/>
        </w:rPr>
        <w:t>INPROCA</w:t>
      </w:r>
      <w:proofErr w:type="spellEnd"/>
      <w:r w:rsidRPr="00832511">
        <w:rPr>
          <w:color w:val="767171"/>
          <w:lang w:val="es-419"/>
        </w:rPr>
        <w:t xml:space="preserve">, Ingeniería y Proyectos, </w:t>
      </w:r>
      <w:proofErr w:type="spellStart"/>
      <w:r w:rsidRPr="00832511">
        <w:rPr>
          <w:color w:val="767171"/>
          <w:lang w:val="es-419"/>
        </w:rPr>
        <w:t>S.R.L</w:t>
      </w:r>
      <w:proofErr w:type="spellEnd"/>
      <w:r w:rsidRPr="00832511">
        <w:rPr>
          <w:color w:val="767171"/>
          <w:lang w:val="es-419"/>
        </w:rPr>
        <w:t xml:space="preserve">. y la Superintendencia de Electricidad (SIE), con el propósito d establecer las bases de una mutua colaboración entre </w:t>
      </w:r>
      <w:proofErr w:type="spellStart"/>
      <w:r w:rsidRPr="00832511">
        <w:rPr>
          <w:color w:val="767171"/>
          <w:lang w:val="es-419"/>
        </w:rPr>
        <w:t>INPROCA</w:t>
      </w:r>
      <w:proofErr w:type="spellEnd"/>
      <w:r w:rsidRPr="00832511">
        <w:rPr>
          <w:color w:val="767171"/>
          <w:lang w:val="es-419"/>
        </w:rPr>
        <w:t xml:space="preserve"> y la SIE para la realización de actividades académicas, es decir: docentes, investigativas, de capacitación, de difusión de la cultura y extensión de servicios en todas aquellas áreas de interés recíproco propios de sus objetivos y funciones, con miras al logro de sus fines y el aprovechamiento racional de sus recursos.</w:t>
      </w:r>
    </w:p>
    <w:p w14:paraId="5FDB7B04" w14:textId="7C19562F" w:rsidR="00B11868" w:rsidRPr="00832511" w:rsidRDefault="00B11868" w:rsidP="008A1A95">
      <w:pPr>
        <w:rPr>
          <w:rFonts w:eastAsia="Calibri"/>
          <w:noProof/>
          <w:color w:val="767171"/>
          <w:spacing w:val="20"/>
        </w:rPr>
      </w:pPr>
      <w:r w:rsidRPr="00832511">
        <w:rPr>
          <w:rFonts w:eastAsia="Calibri"/>
          <w:color w:val="767171"/>
        </w:rPr>
        <w:t xml:space="preserve">Acuerdo Interinstitucional Con El Ministerio De La Mujer </w:t>
      </w:r>
      <w:r w:rsidRPr="00832511">
        <w:rPr>
          <w:color w:val="767171"/>
          <w:lang w:val="es-419"/>
        </w:rPr>
        <w:t xml:space="preserve">y la Superintendencia de Electricidad (SIE), </w:t>
      </w:r>
      <w:r w:rsidRPr="00832511">
        <w:rPr>
          <w:rFonts w:eastAsia="Calibri"/>
          <w:color w:val="767171"/>
        </w:rPr>
        <w:t>en fecha 15 de enero del 2024, se firmó este acuerdo interinstitucional tiene como objetivo aunar esfuerzos para transversalizar el enfoque de género, además de tener un impacto positivo incentivando la formación equitativa en programas de grado y educación superior continua, cerrar la brecha de género en el sector energético, promover la igualdad de género; así mismo implementar “el Sello Igualando RD” otorgado por el Ministerio de la Mujer y el Programa de las Naciones Unidas para el Desarrollo (PNUD).</w:t>
      </w:r>
    </w:p>
    <w:p w14:paraId="3F6D008D" w14:textId="29C4B1D1" w:rsidR="009D3B35" w:rsidRPr="006D0445" w:rsidRDefault="00092B43" w:rsidP="008A1A95">
      <w:pPr>
        <w:pStyle w:val="Ttulo2"/>
        <w:rPr>
          <w:szCs w:val="24"/>
        </w:rPr>
      </w:pPr>
      <w:bookmarkStart w:id="35" w:name="_Toc186147723"/>
      <w:r w:rsidRPr="006D0445">
        <w:rPr>
          <w:szCs w:val="24"/>
        </w:rPr>
        <w:t>Desempeño de la Tecnología</w:t>
      </w:r>
      <w:bookmarkEnd w:id="35"/>
      <w:r w:rsidRPr="006D0445">
        <w:rPr>
          <w:szCs w:val="24"/>
        </w:rPr>
        <w:t xml:space="preserve"> </w:t>
      </w:r>
    </w:p>
    <w:p w14:paraId="30CBFD0C" w14:textId="285875A3" w:rsidR="00796A70" w:rsidRPr="006D0445" w:rsidRDefault="00974F68" w:rsidP="008A1A95">
      <w:pPr>
        <w:rPr>
          <w:color w:val="767171"/>
        </w:rPr>
      </w:pPr>
      <w:r w:rsidRPr="006D0445">
        <w:rPr>
          <w:color w:val="767171"/>
        </w:rPr>
        <w:t xml:space="preserve">La Superintendencia de Electricidad ha mantenido su transformación digital y mejora continua en los procesos tecnológicos de la institución, de tal manera que sea posible una gestión eficaz de las labores y administración inteligente de los recursos. </w:t>
      </w:r>
      <w:r w:rsidR="004A7B1C" w:rsidRPr="006D0445">
        <w:rPr>
          <w:color w:val="767171"/>
        </w:rPr>
        <w:t>Se han</w:t>
      </w:r>
      <w:r w:rsidRPr="006D0445">
        <w:rPr>
          <w:color w:val="767171"/>
        </w:rPr>
        <w:t xml:space="preserve"> integr</w:t>
      </w:r>
      <w:r w:rsidR="004A7B1C" w:rsidRPr="006D0445">
        <w:rPr>
          <w:color w:val="767171"/>
        </w:rPr>
        <w:t>ado</w:t>
      </w:r>
      <w:r w:rsidRPr="006D0445">
        <w:rPr>
          <w:color w:val="767171"/>
        </w:rPr>
        <w:t xml:space="preserve"> nuevas aplicaciones, sistemas y plataformas con el objetivo de brindar opciones de auto gestión al usuario del sistema eléctrico y mejorar las operaciones de la institución como ente regulador del sector. </w:t>
      </w:r>
    </w:p>
    <w:p w14:paraId="622CECEE" w14:textId="708A476A" w:rsidR="00267D64" w:rsidRPr="006D0445" w:rsidRDefault="00267D64" w:rsidP="008A1A95">
      <w:pPr>
        <w:rPr>
          <w:color w:val="767171"/>
        </w:rPr>
      </w:pPr>
      <w:bookmarkStart w:id="36" w:name="_Toc152259744"/>
      <w:r w:rsidRPr="006D0445">
        <w:rPr>
          <w:b/>
          <w:bCs/>
          <w:color w:val="767171"/>
        </w:rPr>
        <w:t>Avances en materia de tecnología innovaciones e implementaciones</w:t>
      </w:r>
      <w:bookmarkEnd w:id="36"/>
    </w:p>
    <w:p w14:paraId="513324FC" w14:textId="77777777" w:rsidR="00A0354F" w:rsidRPr="006D0445" w:rsidRDefault="00A0354F" w:rsidP="008A1A95">
      <w:pPr>
        <w:spacing w:before="240" w:after="0"/>
        <w:ind w:right="85"/>
        <w:rPr>
          <w:color w:val="767171"/>
        </w:rPr>
      </w:pPr>
      <w:r w:rsidRPr="006D0445">
        <w:rPr>
          <w:color w:val="767171"/>
        </w:rPr>
        <w:t>Fueron integradas tecnologías en la nube del tipo Infraestructura como Servicio en diferentes proveedores, contribuyendo a una mayor disponibilidad y accesibilidad de las herramientas tecnológicas que dan servicio al ciudadano.</w:t>
      </w:r>
    </w:p>
    <w:p w14:paraId="321EBB21" w14:textId="77777777" w:rsidR="00A0354F" w:rsidRPr="006D0445" w:rsidRDefault="00A0354F" w:rsidP="008A1A95">
      <w:pPr>
        <w:spacing w:before="240" w:after="0"/>
        <w:ind w:right="85"/>
        <w:rPr>
          <w:color w:val="767171"/>
        </w:rPr>
      </w:pPr>
      <w:r w:rsidRPr="006D0445">
        <w:rPr>
          <w:color w:val="767171"/>
        </w:rPr>
        <w:lastRenderedPageBreak/>
        <w:t xml:space="preserve">Se gestionó y procesó la renovación de plataformas y sistemas tecnológicos que son necesarios para las operaciones de la institución, tales como: </w:t>
      </w:r>
    </w:p>
    <w:p w14:paraId="5FFDA3D3" w14:textId="77777777" w:rsidR="00A0354F" w:rsidRPr="008A1A95" w:rsidRDefault="00A0354F" w:rsidP="008A1A95">
      <w:pPr>
        <w:pStyle w:val="Prrafodelista"/>
        <w:numPr>
          <w:ilvl w:val="0"/>
          <w:numId w:val="32"/>
        </w:numPr>
        <w:spacing w:before="240" w:after="0"/>
        <w:ind w:right="85"/>
        <w:rPr>
          <w:color w:val="767171"/>
        </w:rPr>
      </w:pPr>
      <w:r w:rsidRPr="008A1A95">
        <w:rPr>
          <w:color w:val="767171"/>
        </w:rPr>
        <w:t xml:space="preserve">Plataforma de gestión y administración, </w:t>
      </w:r>
    </w:p>
    <w:p w14:paraId="2082B065" w14:textId="77777777" w:rsidR="00A0354F" w:rsidRPr="008A1A95" w:rsidRDefault="00A0354F" w:rsidP="008A1A95">
      <w:pPr>
        <w:pStyle w:val="Prrafodelista"/>
        <w:numPr>
          <w:ilvl w:val="0"/>
          <w:numId w:val="32"/>
        </w:numPr>
        <w:spacing w:before="240" w:after="0"/>
        <w:ind w:right="85"/>
        <w:rPr>
          <w:color w:val="767171"/>
        </w:rPr>
      </w:pPr>
      <w:r w:rsidRPr="008A1A95">
        <w:rPr>
          <w:color w:val="767171"/>
        </w:rPr>
        <w:t>Ciberseguridad</w:t>
      </w:r>
    </w:p>
    <w:p w14:paraId="50B5C4E5" w14:textId="77777777" w:rsidR="00A0354F" w:rsidRPr="008A1A95" w:rsidRDefault="00A0354F" w:rsidP="008A1A95">
      <w:pPr>
        <w:pStyle w:val="Prrafodelista"/>
        <w:numPr>
          <w:ilvl w:val="0"/>
          <w:numId w:val="32"/>
        </w:numPr>
        <w:spacing w:before="240" w:after="0"/>
        <w:ind w:right="85"/>
        <w:rPr>
          <w:color w:val="767171"/>
        </w:rPr>
      </w:pPr>
      <w:r w:rsidRPr="008A1A95">
        <w:rPr>
          <w:color w:val="767171"/>
        </w:rPr>
        <w:t>Aplicativos de diseño y herramientas de ofimática.</w:t>
      </w:r>
    </w:p>
    <w:p w14:paraId="684F537D" w14:textId="129A1179" w:rsidR="00A0354F" w:rsidRPr="006D0445" w:rsidRDefault="00A0354F" w:rsidP="008A1A95">
      <w:pPr>
        <w:spacing w:before="240" w:after="0"/>
        <w:ind w:right="85"/>
        <w:rPr>
          <w:color w:val="767171"/>
        </w:rPr>
      </w:pPr>
      <w:r w:rsidRPr="006D0445">
        <w:rPr>
          <w:color w:val="767171"/>
        </w:rPr>
        <w:t xml:space="preserve">Se implemento una </w:t>
      </w:r>
      <w:r w:rsidR="00E11990" w:rsidRPr="006D0445">
        <w:rPr>
          <w:color w:val="767171"/>
        </w:rPr>
        <w:t>solución</w:t>
      </w:r>
      <w:r w:rsidRPr="006D0445">
        <w:rPr>
          <w:color w:val="767171"/>
        </w:rPr>
        <w:t xml:space="preserve"> de </w:t>
      </w:r>
      <w:proofErr w:type="spellStart"/>
      <w:r w:rsidRPr="006D0445">
        <w:rPr>
          <w:color w:val="767171"/>
        </w:rPr>
        <w:t>contact</w:t>
      </w:r>
      <w:proofErr w:type="spellEnd"/>
      <w:r w:rsidRPr="006D0445">
        <w:rPr>
          <w:color w:val="767171"/>
        </w:rPr>
        <w:t xml:space="preserve"> center </w:t>
      </w:r>
      <w:proofErr w:type="spellStart"/>
      <w:r w:rsidRPr="006D0445">
        <w:rPr>
          <w:color w:val="767171"/>
        </w:rPr>
        <w:t>omnicanal</w:t>
      </w:r>
      <w:proofErr w:type="spellEnd"/>
      <w:r w:rsidRPr="006D0445">
        <w:rPr>
          <w:color w:val="767171"/>
        </w:rPr>
        <w:t xml:space="preserve"> para el centro de contacto de la </w:t>
      </w:r>
      <w:r w:rsidR="00E11990" w:rsidRPr="006D0445">
        <w:rPr>
          <w:color w:val="767171"/>
        </w:rPr>
        <w:t>institución</w:t>
      </w:r>
      <w:r w:rsidRPr="006D0445">
        <w:rPr>
          <w:color w:val="767171"/>
        </w:rPr>
        <w:t>, brindando alta disponibilidad, escalabilidad, aumento del rendimiento de la plataforma. Promoviendo mejorar la calidad y la efectividad de las interacciones del centro de contacto con los ciudadanos.</w:t>
      </w:r>
    </w:p>
    <w:p w14:paraId="4642DB7F" w14:textId="37EC46C5" w:rsidR="00A0354F" w:rsidRPr="006D0445" w:rsidRDefault="00A0354F" w:rsidP="008A1A95">
      <w:pPr>
        <w:spacing w:before="240" w:after="0"/>
        <w:ind w:right="85"/>
        <w:rPr>
          <w:color w:val="767171"/>
        </w:rPr>
      </w:pPr>
      <w:r w:rsidRPr="006D0445">
        <w:rPr>
          <w:color w:val="767171"/>
        </w:rPr>
        <w:t xml:space="preserve">Se completó la </w:t>
      </w:r>
      <w:r w:rsidR="00E11990" w:rsidRPr="006D0445">
        <w:rPr>
          <w:color w:val="767171"/>
        </w:rPr>
        <w:t>instalación</w:t>
      </w:r>
      <w:r w:rsidRPr="006D0445">
        <w:rPr>
          <w:color w:val="767171"/>
        </w:rPr>
        <w:t xml:space="preserve"> de un sistema de UPS para el Data Center y otras áreas críticas del edificio SIE, esta implementación garantiza una continuidad ininterrumpida del suministro eléctrico, brinda una mayor autonomía, mejora la eficiencia energética y reduce los costos operativos, resolviendo los riesgos de sobrecarga y mejorando la confiabilidad y estabilidad del sistema eléctrico institucional.</w:t>
      </w:r>
    </w:p>
    <w:p w14:paraId="0DEB5EFF" w14:textId="77777777" w:rsidR="00A0354F" w:rsidRPr="006D0445" w:rsidRDefault="00A0354F" w:rsidP="008A1A95">
      <w:pPr>
        <w:spacing w:before="240" w:after="0"/>
        <w:ind w:right="85"/>
        <w:rPr>
          <w:color w:val="767171"/>
        </w:rPr>
      </w:pPr>
      <w:r w:rsidRPr="006D0445">
        <w:rPr>
          <w:color w:val="767171"/>
        </w:rPr>
        <w:t>Se realizó la implementación de sistema de telefonía IP para las 27 localidades de la institución, con la instalación de 97 extensiones telefónicas. Esta mejora aporta múltiples beneficios que optimizan tanto la calidad del servicio ofrecido como la eficiencia operativa de la institución. Entre los principales beneficios destacan la reducción de los costos operativos y la incorporación de funcionalidades avanzadas que potencian la integración y el desempeño de los sistemas de comunicación.</w:t>
      </w:r>
    </w:p>
    <w:p w14:paraId="139A5B56" w14:textId="77777777" w:rsidR="00A0354F" w:rsidRPr="006D0445" w:rsidRDefault="00A0354F" w:rsidP="008A1A95">
      <w:pPr>
        <w:spacing w:before="240" w:after="0"/>
        <w:ind w:right="85"/>
        <w:rPr>
          <w:color w:val="767171"/>
        </w:rPr>
      </w:pPr>
      <w:r w:rsidRPr="006D0445">
        <w:rPr>
          <w:color w:val="767171"/>
        </w:rPr>
        <w:t xml:space="preserve">Como parte de las iniciativas de fortalecimiento de la infraestructura tecnológica y de comunicaciones de la institución se realizó el despliegue de switch de comunicaciones con capacidades Gigabit y </w:t>
      </w:r>
      <w:proofErr w:type="spellStart"/>
      <w:r w:rsidRPr="006D0445">
        <w:rPr>
          <w:color w:val="767171"/>
        </w:rPr>
        <w:t>PoE</w:t>
      </w:r>
      <w:proofErr w:type="spellEnd"/>
      <w:r w:rsidRPr="006D0445">
        <w:rPr>
          <w:color w:val="767171"/>
        </w:rPr>
        <w:t xml:space="preserve"> para cada una de las 27 localidades de la institución.</w:t>
      </w:r>
    </w:p>
    <w:p w14:paraId="2E3D231A" w14:textId="24648FCE" w:rsidR="00BD03A8" w:rsidRDefault="00A0354F" w:rsidP="00BD03A8">
      <w:pPr>
        <w:spacing w:before="240" w:after="0"/>
        <w:ind w:right="85"/>
        <w:rPr>
          <w:color w:val="767171"/>
        </w:rPr>
      </w:pPr>
      <w:r w:rsidRPr="006D0445">
        <w:rPr>
          <w:color w:val="767171"/>
        </w:rPr>
        <w:t>Se implementó un nuevo sistema de Planificación de Recursos Empresariales (ERP) para los procesos financieros y de recursos humanos de la institución.</w:t>
      </w:r>
    </w:p>
    <w:p w14:paraId="1FF47001" w14:textId="77777777" w:rsidR="00940BFA" w:rsidRPr="00C448FD" w:rsidRDefault="00940BFA" w:rsidP="008A1A95">
      <w:pPr>
        <w:spacing w:before="240" w:after="0"/>
        <w:ind w:right="85"/>
        <w:rPr>
          <w:color w:val="767171"/>
          <w:lang w:val="es-ES"/>
        </w:rPr>
      </w:pPr>
      <w:bookmarkStart w:id="37" w:name="_Toc152259745"/>
      <w:r w:rsidRPr="00C448FD">
        <w:rPr>
          <w:b/>
          <w:bCs/>
          <w:color w:val="767171"/>
        </w:rPr>
        <w:t>Uso de las TIC para la simplificación de trámites y mejora de los procesos</w:t>
      </w:r>
      <w:bookmarkEnd w:id="37"/>
      <w:r w:rsidRPr="00C448FD">
        <w:rPr>
          <w:color w:val="767171"/>
          <w:lang w:val="es-ES"/>
        </w:rPr>
        <w:t xml:space="preserve"> </w:t>
      </w:r>
    </w:p>
    <w:p w14:paraId="2B264339" w14:textId="2D298C35" w:rsidR="0091660A" w:rsidRPr="006D0445" w:rsidRDefault="00940BFA" w:rsidP="008A1A95">
      <w:pPr>
        <w:spacing w:before="240" w:after="0"/>
        <w:ind w:right="85"/>
        <w:rPr>
          <w:color w:val="767171"/>
        </w:rPr>
      </w:pPr>
      <w:r w:rsidRPr="006D0445">
        <w:rPr>
          <w:color w:val="767171"/>
          <w:lang w:val="es-ES"/>
        </w:rPr>
        <w:t xml:space="preserve">Con la finalidad de </w:t>
      </w:r>
      <w:r w:rsidRPr="006D0445">
        <w:rPr>
          <w:color w:val="767171"/>
        </w:rPr>
        <w:t>cumplir con la iniciativa gubernamental para la simplificación de trámites</w:t>
      </w:r>
      <w:r w:rsidR="0091660A" w:rsidRPr="006D0445">
        <w:rPr>
          <w:color w:val="767171"/>
        </w:rPr>
        <w:t xml:space="preserve"> y la automatización y mejora de los procesos, se llevaron a cabo las siguientes iniciativas:</w:t>
      </w:r>
    </w:p>
    <w:p w14:paraId="07E0EA18" w14:textId="50FC9BC1" w:rsidR="00A0354F" w:rsidRPr="006D0445" w:rsidRDefault="00A0354F" w:rsidP="008A1A95">
      <w:pPr>
        <w:spacing w:before="240" w:after="0"/>
        <w:ind w:right="85"/>
        <w:rPr>
          <w:color w:val="767171"/>
        </w:rPr>
      </w:pPr>
      <w:r w:rsidRPr="006D0445">
        <w:rPr>
          <w:color w:val="767171"/>
        </w:rPr>
        <w:t>La</w:t>
      </w:r>
      <w:r w:rsidR="00BC5F4A">
        <w:rPr>
          <w:color w:val="767171"/>
        </w:rPr>
        <w:t xml:space="preserve"> SIE </w:t>
      </w:r>
      <w:r w:rsidRPr="006D0445">
        <w:rPr>
          <w:color w:val="767171"/>
        </w:rPr>
        <w:t>con la finalidad de cumplir con la iniciativa gubernamental para simplificación de trámites, el área de proyectos trabajo de manera conjunta con Pro Dominicana, en la habilitación del proceso Puesta en Servicio de obra eléctrica, logrando:</w:t>
      </w:r>
    </w:p>
    <w:p w14:paraId="5A814A72" w14:textId="6F8D4504" w:rsidR="00A0354F" w:rsidRPr="006D0445" w:rsidRDefault="00A0354F" w:rsidP="008A1A95">
      <w:pPr>
        <w:spacing w:before="240" w:after="0"/>
        <w:ind w:right="85"/>
        <w:rPr>
          <w:color w:val="767171"/>
        </w:rPr>
      </w:pPr>
      <w:r w:rsidRPr="006D0445">
        <w:rPr>
          <w:color w:val="767171"/>
        </w:rPr>
        <w:lastRenderedPageBreak/>
        <w:t xml:space="preserve">Como resultado de este proyecto, </w:t>
      </w:r>
      <w:r w:rsidR="00BC5F4A">
        <w:rPr>
          <w:color w:val="767171"/>
        </w:rPr>
        <w:t>se</w:t>
      </w:r>
      <w:r w:rsidRPr="006D0445">
        <w:rPr>
          <w:color w:val="767171"/>
        </w:rPr>
        <w:t xml:space="preserve"> diseñó el proceso de </w:t>
      </w:r>
      <w:proofErr w:type="spellStart"/>
      <w:r w:rsidRPr="006D0445">
        <w:rPr>
          <w:color w:val="767171"/>
        </w:rPr>
        <w:t>onboarding</w:t>
      </w:r>
      <w:proofErr w:type="spellEnd"/>
      <w:r w:rsidRPr="006D0445">
        <w:rPr>
          <w:color w:val="767171"/>
        </w:rPr>
        <w:t xml:space="preserve"> que se necesita para asegurar la gestión de trámites, la mejora los procesos y el desempeño a lo interno de la institución. Esta plataforma se utilizará para   gestionar todos los servicios que se pondrán a disposición del peticionario y los ciudadanos para realizar, dar seguimiento y recibir las respuestas a sus solicitudes en línea. </w:t>
      </w:r>
    </w:p>
    <w:p w14:paraId="2D11EC4E" w14:textId="77777777" w:rsidR="00A0354F" w:rsidRPr="006D0445" w:rsidRDefault="00A0354F" w:rsidP="008A1A95">
      <w:pPr>
        <w:pStyle w:val="Prrafodelista"/>
        <w:numPr>
          <w:ilvl w:val="0"/>
          <w:numId w:val="26"/>
        </w:numPr>
        <w:spacing w:before="240" w:after="0"/>
        <w:ind w:right="85"/>
        <w:rPr>
          <w:color w:val="767171"/>
        </w:rPr>
      </w:pPr>
      <w:r w:rsidRPr="006D0445">
        <w:rPr>
          <w:color w:val="767171"/>
        </w:rPr>
        <w:t xml:space="preserve">Se realizó una mesa de trabajo y se elaboró el reglamento de tramites digitales, para establecer los lineamientos relacionado a la gestión del trámite digital de cara al usuario. El mismo fue aprobado el 23 de agosto del 2024 y fue comunicado a través de audiencia pública. </w:t>
      </w:r>
    </w:p>
    <w:p w14:paraId="23A32D9A" w14:textId="77777777" w:rsidR="00A0354F" w:rsidRPr="006D0445" w:rsidRDefault="00A0354F" w:rsidP="008A1A95">
      <w:pPr>
        <w:spacing w:before="240" w:after="0"/>
        <w:ind w:right="85"/>
        <w:rPr>
          <w:color w:val="767171"/>
        </w:rPr>
      </w:pPr>
      <w:r w:rsidRPr="006D0445">
        <w:rPr>
          <w:color w:val="767171"/>
        </w:rPr>
        <w:t>Se inició el rediseñó, modificación y configuración del proceso de gestión de reclamos entre el usuario ciudadano y las Empresas Distribuidoras en la SIE, dentro de las acciones ejecutadas están:</w:t>
      </w:r>
    </w:p>
    <w:p w14:paraId="46192870"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Configuración del formulario para registro de reclamaciones en segunda instancia (reclamaciones PROTECOM).</w:t>
      </w:r>
    </w:p>
    <w:p w14:paraId="4E313311"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Se configuró el formulario modelo para reclamación Recurso Jerárquico (tercera instancia).</w:t>
      </w:r>
    </w:p>
    <w:p w14:paraId="5080FFF9"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Diseño y configuración del proceso adecuado para consulta y entrega de respuestas a los casos de tramitados para atención al usuario, para mejorar la efectividad de la entrega de decisiones o resoluciones y conservar la evidencia de cierre.</w:t>
      </w:r>
    </w:p>
    <w:p w14:paraId="7FE8C367" w14:textId="18A7C039" w:rsidR="00A0354F" w:rsidRPr="006D0445" w:rsidRDefault="00A0354F" w:rsidP="008A1A95">
      <w:pPr>
        <w:spacing w:before="240" w:after="0"/>
        <w:ind w:right="85"/>
        <w:rPr>
          <w:color w:val="767171"/>
        </w:rPr>
      </w:pPr>
      <w:r w:rsidRPr="006D0445">
        <w:rPr>
          <w:color w:val="767171"/>
        </w:rPr>
        <w:t>De cara a mejorar la seguridad de la información en el Subsector Eléctrico Dominicano y asegurar los sistemas y datos en caso de interoperabilidad</w:t>
      </w:r>
      <w:r w:rsidR="00BC5F4A">
        <w:rPr>
          <w:color w:val="767171"/>
        </w:rPr>
        <w:t>,</w:t>
      </w:r>
      <w:r w:rsidRPr="006D0445">
        <w:rPr>
          <w:color w:val="767171"/>
        </w:rPr>
        <w:t xml:space="preserve"> </w:t>
      </w:r>
      <w:r w:rsidR="00BC5F4A">
        <w:rPr>
          <w:color w:val="767171"/>
        </w:rPr>
        <w:t>se</w:t>
      </w:r>
      <w:r w:rsidRPr="006D0445">
        <w:rPr>
          <w:color w:val="767171"/>
        </w:rPr>
        <w:t xml:space="preserve"> elabor</w:t>
      </w:r>
      <w:r w:rsidR="00BC5F4A">
        <w:rPr>
          <w:color w:val="767171"/>
        </w:rPr>
        <w:t>ó</w:t>
      </w:r>
      <w:r w:rsidRPr="006D0445">
        <w:rPr>
          <w:color w:val="767171"/>
        </w:rPr>
        <w:t xml:space="preserve"> el reglamento de ciberseguridad a implementarse en el subsector eléctrico, que establece los lineamientos mínimos requeridos a los agentes. Este está en proceso de revisión final.</w:t>
      </w:r>
    </w:p>
    <w:p w14:paraId="1F9D3F5B" w14:textId="77777777" w:rsidR="00A0354F" w:rsidRPr="006D0445" w:rsidRDefault="00A0354F" w:rsidP="008A1A95">
      <w:pPr>
        <w:spacing w:before="240" w:after="0"/>
        <w:ind w:right="85"/>
        <w:rPr>
          <w:color w:val="767171"/>
        </w:rPr>
      </w:pPr>
      <w:r w:rsidRPr="006D0445">
        <w:rPr>
          <w:color w:val="767171"/>
        </w:rPr>
        <w:t xml:space="preserve">Se estableció la comisión de valoración documental, con la finalidad de implementar e impulsar una cultura de Gestión Documental para la institución. </w:t>
      </w:r>
    </w:p>
    <w:p w14:paraId="6E944020"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Se estableció la mesa de Gestión documental compuesta por una representación de todas las direcciones, para ir trabajando la estructuración de lo que sería el proyecto institucional de Gestión de Documentos y archivos de la Superintendencia de Electricidad.</w:t>
      </w:r>
    </w:p>
    <w:p w14:paraId="486D030F" w14:textId="363C10D1" w:rsidR="00BD03A8" w:rsidRDefault="00A0354F" w:rsidP="008A1A95">
      <w:pPr>
        <w:pStyle w:val="Prrafodelista"/>
        <w:numPr>
          <w:ilvl w:val="0"/>
          <w:numId w:val="27"/>
        </w:numPr>
        <w:spacing w:before="240" w:after="0"/>
        <w:ind w:left="709" w:right="85"/>
        <w:rPr>
          <w:color w:val="767171"/>
        </w:rPr>
      </w:pPr>
      <w:r w:rsidRPr="006D0445">
        <w:rPr>
          <w:color w:val="767171"/>
        </w:rPr>
        <w:t>Nos encontramos en la planeación de la intervención del fondo acumulado Institucional “denominada Fase I”, que consiste en el rescate del acervo documental de la SIE, plan estimado para iniciar en el mes de julio del presente año.</w:t>
      </w:r>
    </w:p>
    <w:p w14:paraId="395DE4D6" w14:textId="77777777" w:rsidR="00BD03A8" w:rsidRDefault="00BD03A8">
      <w:pPr>
        <w:spacing w:line="259" w:lineRule="auto"/>
        <w:jc w:val="left"/>
        <w:rPr>
          <w:color w:val="767171"/>
        </w:rPr>
      </w:pPr>
      <w:r>
        <w:rPr>
          <w:color w:val="767171"/>
        </w:rPr>
        <w:br w:type="page"/>
      </w:r>
    </w:p>
    <w:p w14:paraId="4631B4DC" w14:textId="602661CA" w:rsidR="00A0354F" w:rsidRPr="006D0445" w:rsidRDefault="00A0354F" w:rsidP="008A1A95">
      <w:pPr>
        <w:spacing w:before="240" w:after="0"/>
        <w:ind w:right="85"/>
        <w:rPr>
          <w:color w:val="767171"/>
        </w:rPr>
      </w:pPr>
      <w:r w:rsidRPr="006D0445">
        <w:rPr>
          <w:color w:val="767171"/>
        </w:rPr>
        <w:lastRenderedPageBreak/>
        <w:t xml:space="preserve">Se arquitecto y diseñó una solución (Tracking de documentos Legal) para llevar el control y seguimiento de la documentación que se procesa en esta área. Iniciando con la ventanilla física y llevando la trazabilidad del estatus de la gestión por cada responsable. </w:t>
      </w:r>
    </w:p>
    <w:p w14:paraId="7BF442CC" w14:textId="77777777" w:rsidR="00A0354F" w:rsidRPr="006D0445" w:rsidRDefault="00A0354F" w:rsidP="008A1A95">
      <w:pPr>
        <w:spacing w:before="240" w:after="0"/>
        <w:ind w:right="85"/>
        <w:rPr>
          <w:color w:val="767171"/>
        </w:rPr>
      </w:pPr>
      <w:r w:rsidRPr="006D0445">
        <w:rPr>
          <w:color w:val="767171"/>
        </w:rPr>
        <w:t>Se estableció el Comité de interoperabilidad de la Superintendencia de Electricidad. Como resultado de esto, se realizaron las siguientes acciones:</w:t>
      </w:r>
    </w:p>
    <w:p w14:paraId="64B37502" w14:textId="77777777" w:rsidR="00A0354F" w:rsidRPr="006D0445" w:rsidRDefault="00A0354F" w:rsidP="008A1A95">
      <w:pPr>
        <w:spacing w:before="240" w:after="0"/>
        <w:ind w:right="85"/>
        <w:rPr>
          <w:color w:val="767171"/>
        </w:rPr>
      </w:pPr>
      <w:r w:rsidRPr="006D0445">
        <w:rPr>
          <w:color w:val="767171"/>
        </w:rPr>
        <w:t>Se elaboró una resolución administrativa para declarar la composición del Comité de interoperabilidad y sus roles asociados.</w:t>
      </w:r>
    </w:p>
    <w:p w14:paraId="539CB2F4"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 xml:space="preserve">Se estableció la mesa técnica de interoperabilidad, las cuales están compuesta por personal interno del área de </w:t>
      </w:r>
      <w:proofErr w:type="spellStart"/>
      <w:r w:rsidRPr="006D0445">
        <w:rPr>
          <w:color w:val="767171"/>
        </w:rPr>
        <w:t>DTIC</w:t>
      </w:r>
      <w:proofErr w:type="spellEnd"/>
      <w:r w:rsidRPr="006D0445">
        <w:rPr>
          <w:color w:val="767171"/>
        </w:rPr>
        <w:t xml:space="preserve"> y MEMI. Este equipo se encarga de gestionar el plan de trabajo diseñado para lograr el cumplimiento de los reglamentos de calidad comercial, calidad del servicios y producto técnico, que se estará requiriendo a las empresas distribuidoras.</w:t>
      </w:r>
    </w:p>
    <w:p w14:paraId="3D8A23B1"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 xml:space="preserve">Se desarrolló con el área de minorista el tablero de Inteligencia de negocio para los indicadores que se generan para dar seguimiento al cumplimiento de las </w:t>
      </w:r>
      <w:proofErr w:type="spellStart"/>
      <w:r w:rsidRPr="006D0445">
        <w:rPr>
          <w:color w:val="767171"/>
        </w:rPr>
        <w:t>EDES</w:t>
      </w:r>
      <w:proofErr w:type="spellEnd"/>
      <w:r w:rsidRPr="006D0445">
        <w:rPr>
          <w:color w:val="767171"/>
        </w:rPr>
        <w:t xml:space="preserve">, inicialmente los indicadores de </w:t>
      </w:r>
      <w:proofErr w:type="spellStart"/>
      <w:r w:rsidRPr="006D0445">
        <w:rPr>
          <w:color w:val="767171"/>
        </w:rPr>
        <w:t>CAIDI</w:t>
      </w:r>
      <w:proofErr w:type="spellEnd"/>
      <w:r w:rsidRPr="006D0445">
        <w:rPr>
          <w:color w:val="767171"/>
        </w:rPr>
        <w:t xml:space="preserve">, </w:t>
      </w:r>
      <w:proofErr w:type="spellStart"/>
      <w:r w:rsidRPr="006D0445">
        <w:rPr>
          <w:color w:val="767171"/>
        </w:rPr>
        <w:t>SAIDI</w:t>
      </w:r>
      <w:proofErr w:type="spellEnd"/>
      <w:r w:rsidRPr="006D0445">
        <w:rPr>
          <w:color w:val="767171"/>
        </w:rPr>
        <w:t xml:space="preserve">, </w:t>
      </w:r>
      <w:proofErr w:type="spellStart"/>
      <w:r w:rsidRPr="006D0445">
        <w:rPr>
          <w:color w:val="767171"/>
        </w:rPr>
        <w:t>SAIFI</w:t>
      </w:r>
      <w:proofErr w:type="spellEnd"/>
      <w:r w:rsidRPr="006D0445">
        <w:rPr>
          <w:color w:val="767171"/>
        </w:rPr>
        <w:t xml:space="preserve">. Así mismo, estamos en la segunda fase, en proceso de evaluación de otros indicadores de medición a las </w:t>
      </w:r>
      <w:proofErr w:type="spellStart"/>
      <w:r w:rsidRPr="006D0445">
        <w:rPr>
          <w:color w:val="767171"/>
        </w:rPr>
        <w:t>EDES</w:t>
      </w:r>
      <w:proofErr w:type="spellEnd"/>
      <w:r w:rsidRPr="006D0445">
        <w:rPr>
          <w:color w:val="767171"/>
        </w:rPr>
        <w:t xml:space="preserve"> para generar la representación de estos datos.</w:t>
      </w:r>
    </w:p>
    <w:p w14:paraId="77880A19"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Se desarrollo una interfaz de comunicación con las distribuidoras para la automatización del proceso de gestión de reclamaciones para el beneficio de los usuarios del PROTECOM.</w:t>
      </w:r>
    </w:p>
    <w:p w14:paraId="38F86841" w14:textId="77777777" w:rsidR="00A0354F" w:rsidRPr="006D0445" w:rsidRDefault="00A0354F" w:rsidP="008A1A95">
      <w:pPr>
        <w:spacing w:before="240" w:after="0"/>
        <w:ind w:right="85"/>
        <w:rPr>
          <w:color w:val="767171"/>
        </w:rPr>
      </w:pPr>
      <w:r w:rsidRPr="006D0445">
        <w:rPr>
          <w:color w:val="767171"/>
        </w:rPr>
        <w:t>Automatización de campañas de llamadas salientes (</w:t>
      </w:r>
      <w:proofErr w:type="spellStart"/>
      <w:r w:rsidRPr="006D0445">
        <w:rPr>
          <w:color w:val="767171"/>
        </w:rPr>
        <w:t>outbound</w:t>
      </w:r>
      <w:proofErr w:type="spellEnd"/>
      <w:r w:rsidRPr="006D0445">
        <w:rPr>
          <w:color w:val="767171"/>
        </w:rPr>
        <w:t>), tales como:</w:t>
      </w:r>
    </w:p>
    <w:p w14:paraId="2CC4532A"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Notificaciones de Resoluciones Recursos Jerárquicos disponibles para entrega.</w:t>
      </w:r>
    </w:p>
    <w:p w14:paraId="02B74C07" w14:textId="77777777" w:rsidR="00A0354F" w:rsidRPr="006D0445" w:rsidRDefault="00A0354F" w:rsidP="008A1A95">
      <w:pPr>
        <w:pStyle w:val="Prrafodelista"/>
        <w:numPr>
          <w:ilvl w:val="0"/>
          <w:numId w:val="27"/>
        </w:numPr>
        <w:spacing w:before="240" w:after="0"/>
        <w:ind w:left="709" w:right="85"/>
        <w:rPr>
          <w:color w:val="767171"/>
        </w:rPr>
      </w:pPr>
      <w:r w:rsidRPr="006D0445">
        <w:rPr>
          <w:color w:val="767171"/>
        </w:rPr>
        <w:t>Notificaciones a Usuarios de Recursos Jerárquicos interpuestos por las Distribuidoras.</w:t>
      </w:r>
    </w:p>
    <w:p w14:paraId="204E579E" w14:textId="287DE914" w:rsidR="00A0354F" w:rsidRPr="006D0445" w:rsidRDefault="00A0354F" w:rsidP="008A1A95">
      <w:pPr>
        <w:pStyle w:val="Prrafodelista"/>
        <w:numPr>
          <w:ilvl w:val="0"/>
          <w:numId w:val="27"/>
        </w:numPr>
        <w:spacing w:before="240" w:after="0"/>
        <w:ind w:left="709" w:right="85"/>
        <w:rPr>
          <w:color w:val="767171"/>
        </w:rPr>
      </w:pPr>
      <w:r w:rsidRPr="006D0445">
        <w:rPr>
          <w:color w:val="767171"/>
        </w:rPr>
        <w:t>Notificaciones de Certificaciones Artefactos Quemados.</w:t>
      </w:r>
    </w:p>
    <w:p w14:paraId="7C091F08" w14:textId="2D055AED" w:rsidR="00A0354F" w:rsidRPr="006D0445" w:rsidRDefault="00A0354F" w:rsidP="008A1A95">
      <w:pPr>
        <w:spacing w:before="240" w:after="0"/>
        <w:ind w:right="85"/>
        <w:rPr>
          <w:color w:val="767171"/>
        </w:rPr>
      </w:pPr>
      <w:r w:rsidRPr="006D0445">
        <w:rPr>
          <w:color w:val="767171"/>
        </w:rPr>
        <w:t>Campaña permanente de educación y concientización para desarrollar al usuario digital; aprovechando cada contacto, para orientar sobre los beneficios de utilizar la plataforma de Protecom en línea, para autogestión.</w:t>
      </w:r>
    </w:p>
    <w:p w14:paraId="5F15925D" w14:textId="1E1CE6B7" w:rsidR="00921DE8" w:rsidRPr="006D0445" w:rsidRDefault="00921DE8" w:rsidP="008A1A95">
      <w:pPr>
        <w:jc w:val="left"/>
        <w:rPr>
          <w:color w:val="767171"/>
        </w:rPr>
      </w:pPr>
      <w:r w:rsidRPr="006D0445">
        <w:rPr>
          <w:color w:val="767171"/>
        </w:rPr>
        <w:br w:type="page"/>
      </w:r>
    </w:p>
    <w:p w14:paraId="714C13D7" w14:textId="77777777" w:rsidR="0017697F" w:rsidRPr="006D0445" w:rsidRDefault="0017697F" w:rsidP="008A1A95">
      <w:pPr>
        <w:spacing w:after="0"/>
        <w:ind w:right="85"/>
        <w:rPr>
          <w:b/>
          <w:bCs/>
          <w:color w:val="767171"/>
        </w:rPr>
      </w:pPr>
      <w:bookmarkStart w:id="38" w:name="_Toc152259746"/>
      <w:bookmarkStart w:id="39" w:name="_Toc183437172"/>
      <w:r w:rsidRPr="006D0445">
        <w:rPr>
          <w:b/>
          <w:bCs/>
          <w:color w:val="767171"/>
        </w:rPr>
        <w:lastRenderedPageBreak/>
        <w:t>Mantenimiento y obtención de Certificaciones</w:t>
      </w:r>
      <w:bookmarkEnd w:id="38"/>
      <w:bookmarkEnd w:id="39"/>
      <w:r w:rsidRPr="006D0445">
        <w:rPr>
          <w:b/>
          <w:bCs/>
          <w:color w:val="767171"/>
        </w:rPr>
        <w:t xml:space="preserve"> </w:t>
      </w:r>
    </w:p>
    <w:p w14:paraId="78B84F10" w14:textId="77777777" w:rsidR="0017697F" w:rsidRPr="006D0445" w:rsidRDefault="0017697F" w:rsidP="008A1A95">
      <w:pPr>
        <w:spacing w:after="0"/>
        <w:ind w:right="85"/>
        <w:rPr>
          <w:color w:val="767171"/>
        </w:rPr>
      </w:pPr>
      <w:r w:rsidRPr="006D0445">
        <w:rPr>
          <w:color w:val="767171"/>
        </w:rPr>
        <w:t>Para mantener el cumplimiento normativo que exige la Oficina Gubernamental de Tecnología de la información y Comunicación (</w:t>
      </w:r>
      <w:proofErr w:type="spellStart"/>
      <w:r w:rsidRPr="006D0445">
        <w:rPr>
          <w:color w:val="767171"/>
        </w:rPr>
        <w:t>OGTIC</w:t>
      </w:r>
      <w:proofErr w:type="spellEnd"/>
      <w:r w:rsidRPr="006D0445">
        <w:rPr>
          <w:color w:val="767171"/>
        </w:rPr>
        <w:t>) a nivel institucional y de cara a mantener la mejora de los procesos e implementación de TIC en la SIE, la Dirección de Tecnología de la Información y Comunicaciones realizó las siguientes acciones:</w:t>
      </w:r>
    </w:p>
    <w:p w14:paraId="51BE18CA" w14:textId="77777777" w:rsidR="0017697F" w:rsidRPr="00C448FD" w:rsidRDefault="0017697F" w:rsidP="008A1A95">
      <w:pPr>
        <w:numPr>
          <w:ilvl w:val="0"/>
          <w:numId w:val="22"/>
        </w:numPr>
        <w:spacing w:after="0"/>
        <w:ind w:right="85"/>
        <w:rPr>
          <w:bCs/>
          <w:color w:val="767171"/>
        </w:rPr>
      </w:pPr>
      <w:r w:rsidRPr="006D0445">
        <w:rPr>
          <w:color w:val="767171"/>
        </w:rPr>
        <w:t xml:space="preserve">Se realizó la reevaluación de la </w:t>
      </w:r>
      <w:proofErr w:type="spellStart"/>
      <w:r w:rsidRPr="006D0445">
        <w:rPr>
          <w:color w:val="767171"/>
        </w:rPr>
        <w:t>Nortic</w:t>
      </w:r>
      <w:proofErr w:type="spellEnd"/>
      <w:r w:rsidRPr="006D0445">
        <w:rPr>
          <w:color w:val="767171"/>
        </w:rPr>
        <w:t xml:space="preserve"> A3 en el segundo trimestre del periodo 2024 y </w:t>
      </w:r>
      <w:r w:rsidRPr="00C448FD">
        <w:rPr>
          <w:bCs/>
          <w:color w:val="767171"/>
        </w:rPr>
        <w:t xml:space="preserve">Se obtuvo la Recertificación de esta normativa el 17-07-2024 por la parte de la </w:t>
      </w:r>
      <w:proofErr w:type="spellStart"/>
      <w:r w:rsidRPr="00C448FD">
        <w:rPr>
          <w:bCs/>
          <w:color w:val="767171"/>
        </w:rPr>
        <w:t>OGTIC</w:t>
      </w:r>
      <w:proofErr w:type="spellEnd"/>
      <w:r w:rsidRPr="00C448FD">
        <w:rPr>
          <w:bCs/>
          <w:color w:val="767171"/>
        </w:rPr>
        <w:t>.</w:t>
      </w:r>
    </w:p>
    <w:p w14:paraId="04C9E084" w14:textId="77777777" w:rsidR="0017697F" w:rsidRPr="006D0445" w:rsidRDefault="0017697F" w:rsidP="008A1A95">
      <w:pPr>
        <w:numPr>
          <w:ilvl w:val="0"/>
          <w:numId w:val="22"/>
        </w:numPr>
        <w:spacing w:after="0"/>
        <w:ind w:right="85"/>
        <w:rPr>
          <w:color w:val="767171"/>
        </w:rPr>
      </w:pPr>
      <w:r w:rsidRPr="006D0445">
        <w:rPr>
          <w:color w:val="767171"/>
        </w:rPr>
        <w:t xml:space="preserve">Se realizó la evaluación de la </w:t>
      </w:r>
      <w:proofErr w:type="spellStart"/>
      <w:r w:rsidRPr="006D0445">
        <w:rPr>
          <w:color w:val="767171"/>
        </w:rPr>
        <w:t>Nortic</w:t>
      </w:r>
      <w:proofErr w:type="spellEnd"/>
      <w:r w:rsidRPr="006D0445">
        <w:rPr>
          <w:color w:val="767171"/>
        </w:rPr>
        <w:t xml:space="preserve"> E1 en el mes de noviembre 2024, estamos en proceso de auditoría por parte de la </w:t>
      </w:r>
      <w:proofErr w:type="spellStart"/>
      <w:r w:rsidRPr="006D0445">
        <w:rPr>
          <w:color w:val="767171"/>
        </w:rPr>
        <w:t>Ogtic</w:t>
      </w:r>
      <w:proofErr w:type="spellEnd"/>
      <w:r w:rsidRPr="006D0445">
        <w:rPr>
          <w:color w:val="767171"/>
        </w:rPr>
        <w:t xml:space="preserve"> y a la espera de la validación del proceso de recertificación.</w:t>
      </w:r>
    </w:p>
    <w:p w14:paraId="6023C0C8" w14:textId="125923A7" w:rsidR="00921DE8" w:rsidRPr="006D0445" w:rsidRDefault="0017697F" w:rsidP="008A1A95">
      <w:pPr>
        <w:numPr>
          <w:ilvl w:val="0"/>
          <w:numId w:val="22"/>
        </w:numPr>
        <w:spacing w:after="0"/>
        <w:ind w:right="85"/>
        <w:rPr>
          <w:color w:val="767171"/>
        </w:rPr>
      </w:pPr>
      <w:r w:rsidRPr="006D0445">
        <w:rPr>
          <w:color w:val="767171"/>
        </w:rPr>
        <w:t xml:space="preserve">Elaboración de la </w:t>
      </w:r>
      <w:r w:rsidR="00E11990" w:rsidRPr="006D0445">
        <w:rPr>
          <w:color w:val="767171"/>
        </w:rPr>
        <w:t>política</w:t>
      </w:r>
      <w:r w:rsidRPr="006D0445">
        <w:rPr>
          <w:color w:val="767171"/>
        </w:rPr>
        <w:t xml:space="preserve"> de gestión de portales Web, para el cumplimiento de la </w:t>
      </w:r>
      <w:proofErr w:type="spellStart"/>
      <w:r w:rsidRPr="006D0445">
        <w:rPr>
          <w:color w:val="767171"/>
        </w:rPr>
        <w:t>Nortic</w:t>
      </w:r>
      <w:proofErr w:type="spellEnd"/>
      <w:r w:rsidRPr="006D0445">
        <w:rPr>
          <w:color w:val="767171"/>
        </w:rPr>
        <w:t xml:space="preserve"> A2 versión 2023. Se iniciará el proceso de recertificación a inicios de diciembre 2024.</w:t>
      </w:r>
    </w:p>
    <w:p w14:paraId="0BEFE55A" w14:textId="77777777" w:rsidR="00921DE8" w:rsidRPr="006D0445" w:rsidRDefault="00921DE8" w:rsidP="008A1A95">
      <w:pPr>
        <w:spacing w:after="0"/>
        <w:ind w:left="720" w:right="85"/>
        <w:rPr>
          <w:color w:val="767171"/>
        </w:rPr>
      </w:pPr>
    </w:p>
    <w:p w14:paraId="4734D0DB" w14:textId="77777777" w:rsidR="0017697F" w:rsidRPr="006D0445" w:rsidRDefault="0017697F" w:rsidP="008A1A95">
      <w:pPr>
        <w:spacing w:after="0"/>
        <w:ind w:right="85"/>
        <w:rPr>
          <w:b/>
          <w:bCs/>
          <w:color w:val="767171"/>
        </w:rPr>
      </w:pPr>
      <w:bookmarkStart w:id="40" w:name="_Toc183437173"/>
      <w:r w:rsidRPr="006D0445">
        <w:rPr>
          <w:b/>
          <w:bCs/>
          <w:color w:val="767171"/>
        </w:rPr>
        <w:t>Desempeño de los servicios de Soporte y Mesa de Servicios (Mesa de ayuda)</w:t>
      </w:r>
      <w:bookmarkEnd w:id="40"/>
      <w:r w:rsidRPr="006D0445">
        <w:rPr>
          <w:b/>
          <w:bCs/>
          <w:color w:val="767171"/>
        </w:rPr>
        <w:t xml:space="preserve"> </w:t>
      </w:r>
    </w:p>
    <w:p w14:paraId="503D44FD" w14:textId="574D5BE9" w:rsidR="0017697F" w:rsidRPr="006D0445" w:rsidRDefault="0017697F" w:rsidP="008A1A95">
      <w:pPr>
        <w:spacing w:after="0"/>
        <w:ind w:right="85"/>
        <w:rPr>
          <w:color w:val="767171"/>
        </w:rPr>
      </w:pPr>
      <w:r w:rsidRPr="006D0445">
        <w:rPr>
          <w:color w:val="767171"/>
        </w:rPr>
        <w:t xml:space="preserve">La Mesa de Servicios recibió y gestiono durante el </w:t>
      </w:r>
      <w:r w:rsidR="008A1A95">
        <w:rPr>
          <w:color w:val="767171"/>
        </w:rPr>
        <w:t>2024 un total de 5,866</w:t>
      </w:r>
      <w:r w:rsidRPr="006D0445">
        <w:rPr>
          <w:color w:val="767171"/>
        </w:rPr>
        <w:t xml:space="preserve"> </w:t>
      </w:r>
      <w:proofErr w:type="gramStart"/>
      <w:r w:rsidRPr="006D0445">
        <w:rPr>
          <w:color w:val="767171"/>
        </w:rPr>
        <w:t>tickets</w:t>
      </w:r>
      <w:proofErr w:type="gramEnd"/>
      <w:r w:rsidRPr="006D0445">
        <w:rPr>
          <w:color w:val="767171"/>
        </w:rPr>
        <w:t xml:space="preserve">; los cuales fueron procesados por los diferentes departamentos de la Dirección de Tecnología de la Información &amp; Comunicaciones. En lo adelante se presentará una tabla y un gráfico con dichos indicadores. </w:t>
      </w:r>
    </w:p>
    <w:p w14:paraId="18818263" w14:textId="3A4C01BE" w:rsidR="00000EF0" w:rsidRPr="006D0445" w:rsidRDefault="00000EF0" w:rsidP="00000EF0">
      <w:pPr>
        <w:spacing w:after="0"/>
        <w:ind w:right="85"/>
        <w:rPr>
          <w:rFonts w:eastAsia="Times New Roman"/>
          <w:color w:val="767171"/>
          <w:kern w:val="2"/>
          <w14:ligatures w14:val="standardContextual"/>
        </w:rPr>
      </w:pPr>
    </w:p>
    <w:p w14:paraId="17D88714" w14:textId="4B864058"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9</w:t>
      </w:r>
      <w:r w:rsidRPr="006D0445">
        <w:rPr>
          <w:color w:val="767171"/>
        </w:rPr>
        <w:fldChar w:fldCharType="end"/>
      </w:r>
      <w:r w:rsidRPr="006D0445">
        <w:rPr>
          <w:color w:val="767171"/>
        </w:rPr>
        <w:t>Desempeño Mesa de Ayuda.</w:t>
      </w:r>
    </w:p>
    <w:tbl>
      <w:tblPr>
        <w:tblW w:w="7792" w:type="dxa"/>
        <w:tblCellMar>
          <w:left w:w="70" w:type="dxa"/>
          <w:right w:w="70" w:type="dxa"/>
        </w:tblCellMar>
        <w:tblLook w:val="04A0" w:firstRow="1" w:lastRow="0" w:firstColumn="1" w:lastColumn="0" w:noHBand="0" w:noVBand="1"/>
      </w:tblPr>
      <w:tblGrid>
        <w:gridCol w:w="1696"/>
        <w:gridCol w:w="1134"/>
        <w:gridCol w:w="1134"/>
        <w:gridCol w:w="1276"/>
        <w:gridCol w:w="1418"/>
        <w:gridCol w:w="1134"/>
      </w:tblGrid>
      <w:tr w:rsidR="006D0445" w:rsidRPr="006D0445" w14:paraId="4675EAE0" w14:textId="77777777" w:rsidTr="00795A10">
        <w:trPr>
          <w:trHeight w:val="684"/>
        </w:trPr>
        <w:tc>
          <w:tcPr>
            <w:tcW w:w="1696"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B73C70A" w14:textId="77777777" w:rsidR="00000EF0" w:rsidRPr="00832511" w:rsidRDefault="00000EF0" w:rsidP="00B74283">
            <w:pPr>
              <w:spacing w:after="0" w:line="240" w:lineRule="auto"/>
              <w:rPr>
                <w:rFonts w:eastAsia="Times New Roman"/>
                <w:b/>
                <w:bCs/>
                <w:color w:val="FFFFFF" w:themeColor="background1"/>
                <w:sz w:val="20"/>
                <w:szCs w:val="20"/>
              </w:rPr>
            </w:pPr>
            <w:r w:rsidRPr="00832511">
              <w:rPr>
                <w:rFonts w:eastAsia="Times New Roman"/>
                <w:b/>
                <w:bCs/>
                <w:color w:val="FFFFFF" w:themeColor="background1"/>
                <w:sz w:val="20"/>
                <w:szCs w:val="20"/>
              </w:rPr>
              <w:t>Mesa de ayuda TIC</w:t>
            </w:r>
          </w:p>
        </w:tc>
        <w:tc>
          <w:tcPr>
            <w:tcW w:w="1134"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63A79183" w14:textId="77777777" w:rsidR="00000EF0" w:rsidRPr="00832511" w:rsidRDefault="00000EF0" w:rsidP="00B74283">
            <w:pPr>
              <w:spacing w:after="0" w:line="240" w:lineRule="auto"/>
              <w:jc w:val="center"/>
              <w:rPr>
                <w:rFonts w:eastAsia="Times New Roman"/>
                <w:b/>
                <w:bCs/>
                <w:color w:val="FFFFFF" w:themeColor="background1"/>
                <w:sz w:val="20"/>
                <w:szCs w:val="20"/>
              </w:rPr>
            </w:pPr>
            <w:r w:rsidRPr="00832511">
              <w:rPr>
                <w:rFonts w:eastAsia="Times New Roman"/>
                <w:b/>
                <w:bCs/>
                <w:color w:val="FFFFFF" w:themeColor="background1"/>
                <w:sz w:val="20"/>
                <w:szCs w:val="20"/>
              </w:rPr>
              <w:t>Recibidos</w:t>
            </w:r>
          </w:p>
        </w:tc>
        <w:tc>
          <w:tcPr>
            <w:tcW w:w="1134"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70925E8A" w14:textId="77777777" w:rsidR="00000EF0" w:rsidRPr="00832511" w:rsidRDefault="00000EF0" w:rsidP="00B74283">
            <w:pPr>
              <w:spacing w:after="0" w:line="240" w:lineRule="auto"/>
              <w:jc w:val="center"/>
              <w:rPr>
                <w:rFonts w:eastAsia="Times New Roman"/>
                <w:b/>
                <w:bCs/>
                <w:color w:val="FFFFFF" w:themeColor="background1"/>
                <w:sz w:val="20"/>
                <w:szCs w:val="20"/>
              </w:rPr>
            </w:pPr>
            <w:r w:rsidRPr="00832511">
              <w:rPr>
                <w:rFonts w:eastAsia="Times New Roman"/>
                <w:b/>
                <w:bCs/>
                <w:color w:val="FFFFFF" w:themeColor="background1"/>
                <w:sz w:val="20"/>
                <w:szCs w:val="20"/>
              </w:rPr>
              <w:t xml:space="preserve">Resueltos </w:t>
            </w:r>
          </w:p>
        </w:tc>
        <w:tc>
          <w:tcPr>
            <w:tcW w:w="1276"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A41B6AA" w14:textId="77777777" w:rsidR="00000EF0" w:rsidRPr="00832511" w:rsidRDefault="00000EF0" w:rsidP="00B74283">
            <w:pPr>
              <w:spacing w:after="0" w:line="240" w:lineRule="auto"/>
              <w:jc w:val="center"/>
              <w:rPr>
                <w:rFonts w:eastAsia="Times New Roman"/>
                <w:b/>
                <w:bCs/>
                <w:color w:val="FFFFFF" w:themeColor="background1"/>
                <w:sz w:val="20"/>
                <w:szCs w:val="20"/>
              </w:rPr>
            </w:pPr>
            <w:r w:rsidRPr="00832511">
              <w:rPr>
                <w:rFonts w:eastAsia="Times New Roman"/>
                <w:b/>
                <w:bCs/>
                <w:color w:val="FFFFFF" w:themeColor="background1"/>
                <w:sz w:val="20"/>
                <w:szCs w:val="20"/>
              </w:rPr>
              <w:t>Sin Cerrar</w:t>
            </w:r>
          </w:p>
        </w:tc>
        <w:tc>
          <w:tcPr>
            <w:tcW w:w="1418"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06096C35" w14:textId="77777777" w:rsidR="00000EF0" w:rsidRPr="00832511" w:rsidRDefault="00000EF0" w:rsidP="00B74283">
            <w:pPr>
              <w:spacing w:after="0" w:line="240" w:lineRule="auto"/>
              <w:jc w:val="center"/>
              <w:rPr>
                <w:rFonts w:eastAsia="Times New Roman"/>
                <w:b/>
                <w:bCs/>
                <w:color w:val="FFFFFF" w:themeColor="background1"/>
                <w:sz w:val="20"/>
                <w:szCs w:val="20"/>
              </w:rPr>
            </w:pPr>
            <w:r w:rsidRPr="00832511">
              <w:rPr>
                <w:rFonts w:eastAsia="Times New Roman"/>
                <w:b/>
                <w:bCs/>
                <w:color w:val="FFFFFF" w:themeColor="background1"/>
                <w:sz w:val="20"/>
                <w:szCs w:val="20"/>
              </w:rPr>
              <w:t>Cerrados en Atraso</w:t>
            </w:r>
          </w:p>
        </w:tc>
        <w:tc>
          <w:tcPr>
            <w:tcW w:w="1134"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288D591" w14:textId="77777777" w:rsidR="00000EF0" w:rsidRPr="00832511" w:rsidRDefault="00000EF0" w:rsidP="00B74283">
            <w:pPr>
              <w:spacing w:after="0" w:line="240" w:lineRule="auto"/>
              <w:jc w:val="center"/>
              <w:rPr>
                <w:rFonts w:eastAsia="Times New Roman"/>
                <w:b/>
                <w:bCs/>
                <w:color w:val="FFFFFF" w:themeColor="background1"/>
                <w:sz w:val="20"/>
                <w:szCs w:val="20"/>
              </w:rPr>
            </w:pPr>
            <w:r w:rsidRPr="00832511">
              <w:rPr>
                <w:rFonts w:eastAsia="Times New Roman"/>
                <w:b/>
                <w:bCs/>
                <w:color w:val="FFFFFF" w:themeColor="background1"/>
                <w:sz w:val="20"/>
                <w:szCs w:val="20"/>
              </w:rPr>
              <w:t>Efectividad</w:t>
            </w:r>
          </w:p>
        </w:tc>
      </w:tr>
      <w:tr w:rsidR="006D0445" w:rsidRPr="006D0445" w14:paraId="18C0F506" w14:textId="77777777" w:rsidTr="00795A10">
        <w:trPr>
          <w:trHeight w:val="653"/>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06CFE" w14:textId="77777777" w:rsidR="00000EF0" w:rsidRPr="006D0445" w:rsidRDefault="00000EF0" w:rsidP="00000EF0">
            <w:pPr>
              <w:spacing w:after="0" w:line="240" w:lineRule="auto"/>
              <w:rPr>
                <w:rFonts w:eastAsia="Times New Roman"/>
                <w:color w:val="767171"/>
                <w:kern w:val="2"/>
                <w:sz w:val="20"/>
                <w:szCs w:val="20"/>
                <w14:ligatures w14:val="standardContextual"/>
              </w:rPr>
            </w:pPr>
            <w:r w:rsidRPr="006D0445">
              <w:rPr>
                <w:rFonts w:eastAsia="Times New Roman"/>
                <w:color w:val="767171"/>
                <w:kern w:val="2"/>
                <w:sz w:val="20"/>
                <w:szCs w:val="20"/>
                <w14:ligatures w14:val="standardContextual"/>
              </w:rPr>
              <w:t>Cantidad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22090A" w14:textId="30148FD7" w:rsidR="00000EF0" w:rsidRPr="006D0445" w:rsidRDefault="00000EF0" w:rsidP="00000EF0">
            <w:pPr>
              <w:spacing w:after="0" w:line="240" w:lineRule="auto"/>
              <w:jc w:val="center"/>
              <w:rPr>
                <w:rFonts w:eastAsia="Times New Roman"/>
                <w:color w:val="767171"/>
                <w:kern w:val="2"/>
                <w:sz w:val="20"/>
                <w:szCs w:val="20"/>
                <w14:ligatures w14:val="standardContextual"/>
              </w:rPr>
            </w:pPr>
            <w:r w:rsidRPr="006D0445">
              <w:rPr>
                <w:b/>
                <w:bCs/>
                <w:color w:val="767171"/>
                <w:lang w:val="en-US"/>
              </w:rPr>
              <w:t>5,866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B26511" w14:textId="617CF336" w:rsidR="00000EF0" w:rsidRPr="006D0445" w:rsidRDefault="00000EF0" w:rsidP="00000EF0">
            <w:pPr>
              <w:spacing w:after="0" w:line="240" w:lineRule="auto"/>
              <w:jc w:val="center"/>
              <w:rPr>
                <w:rFonts w:eastAsia="Times New Roman"/>
                <w:color w:val="767171"/>
                <w:kern w:val="2"/>
                <w:sz w:val="20"/>
                <w:szCs w:val="20"/>
                <w14:ligatures w14:val="standardContextual"/>
              </w:rPr>
            </w:pPr>
            <w:r w:rsidRPr="006D0445">
              <w:rPr>
                <w:b/>
                <w:bCs/>
                <w:color w:val="767171"/>
                <w:lang w:val="en-US"/>
              </w:rPr>
              <w:t>5,855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DC137E" w14:textId="1EAD0A65" w:rsidR="00000EF0" w:rsidRPr="006D0445" w:rsidRDefault="00000EF0" w:rsidP="00000EF0">
            <w:pPr>
              <w:spacing w:after="0" w:line="240" w:lineRule="auto"/>
              <w:jc w:val="center"/>
              <w:rPr>
                <w:rFonts w:eastAsia="Times New Roman"/>
                <w:color w:val="767171"/>
                <w:kern w:val="2"/>
                <w:sz w:val="20"/>
                <w:szCs w:val="20"/>
                <w14:ligatures w14:val="standardContextual"/>
              </w:rPr>
            </w:pPr>
            <w:r w:rsidRPr="006D0445">
              <w:rPr>
                <w:rFonts w:eastAsia="Times New Roman"/>
                <w:color w:val="767171"/>
                <w:kern w:val="2"/>
                <w:sz w:val="20"/>
                <w:szCs w:val="20"/>
                <w14:ligatures w14:val="standardContextual"/>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E4AC34" w14:textId="658B74C0" w:rsidR="00000EF0" w:rsidRPr="006D0445" w:rsidRDefault="00000EF0" w:rsidP="00000EF0">
            <w:pPr>
              <w:spacing w:after="0" w:line="240" w:lineRule="auto"/>
              <w:jc w:val="center"/>
              <w:rPr>
                <w:rFonts w:eastAsia="Times New Roman"/>
                <w:color w:val="767171"/>
                <w:kern w:val="2"/>
                <w:sz w:val="20"/>
                <w:szCs w:val="20"/>
                <w14:ligatures w14:val="standardContextual"/>
              </w:rPr>
            </w:pPr>
            <w:r w:rsidRPr="006D0445">
              <w:rPr>
                <w:rFonts w:eastAsia="Times New Roman"/>
                <w:color w:val="767171"/>
                <w:kern w:val="2"/>
                <w:sz w:val="20"/>
                <w:szCs w:val="20"/>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AF223A" w14:textId="060DF2C0" w:rsidR="00000EF0" w:rsidRPr="006D0445" w:rsidRDefault="00000EF0" w:rsidP="00000EF0">
            <w:pPr>
              <w:spacing w:after="0" w:line="240" w:lineRule="auto"/>
              <w:jc w:val="center"/>
              <w:rPr>
                <w:rFonts w:eastAsia="Times New Roman"/>
                <w:color w:val="767171"/>
                <w:kern w:val="2"/>
                <w:sz w:val="20"/>
                <w:szCs w:val="20"/>
                <w14:ligatures w14:val="standardContextual"/>
              </w:rPr>
            </w:pPr>
            <w:r w:rsidRPr="006D0445">
              <w:rPr>
                <w:b/>
                <w:bCs/>
                <w:color w:val="767171"/>
                <w:lang w:val="en-US"/>
              </w:rPr>
              <w:t>99.81%</w:t>
            </w:r>
          </w:p>
        </w:tc>
      </w:tr>
    </w:tbl>
    <w:p w14:paraId="3D849483" w14:textId="77777777" w:rsidR="00000EF0" w:rsidRPr="006D0445" w:rsidRDefault="00000EF0" w:rsidP="00000EF0">
      <w:pPr>
        <w:spacing w:after="0"/>
        <w:ind w:right="85"/>
        <w:rPr>
          <w:rFonts w:eastAsia="Times New Roman"/>
          <w:color w:val="767171"/>
          <w:kern w:val="2"/>
          <w14:ligatures w14:val="standardContextual"/>
        </w:rPr>
      </w:pPr>
      <w:r w:rsidRPr="006D0445">
        <w:rPr>
          <w:rFonts w:eastAsia="Times New Roman"/>
          <w:color w:val="767171"/>
          <w:sz w:val="18"/>
          <w:szCs w:val="18"/>
        </w:rPr>
        <w:t>Fuente: Dirección Tecnología SIE</w:t>
      </w:r>
    </w:p>
    <w:p w14:paraId="7AF04EEA" w14:textId="77777777" w:rsidR="001A00FC" w:rsidRPr="006D0445" w:rsidRDefault="0017697F" w:rsidP="001A00FC">
      <w:pPr>
        <w:keepNext/>
        <w:spacing w:after="0"/>
        <w:ind w:right="85"/>
        <w:rPr>
          <w:color w:val="767171"/>
        </w:rPr>
      </w:pPr>
      <w:r w:rsidRPr="006D0445">
        <w:rPr>
          <w:noProof/>
          <w:color w:val="767171"/>
        </w:rPr>
        <w:drawing>
          <wp:inline distT="0" distB="0" distL="0" distR="0" wp14:anchorId="6C0E7C87" wp14:editId="38DAF17E">
            <wp:extent cx="5029200" cy="2819400"/>
            <wp:effectExtent l="0" t="0" r="0" b="0"/>
            <wp:docPr id="695559435" name="Imagen 5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4354393" descr="Interfaz de usuario gráfica, Aplicación&#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0" cy="2819400"/>
                    </a:xfrm>
                    <a:prstGeom prst="rect">
                      <a:avLst/>
                    </a:prstGeom>
                    <a:noFill/>
                    <a:ln>
                      <a:noFill/>
                    </a:ln>
                  </pic:spPr>
                </pic:pic>
              </a:graphicData>
            </a:graphic>
          </wp:inline>
        </w:drawing>
      </w:r>
    </w:p>
    <w:p w14:paraId="0624C8C8" w14:textId="31E90520" w:rsidR="0017697F" w:rsidRPr="006D0445" w:rsidRDefault="001A00FC" w:rsidP="001A00FC">
      <w:pPr>
        <w:pStyle w:val="Descripcin"/>
        <w:rPr>
          <w:color w:val="767171"/>
        </w:rPr>
      </w:pPr>
      <w:r w:rsidRPr="006D0445">
        <w:rPr>
          <w:color w:val="767171"/>
        </w:rPr>
        <w:t xml:space="preserve">Ilustración </w:t>
      </w:r>
      <w:r w:rsidRPr="006D0445">
        <w:rPr>
          <w:color w:val="767171"/>
        </w:rPr>
        <w:fldChar w:fldCharType="begin"/>
      </w:r>
      <w:r w:rsidRPr="006D0445">
        <w:rPr>
          <w:color w:val="767171"/>
        </w:rPr>
        <w:instrText xml:space="preserve"> SEQ Ilustración \* ARABIC </w:instrText>
      </w:r>
      <w:r w:rsidRPr="006D0445">
        <w:rPr>
          <w:color w:val="767171"/>
        </w:rPr>
        <w:fldChar w:fldCharType="separate"/>
      </w:r>
      <w:r w:rsidR="002F127B">
        <w:rPr>
          <w:noProof/>
          <w:color w:val="767171"/>
        </w:rPr>
        <w:t>1</w:t>
      </w:r>
      <w:r w:rsidRPr="006D0445">
        <w:rPr>
          <w:color w:val="767171"/>
        </w:rPr>
        <w:fldChar w:fldCharType="end"/>
      </w:r>
      <w:r w:rsidRPr="006D0445">
        <w:rPr>
          <w:color w:val="767171"/>
        </w:rPr>
        <w:t>Dashboard de Inventario de equipos</w:t>
      </w:r>
    </w:p>
    <w:p w14:paraId="45B95F41" w14:textId="77777777" w:rsidR="0017697F" w:rsidRPr="006D0445" w:rsidRDefault="0017697F" w:rsidP="0017697F">
      <w:pPr>
        <w:spacing w:after="0"/>
        <w:ind w:right="85"/>
        <w:rPr>
          <w:color w:val="767171"/>
        </w:rPr>
      </w:pPr>
      <w:bookmarkStart w:id="41" w:name="_Toc120526063"/>
      <w:bookmarkStart w:id="42" w:name="_Toc120526064"/>
      <w:bookmarkStart w:id="43" w:name="_Toc120526065"/>
      <w:bookmarkStart w:id="44" w:name="_Toc120526066"/>
      <w:bookmarkStart w:id="45" w:name="_Toc120526067"/>
      <w:bookmarkStart w:id="46" w:name="_Toc120526068"/>
      <w:bookmarkStart w:id="47" w:name="_Toc120526069"/>
      <w:bookmarkStart w:id="48" w:name="_Toc120526070"/>
      <w:bookmarkStart w:id="49" w:name="_Toc120526071"/>
      <w:bookmarkStart w:id="50" w:name="_Toc120526072"/>
      <w:bookmarkStart w:id="51" w:name="_Toc120526073"/>
      <w:bookmarkStart w:id="52" w:name="_Toc120526074"/>
      <w:bookmarkStart w:id="53" w:name="_Toc120526075"/>
      <w:bookmarkStart w:id="54" w:name="_Toc120526076"/>
      <w:bookmarkStart w:id="55" w:name="_Toc120526077"/>
      <w:bookmarkStart w:id="56" w:name="_Toc120526078"/>
      <w:bookmarkStart w:id="57" w:name="_Toc120526079"/>
      <w:bookmarkStart w:id="58" w:name="_Toc120526080"/>
      <w:bookmarkStart w:id="59" w:name="_Toc120526081"/>
      <w:bookmarkStart w:id="60" w:name="_Toc120526082"/>
      <w:bookmarkStart w:id="61" w:name="_Toc120526083"/>
      <w:bookmarkStart w:id="62" w:name="_Toc120526084"/>
      <w:bookmarkStart w:id="63" w:name="_Toc120526085"/>
      <w:bookmarkStart w:id="64" w:name="_Toc120526086"/>
      <w:bookmarkStart w:id="65" w:name="_Toc120526087"/>
      <w:bookmarkStart w:id="66" w:name="_Toc120526088"/>
      <w:bookmarkStart w:id="67" w:name="_Toc183437174"/>
      <w:bookmarkStart w:id="68" w:name="_Toc15225974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11F33FA" w14:textId="00D6A660" w:rsidR="0017697F" w:rsidRPr="006D0445" w:rsidRDefault="0017697F" w:rsidP="0017697F">
      <w:pPr>
        <w:spacing w:after="0"/>
        <w:ind w:right="85"/>
        <w:rPr>
          <w:b/>
          <w:bCs/>
          <w:color w:val="767171"/>
        </w:rPr>
      </w:pPr>
      <w:r w:rsidRPr="006D0445">
        <w:rPr>
          <w:b/>
          <w:bCs/>
          <w:color w:val="767171"/>
        </w:rPr>
        <w:lastRenderedPageBreak/>
        <w:t>Resultados obtenidos en el Índice de Uso de TIC e Implementación de Gobierno Electrónico (</w:t>
      </w:r>
      <w:proofErr w:type="spellStart"/>
      <w:r w:rsidRPr="006D0445">
        <w:rPr>
          <w:b/>
          <w:bCs/>
          <w:color w:val="767171"/>
        </w:rPr>
        <w:t>iTicge</w:t>
      </w:r>
      <w:proofErr w:type="spellEnd"/>
      <w:r w:rsidRPr="006D0445">
        <w:rPr>
          <w:b/>
          <w:bCs/>
          <w:color w:val="767171"/>
        </w:rPr>
        <w:t>).</w:t>
      </w:r>
      <w:bookmarkEnd w:id="67"/>
      <w:bookmarkEnd w:id="68"/>
      <w:r w:rsidRPr="006D0445">
        <w:rPr>
          <w:b/>
          <w:bCs/>
          <w:color w:val="767171"/>
        </w:rPr>
        <w:t xml:space="preserve"> </w:t>
      </w:r>
    </w:p>
    <w:p w14:paraId="2519AE9A" w14:textId="725DBA56" w:rsidR="0017697F" w:rsidRPr="006D0445" w:rsidRDefault="0017697F" w:rsidP="0017697F">
      <w:pPr>
        <w:spacing w:after="0"/>
        <w:ind w:right="85"/>
        <w:rPr>
          <w:b/>
          <w:bCs/>
          <w:color w:val="767171"/>
        </w:rPr>
      </w:pPr>
      <w:r w:rsidRPr="006D0445">
        <w:rPr>
          <w:color w:val="767171"/>
        </w:rPr>
        <w:t xml:space="preserve">En relación con el índice de uso de </w:t>
      </w:r>
      <w:proofErr w:type="spellStart"/>
      <w:r w:rsidRPr="006D0445">
        <w:rPr>
          <w:color w:val="767171"/>
        </w:rPr>
        <w:t>TIC’s</w:t>
      </w:r>
      <w:proofErr w:type="spellEnd"/>
      <w:r w:rsidRPr="006D0445">
        <w:rPr>
          <w:color w:val="767171"/>
        </w:rPr>
        <w:t xml:space="preserve"> e implementación de gobierno electrónico (</w:t>
      </w:r>
      <w:proofErr w:type="spellStart"/>
      <w:r w:rsidRPr="006D0445">
        <w:rPr>
          <w:color w:val="767171"/>
        </w:rPr>
        <w:t>iTICGE</w:t>
      </w:r>
      <w:proofErr w:type="spellEnd"/>
      <w:r w:rsidRPr="006D0445">
        <w:rPr>
          <w:color w:val="767171"/>
        </w:rPr>
        <w:t xml:space="preserve">), la Superintendencia de Electricidad para el periodo 2024 logró la posición </w:t>
      </w:r>
      <w:r w:rsidRPr="006D0445">
        <w:rPr>
          <w:b/>
          <w:color w:val="767171"/>
        </w:rPr>
        <w:t>15</w:t>
      </w:r>
      <w:r w:rsidRPr="006D0445">
        <w:rPr>
          <w:color w:val="767171"/>
        </w:rPr>
        <w:t xml:space="preserve"> de </w:t>
      </w:r>
      <w:r w:rsidRPr="006D0445">
        <w:rPr>
          <w:b/>
          <w:color w:val="767171"/>
        </w:rPr>
        <w:t>186</w:t>
      </w:r>
      <w:r w:rsidRPr="006D0445">
        <w:rPr>
          <w:color w:val="767171"/>
        </w:rPr>
        <w:t xml:space="preserve"> instituciones gubernamentales que fueron evaluadas en el </w:t>
      </w:r>
      <w:r w:rsidRPr="00045122">
        <w:rPr>
          <w:color w:val="767171"/>
        </w:rPr>
        <w:t>segmento de servicio al ciudadano</w:t>
      </w:r>
      <w:r w:rsidRPr="006D0445">
        <w:rPr>
          <w:color w:val="767171"/>
        </w:rPr>
        <w:t xml:space="preserve">, para un total de 251 instituciones participantes. Presentando un ligero incremento en los resultados de la evaluación, la puntuación alcanzada fue de un </w:t>
      </w:r>
      <w:r w:rsidRPr="006D0445">
        <w:rPr>
          <w:b/>
          <w:color w:val="767171"/>
        </w:rPr>
        <w:t>86.40</w:t>
      </w:r>
      <w:r w:rsidR="00921DE8" w:rsidRPr="006D0445">
        <w:rPr>
          <w:b/>
          <w:color w:val="767171"/>
        </w:rPr>
        <w:t>%</w:t>
      </w:r>
      <w:r w:rsidRPr="006D0445">
        <w:rPr>
          <w:b/>
          <w:color w:val="767171"/>
        </w:rPr>
        <w:t>.</w:t>
      </w:r>
      <w:r w:rsidRPr="006D0445">
        <w:rPr>
          <w:b/>
          <w:bCs/>
          <w:color w:val="767171"/>
        </w:rPr>
        <w:t xml:space="preserve"> </w:t>
      </w:r>
    </w:p>
    <w:p w14:paraId="654C06F0" w14:textId="5DFDF7FB" w:rsidR="0017697F" w:rsidRPr="006D0445" w:rsidRDefault="0017697F" w:rsidP="0017697F">
      <w:pPr>
        <w:spacing w:after="0"/>
        <w:ind w:right="85"/>
        <w:rPr>
          <w:color w:val="767171"/>
        </w:rPr>
      </w:pPr>
      <w:r w:rsidRPr="006D0445">
        <w:rPr>
          <w:color w:val="767171"/>
        </w:rPr>
        <w:t xml:space="preserve">La Superintendencia de Electricidad fue premiada en </w:t>
      </w:r>
      <w:r w:rsidR="003846B7">
        <w:rPr>
          <w:color w:val="767171"/>
        </w:rPr>
        <w:t>d</w:t>
      </w:r>
      <w:r w:rsidRPr="006D0445">
        <w:rPr>
          <w:color w:val="767171"/>
        </w:rPr>
        <w:t>iciembre 202</w:t>
      </w:r>
      <w:r w:rsidR="008A1A95">
        <w:rPr>
          <w:color w:val="767171"/>
        </w:rPr>
        <w:t>3</w:t>
      </w:r>
      <w:r w:rsidRPr="006D0445">
        <w:rPr>
          <w:color w:val="767171"/>
        </w:rPr>
        <w:t xml:space="preserve">, por obtener una calificación en el nivel superior de este indicador </w:t>
      </w:r>
      <w:proofErr w:type="spellStart"/>
      <w:r w:rsidRPr="006D0445">
        <w:rPr>
          <w:color w:val="767171"/>
        </w:rPr>
        <w:t>ITicge</w:t>
      </w:r>
      <w:proofErr w:type="spellEnd"/>
      <w:r w:rsidRPr="006D0445">
        <w:rPr>
          <w:color w:val="767171"/>
        </w:rPr>
        <w:t>.</w:t>
      </w:r>
    </w:p>
    <w:p w14:paraId="30B304FC" w14:textId="4DCBDCB3" w:rsidR="0017697F" w:rsidRPr="006D0445" w:rsidRDefault="0017697F" w:rsidP="0017697F">
      <w:pPr>
        <w:spacing w:after="0"/>
        <w:ind w:right="85"/>
        <w:rPr>
          <w:color w:val="767171"/>
        </w:rPr>
      </w:pPr>
      <w:r w:rsidRPr="006D0445">
        <w:rPr>
          <w:color w:val="767171"/>
        </w:rPr>
        <w:t xml:space="preserve">Al corte de noviembre 2024, se emitió la evidencia del indicador </w:t>
      </w:r>
      <w:proofErr w:type="spellStart"/>
      <w:r w:rsidRPr="006D0445">
        <w:rPr>
          <w:color w:val="767171"/>
        </w:rPr>
        <w:t>ITicge</w:t>
      </w:r>
      <w:proofErr w:type="spellEnd"/>
      <w:r w:rsidRPr="006D0445">
        <w:rPr>
          <w:color w:val="767171"/>
        </w:rPr>
        <w:t xml:space="preserve"> a la </w:t>
      </w:r>
      <w:proofErr w:type="spellStart"/>
      <w:r w:rsidRPr="006D0445">
        <w:rPr>
          <w:color w:val="767171"/>
        </w:rPr>
        <w:t>Ogtic</w:t>
      </w:r>
      <w:proofErr w:type="spellEnd"/>
      <w:r w:rsidRPr="006D0445">
        <w:rPr>
          <w:color w:val="767171"/>
        </w:rPr>
        <w:t xml:space="preserve">, para la evaluación correspondiente a este periodo y estamos a la espera de los resultados de esta evaluación. </w:t>
      </w:r>
    </w:p>
    <w:p w14:paraId="69BE3761" w14:textId="77777777" w:rsidR="001A00FC" w:rsidRPr="006D0445" w:rsidRDefault="0017697F" w:rsidP="001A00FC">
      <w:pPr>
        <w:keepNext/>
        <w:spacing w:after="0"/>
        <w:ind w:right="85"/>
        <w:rPr>
          <w:color w:val="767171"/>
        </w:rPr>
      </w:pPr>
      <w:r w:rsidRPr="006D0445">
        <w:rPr>
          <w:noProof/>
          <w:color w:val="767171"/>
        </w:rPr>
        <w:drawing>
          <wp:inline distT="0" distB="0" distL="0" distR="0" wp14:anchorId="02CC43A7" wp14:editId="7D277828">
            <wp:extent cx="5026660" cy="1757731"/>
            <wp:effectExtent l="0" t="0" r="2540" b="0"/>
            <wp:docPr id="628379164" name="Imagen 5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ráfico&#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l="3757" t="2982"/>
                    <a:stretch>
                      <a:fillRect/>
                    </a:stretch>
                  </pic:blipFill>
                  <pic:spPr bwMode="auto">
                    <a:xfrm>
                      <a:off x="0" y="0"/>
                      <a:ext cx="5055947" cy="1767972"/>
                    </a:xfrm>
                    <a:prstGeom prst="rect">
                      <a:avLst/>
                    </a:prstGeom>
                    <a:noFill/>
                    <a:ln>
                      <a:noFill/>
                    </a:ln>
                  </pic:spPr>
                </pic:pic>
              </a:graphicData>
            </a:graphic>
          </wp:inline>
        </w:drawing>
      </w:r>
    </w:p>
    <w:p w14:paraId="5ED306F8" w14:textId="4CC84D9A" w:rsidR="0017697F" w:rsidRPr="006D0445" w:rsidRDefault="001A00FC" w:rsidP="001A00FC">
      <w:pPr>
        <w:pStyle w:val="Descripcin"/>
        <w:rPr>
          <w:color w:val="767171"/>
        </w:rPr>
      </w:pPr>
      <w:r w:rsidRPr="006D0445">
        <w:rPr>
          <w:color w:val="767171"/>
        </w:rPr>
        <w:t xml:space="preserve">Ilustración </w:t>
      </w:r>
      <w:r w:rsidRPr="006D0445">
        <w:rPr>
          <w:color w:val="767171"/>
        </w:rPr>
        <w:fldChar w:fldCharType="begin"/>
      </w:r>
      <w:r w:rsidRPr="006D0445">
        <w:rPr>
          <w:color w:val="767171"/>
        </w:rPr>
        <w:instrText xml:space="preserve"> SEQ Ilustración \* ARABIC </w:instrText>
      </w:r>
      <w:r w:rsidRPr="006D0445">
        <w:rPr>
          <w:color w:val="767171"/>
        </w:rPr>
        <w:fldChar w:fldCharType="separate"/>
      </w:r>
      <w:r w:rsidR="002F127B">
        <w:rPr>
          <w:noProof/>
          <w:color w:val="767171"/>
        </w:rPr>
        <w:t>2</w:t>
      </w:r>
      <w:r w:rsidRPr="006D0445">
        <w:rPr>
          <w:color w:val="767171"/>
        </w:rPr>
        <w:fldChar w:fldCharType="end"/>
      </w:r>
      <w:r w:rsidRPr="006D0445">
        <w:rPr>
          <w:color w:val="767171"/>
        </w:rPr>
        <w:t>Digrama iTICge2024</w:t>
      </w:r>
    </w:p>
    <w:p w14:paraId="60BF469C" w14:textId="77777777" w:rsidR="0017697F" w:rsidRPr="006D0445" w:rsidRDefault="0017697F" w:rsidP="0017697F">
      <w:pPr>
        <w:spacing w:after="0"/>
        <w:ind w:right="85"/>
        <w:rPr>
          <w:color w:val="767171"/>
        </w:rPr>
      </w:pPr>
      <w:r w:rsidRPr="006D0445">
        <w:rPr>
          <w:color w:val="767171"/>
        </w:rPr>
        <w:t>De cara a incrementar la puntuación para el 2024, la Dirección de tecnología de la información y comunicaciones se realizó lo siguiente:</w:t>
      </w:r>
    </w:p>
    <w:p w14:paraId="2504CBCE" w14:textId="77777777" w:rsidR="0017697F" w:rsidRPr="006D0445" w:rsidRDefault="0017697F" w:rsidP="00AE6336">
      <w:pPr>
        <w:numPr>
          <w:ilvl w:val="0"/>
          <w:numId w:val="23"/>
        </w:numPr>
        <w:spacing w:after="0"/>
        <w:ind w:right="85"/>
        <w:rPr>
          <w:color w:val="767171"/>
        </w:rPr>
      </w:pPr>
      <w:r w:rsidRPr="006D0445">
        <w:rPr>
          <w:color w:val="767171"/>
        </w:rPr>
        <w:t xml:space="preserve">Se realizó la configuración de la SIE con la plataforma definida por la </w:t>
      </w:r>
      <w:proofErr w:type="spellStart"/>
      <w:r w:rsidRPr="006D0445">
        <w:rPr>
          <w:color w:val="767171"/>
        </w:rPr>
        <w:t>Ogtic</w:t>
      </w:r>
      <w:proofErr w:type="spellEnd"/>
      <w:r w:rsidRPr="006D0445">
        <w:rPr>
          <w:color w:val="767171"/>
        </w:rPr>
        <w:t xml:space="preserve">, para la interoperabilidad de las entidades gubernamentales en RD </w:t>
      </w:r>
      <w:proofErr w:type="spellStart"/>
      <w:r w:rsidRPr="006D0445">
        <w:rPr>
          <w:color w:val="767171"/>
        </w:rPr>
        <w:t>Xroad</w:t>
      </w:r>
      <w:proofErr w:type="spellEnd"/>
      <w:r w:rsidRPr="006D0445">
        <w:rPr>
          <w:color w:val="767171"/>
        </w:rPr>
        <w:t>.</w:t>
      </w:r>
    </w:p>
    <w:p w14:paraId="440B5E59" w14:textId="77777777" w:rsidR="0017697F" w:rsidRPr="006D0445" w:rsidRDefault="0017697F" w:rsidP="00AE6336">
      <w:pPr>
        <w:numPr>
          <w:ilvl w:val="0"/>
          <w:numId w:val="23"/>
        </w:numPr>
        <w:spacing w:after="0"/>
        <w:ind w:right="85"/>
        <w:rPr>
          <w:color w:val="767171"/>
        </w:rPr>
      </w:pPr>
      <w:r w:rsidRPr="006D0445">
        <w:rPr>
          <w:color w:val="767171"/>
        </w:rPr>
        <w:t>Continuación de la implementación de firma digital a nivel institucional e integración de proceso gestión de viáticos, Contratos y aprobación de Nomina.</w:t>
      </w:r>
    </w:p>
    <w:p w14:paraId="032F653C" w14:textId="77777777" w:rsidR="0017697F" w:rsidRPr="006D0445" w:rsidRDefault="0017697F" w:rsidP="00AE6336">
      <w:pPr>
        <w:numPr>
          <w:ilvl w:val="0"/>
          <w:numId w:val="23"/>
        </w:numPr>
        <w:spacing w:after="0"/>
        <w:ind w:right="85"/>
        <w:rPr>
          <w:color w:val="767171"/>
        </w:rPr>
      </w:pPr>
      <w:r w:rsidRPr="006D0445">
        <w:rPr>
          <w:color w:val="767171"/>
        </w:rPr>
        <w:t xml:space="preserve">Está en proceso la elaboración la siguiente documentación, para cumplimiento de requisitos de la </w:t>
      </w:r>
      <w:proofErr w:type="spellStart"/>
      <w:r w:rsidRPr="006D0445">
        <w:rPr>
          <w:color w:val="767171"/>
        </w:rPr>
        <w:t>Ogtic</w:t>
      </w:r>
      <w:proofErr w:type="spellEnd"/>
      <w:r w:rsidRPr="006D0445">
        <w:rPr>
          <w:color w:val="767171"/>
        </w:rPr>
        <w:t>:</w:t>
      </w:r>
    </w:p>
    <w:p w14:paraId="4C4B6DA9" w14:textId="77777777" w:rsidR="0017697F" w:rsidRPr="006D0445" w:rsidRDefault="0017697F" w:rsidP="00AE6336">
      <w:pPr>
        <w:numPr>
          <w:ilvl w:val="1"/>
          <w:numId w:val="23"/>
        </w:numPr>
        <w:spacing w:after="0"/>
        <w:ind w:right="85"/>
        <w:rPr>
          <w:color w:val="767171"/>
        </w:rPr>
      </w:pPr>
      <w:r w:rsidRPr="006D0445">
        <w:rPr>
          <w:color w:val="767171"/>
        </w:rPr>
        <w:t>Una política de innovación</w:t>
      </w:r>
    </w:p>
    <w:p w14:paraId="04BAD573" w14:textId="77777777" w:rsidR="0017697F" w:rsidRPr="006D0445" w:rsidRDefault="0017697F" w:rsidP="00AE6336">
      <w:pPr>
        <w:numPr>
          <w:ilvl w:val="1"/>
          <w:numId w:val="23"/>
        </w:numPr>
        <w:spacing w:after="0"/>
        <w:ind w:right="85"/>
        <w:rPr>
          <w:color w:val="767171"/>
        </w:rPr>
      </w:pPr>
      <w:r w:rsidRPr="006D0445">
        <w:rPr>
          <w:color w:val="767171"/>
        </w:rPr>
        <w:t>Política de gestión de portales Web.</w:t>
      </w:r>
    </w:p>
    <w:p w14:paraId="0E9B5A39" w14:textId="77777777" w:rsidR="0017697F" w:rsidRPr="006D0445" w:rsidRDefault="0017697F" w:rsidP="00AE6336">
      <w:pPr>
        <w:numPr>
          <w:ilvl w:val="0"/>
          <w:numId w:val="23"/>
        </w:numPr>
        <w:spacing w:after="0"/>
        <w:ind w:right="85"/>
        <w:rPr>
          <w:color w:val="767171"/>
        </w:rPr>
      </w:pPr>
      <w:r w:rsidRPr="006D0445">
        <w:rPr>
          <w:color w:val="767171"/>
        </w:rPr>
        <w:t xml:space="preserve">Asegurar el cumplimiento de las reuniones por el comité </w:t>
      </w:r>
      <w:proofErr w:type="spellStart"/>
      <w:r w:rsidRPr="006D0445">
        <w:rPr>
          <w:color w:val="767171"/>
        </w:rPr>
        <w:t>Cigetic</w:t>
      </w:r>
      <w:proofErr w:type="spellEnd"/>
      <w:r w:rsidRPr="006D0445">
        <w:rPr>
          <w:color w:val="767171"/>
        </w:rPr>
        <w:t xml:space="preserve"> y la disponibilidad de las certificaciones actuales de la institución.</w:t>
      </w:r>
    </w:p>
    <w:p w14:paraId="78E0EE15" w14:textId="77777777" w:rsidR="0017697F" w:rsidRPr="006D0445" w:rsidRDefault="0017697F" w:rsidP="00AE6336">
      <w:pPr>
        <w:numPr>
          <w:ilvl w:val="0"/>
          <w:numId w:val="23"/>
        </w:numPr>
        <w:spacing w:after="0"/>
        <w:ind w:right="85"/>
        <w:rPr>
          <w:color w:val="767171"/>
        </w:rPr>
      </w:pPr>
      <w:r w:rsidRPr="006D0445">
        <w:rPr>
          <w:color w:val="767171"/>
        </w:rPr>
        <w:t xml:space="preserve">Identificación de riesgos relacionados a TIC, que pueden afectar los servicios y el cumplimiento de objetivos de la organización. </w:t>
      </w:r>
    </w:p>
    <w:p w14:paraId="6973E6A3" w14:textId="142F3277" w:rsidR="00351694" w:rsidRPr="006D0445" w:rsidRDefault="00351694" w:rsidP="00240B76">
      <w:pPr>
        <w:spacing w:after="0"/>
        <w:ind w:right="85"/>
        <w:rPr>
          <w:b/>
          <w:bCs/>
          <w:color w:val="767171"/>
        </w:rPr>
      </w:pPr>
      <w:bookmarkStart w:id="69" w:name="_Toc183437178"/>
      <w:r w:rsidRPr="006D0445">
        <w:rPr>
          <w:b/>
          <w:bCs/>
          <w:color w:val="767171"/>
        </w:rPr>
        <w:t>Participación de Mujeres en TIC</w:t>
      </w:r>
      <w:bookmarkEnd w:id="69"/>
    </w:p>
    <w:p w14:paraId="6C58ED40" w14:textId="6E398FEA" w:rsidR="00921DE8" w:rsidRPr="006D0445" w:rsidRDefault="00351694" w:rsidP="00BD03A8">
      <w:pPr>
        <w:rPr>
          <w:rFonts w:eastAsia="Calibri"/>
          <w:noProof/>
          <w:color w:val="767171"/>
        </w:rPr>
      </w:pPr>
      <w:r w:rsidRPr="006D0445">
        <w:rPr>
          <w:rFonts w:eastAsia="Calibri"/>
          <w:noProof/>
          <w:color w:val="767171"/>
        </w:rPr>
        <w:t>En la dirección de T</w:t>
      </w:r>
      <w:r w:rsidR="00D51D59" w:rsidRPr="006D0445">
        <w:rPr>
          <w:rFonts w:eastAsia="Calibri"/>
          <w:noProof/>
          <w:color w:val="767171"/>
        </w:rPr>
        <w:t>IC de la SIE,</w:t>
      </w:r>
      <w:r w:rsidRPr="006D0445">
        <w:rPr>
          <w:rFonts w:eastAsia="Calibri"/>
          <w:noProof/>
          <w:color w:val="767171"/>
        </w:rPr>
        <w:t xml:space="preserve"> actualmente </w:t>
      </w:r>
      <w:r w:rsidR="00D51D59" w:rsidRPr="006D0445">
        <w:rPr>
          <w:rFonts w:eastAsia="Calibri"/>
          <w:noProof/>
          <w:color w:val="767171"/>
        </w:rPr>
        <w:t>la</w:t>
      </w:r>
      <w:r w:rsidRPr="006D0445">
        <w:rPr>
          <w:rFonts w:eastAsia="Calibri"/>
          <w:noProof/>
          <w:color w:val="767171"/>
        </w:rPr>
        <w:t xml:space="preserve"> participación</w:t>
      </w:r>
      <w:r w:rsidR="00D51D59" w:rsidRPr="006D0445">
        <w:rPr>
          <w:rFonts w:eastAsia="Calibri"/>
          <w:noProof/>
          <w:color w:val="767171"/>
        </w:rPr>
        <w:t xml:space="preserve"> de las mujeres representa un</w:t>
      </w:r>
      <w:r w:rsidRPr="006D0445">
        <w:rPr>
          <w:rFonts w:eastAsia="Calibri"/>
          <w:noProof/>
          <w:color w:val="767171"/>
        </w:rPr>
        <w:t xml:space="preserve"> 30</w:t>
      </w:r>
      <w:r w:rsidR="00E7552F" w:rsidRPr="006D0445">
        <w:rPr>
          <w:rFonts w:eastAsia="Calibri"/>
          <w:noProof/>
          <w:color w:val="767171"/>
        </w:rPr>
        <w:t>% (14 mujeres)</w:t>
      </w:r>
      <w:r w:rsidR="00240B76" w:rsidRPr="006D0445">
        <w:rPr>
          <w:rFonts w:eastAsia="Calibri"/>
          <w:noProof/>
          <w:color w:val="767171"/>
        </w:rPr>
        <w:t>.</w:t>
      </w:r>
      <w:r w:rsidR="00D51D59" w:rsidRPr="006D0445">
        <w:rPr>
          <w:rFonts w:eastAsia="Calibri"/>
          <w:noProof/>
          <w:color w:val="767171"/>
        </w:rPr>
        <w:t xml:space="preserve"> </w:t>
      </w:r>
      <w:r w:rsidR="00240B76" w:rsidRPr="006D0445">
        <w:rPr>
          <w:rFonts w:eastAsia="Calibri"/>
          <w:noProof/>
          <w:color w:val="767171"/>
        </w:rPr>
        <w:t xml:space="preserve">El </w:t>
      </w:r>
      <w:r w:rsidRPr="006D0445">
        <w:rPr>
          <w:rFonts w:eastAsia="Calibri"/>
          <w:noProof/>
          <w:color w:val="767171"/>
        </w:rPr>
        <w:t>área</w:t>
      </w:r>
      <w:r w:rsidR="00240B76" w:rsidRPr="006D0445">
        <w:rPr>
          <w:rFonts w:eastAsia="Calibri"/>
          <w:noProof/>
          <w:color w:val="767171"/>
        </w:rPr>
        <w:t xml:space="preserve"> encargada de la gestión de los </w:t>
      </w:r>
      <w:r w:rsidRPr="006D0445">
        <w:rPr>
          <w:rFonts w:eastAsia="Calibri"/>
          <w:noProof/>
          <w:color w:val="767171"/>
        </w:rPr>
        <w:t>proyecto</w:t>
      </w:r>
      <w:r w:rsidR="00240B76" w:rsidRPr="006D0445">
        <w:rPr>
          <w:rFonts w:eastAsia="Calibri"/>
          <w:noProof/>
          <w:color w:val="767171"/>
        </w:rPr>
        <w:t xml:space="preserve"> tecnologicos</w:t>
      </w:r>
      <w:r w:rsidRPr="006D0445">
        <w:rPr>
          <w:rFonts w:eastAsia="Calibri"/>
          <w:noProof/>
          <w:color w:val="767171"/>
        </w:rPr>
        <w:t xml:space="preserve"> está conformada únicamente por mujeres, las mismas tienen a su cargo los proyectos más importantes e innovadores, entre estos el proyecto de Interoperabilidad y automatización de los procesos y SIE Digital. </w:t>
      </w:r>
      <w:r w:rsidR="00921DE8" w:rsidRPr="006D0445">
        <w:rPr>
          <w:rFonts w:eastAsia="Calibri"/>
          <w:noProof/>
          <w:color w:val="767171"/>
        </w:rPr>
        <w:br w:type="page"/>
      </w:r>
    </w:p>
    <w:p w14:paraId="2CC0AB16" w14:textId="1F82D839" w:rsidR="00092B43" w:rsidRPr="00C448FD" w:rsidRDefault="00CD5FA0" w:rsidP="008A1A95">
      <w:pPr>
        <w:pStyle w:val="Ttulo2"/>
        <w:rPr>
          <w:sz w:val="28"/>
          <w:szCs w:val="24"/>
        </w:rPr>
      </w:pPr>
      <w:bookmarkStart w:id="70" w:name="_Hlk139632196"/>
      <w:bookmarkStart w:id="71" w:name="_Toc186147724"/>
      <w:r w:rsidRPr="00C448FD">
        <w:rPr>
          <w:sz w:val="28"/>
          <w:szCs w:val="24"/>
        </w:rPr>
        <w:lastRenderedPageBreak/>
        <w:t xml:space="preserve">Desempeño del </w:t>
      </w:r>
      <w:r w:rsidR="00791379" w:rsidRPr="00C448FD">
        <w:rPr>
          <w:sz w:val="28"/>
          <w:szCs w:val="24"/>
        </w:rPr>
        <w:t>S</w:t>
      </w:r>
      <w:r w:rsidRPr="00C448FD">
        <w:rPr>
          <w:sz w:val="28"/>
          <w:szCs w:val="24"/>
        </w:rPr>
        <w:t>istema de Planificación y Desarrollo Institucional</w:t>
      </w:r>
      <w:bookmarkEnd w:id="71"/>
      <w:r w:rsidRPr="00C448FD">
        <w:rPr>
          <w:sz w:val="28"/>
          <w:szCs w:val="24"/>
        </w:rPr>
        <w:t xml:space="preserve"> </w:t>
      </w:r>
    </w:p>
    <w:p w14:paraId="15A2C341" w14:textId="1EDB5D6C" w:rsidR="00AD2301" w:rsidRPr="006D0445" w:rsidRDefault="002620D3" w:rsidP="008A1A95">
      <w:pPr>
        <w:rPr>
          <w:rFonts w:eastAsia="Times New Roman"/>
          <w:color w:val="767171"/>
        </w:rPr>
      </w:pPr>
      <w:r w:rsidRPr="006D0445">
        <w:rPr>
          <w:rFonts w:eastAsia="Times New Roman"/>
          <w:color w:val="767171"/>
        </w:rPr>
        <w:t>Con el objetivo de garantizar el logro de las metas establecidas en el Plan Estratégico Institucional (</w:t>
      </w:r>
      <w:proofErr w:type="spellStart"/>
      <w:r w:rsidRPr="006D0445">
        <w:rPr>
          <w:rFonts w:eastAsia="Times New Roman"/>
          <w:color w:val="767171"/>
        </w:rPr>
        <w:t>PEI</w:t>
      </w:r>
      <w:proofErr w:type="spellEnd"/>
      <w:r w:rsidRPr="006D0445">
        <w:rPr>
          <w:rFonts w:eastAsia="Times New Roman"/>
          <w:color w:val="767171"/>
        </w:rPr>
        <w:t xml:space="preserve">) 2021-2024, y en cumplimiento a las normativas vinculadas al Sistema de Planificación e Inversión Pública, para el año </w:t>
      </w:r>
      <w:r w:rsidR="00F2650B" w:rsidRPr="006D0445">
        <w:rPr>
          <w:rFonts w:eastAsia="Times New Roman"/>
          <w:color w:val="767171"/>
        </w:rPr>
        <w:t>2024</w:t>
      </w:r>
      <w:r w:rsidRPr="006D0445">
        <w:rPr>
          <w:rFonts w:eastAsia="Times New Roman"/>
          <w:color w:val="767171"/>
        </w:rPr>
        <w:t xml:space="preserve"> se</w:t>
      </w:r>
      <w:r w:rsidR="00AD2301" w:rsidRPr="006D0445">
        <w:rPr>
          <w:rFonts w:eastAsia="Times New Roman"/>
          <w:color w:val="767171"/>
        </w:rPr>
        <w:t xml:space="preserve"> identificaron y</w:t>
      </w:r>
      <w:r w:rsidRPr="006D0445">
        <w:rPr>
          <w:rFonts w:eastAsia="Times New Roman"/>
          <w:color w:val="767171"/>
        </w:rPr>
        <w:t xml:space="preserve"> vincularon en el Plan Operativo Anual (POA) un total de </w:t>
      </w:r>
      <w:r w:rsidR="003B596D">
        <w:rPr>
          <w:rFonts w:eastAsia="Times New Roman"/>
          <w:color w:val="767171"/>
        </w:rPr>
        <w:t>noventa y tres</w:t>
      </w:r>
      <w:r w:rsidRPr="006D0445">
        <w:rPr>
          <w:rFonts w:eastAsia="Times New Roman"/>
          <w:color w:val="767171"/>
        </w:rPr>
        <w:t xml:space="preserve"> (</w:t>
      </w:r>
      <w:r w:rsidR="003B596D">
        <w:rPr>
          <w:rFonts w:eastAsia="Times New Roman"/>
          <w:color w:val="767171"/>
        </w:rPr>
        <w:t>93</w:t>
      </w:r>
      <w:r w:rsidRPr="006D0445">
        <w:rPr>
          <w:rFonts w:eastAsia="Times New Roman"/>
          <w:color w:val="767171"/>
        </w:rPr>
        <w:t>) productos, estratégicos y operativos, correspondientes a las diferentes áreas que conforman la institución</w:t>
      </w:r>
      <w:r w:rsidR="00225FDF" w:rsidRPr="006D0445">
        <w:rPr>
          <w:rFonts w:eastAsia="Times New Roman"/>
          <w:color w:val="767171"/>
        </w:rPr>
        <w:t xml:space="preserve"> y al 4to trimestre tiene un avance de </w:t>
      </w:r>
      <w:r w:rsidR="00191F8E" w:rsidRPr="00E841FF">
        <w:rPr>
          <w:rFonts w:eastAsia="Times New Roman"/>
          <w:color w:val="767171"/>
        </w:rPr>
        <w:t xml:space="preserve">un </w:t>
      </w:r>
      <w:r w:rsidR="00E841FF" w:rsidRPr="00E841FF">
        <w:rPr>
          <w:rFonts w:eastAsia="Times New Roman"/>
          <w:color w:val="767171"/>
        </w:rPr>
        <w:t>78</w:t>
      </w:r>
      <w:r w:rsidR="00191F8E" w:rsidRPr="00E841FF">
        <w:rPr>
          <w:rFonts w:eastAsia="Times New Roman"/>
          <w:color w:val="767171"/>
        </w:rPr>
        <w:t>%</w:t>
      </w:r>
      <w:r w:rsidRPr="00E841FF">
        <w:rPr>
          <w:rFonts w:eastAsia="Times New Roman"/>
          <w:color w:val="767171"/>
        </w:rPr>
        <w:t>.</w:t>
      </w:r>
    </w:p>
    <w:p w14:paraId="7F205B3F" w14:textId="3FCB12CA" w:rsidR="00D43110" w:rsidRPr="006D0445" w:rsidRDefault="002620D3" w:rsidP="008A1A95">
      <w:pPr>
        <w:spacing w:after="240"/>
        <w:rPr>
          <w:rFonts w:eastAsia="Times New Roman"/>
          <w:color w:val="767171"/>
        </w:rPr>
      </w:pPr>
      <w:r w:rsidRPr="006D0445">
        <w:rPr>
          <w:rFonts w:eastAsia="Times New Roman"/>
          <w:color w:val="767171"/>
        </w:rPr>
        <w:t>Como resultado</w:t>
      </w:r>
      <w:r w:rsidR="00D43110" w:rsidRPr="006D0445">
        <w:rPr>
          <w:rFonts w:eastAsia="Times New Roman"/>
          <w:color w:val="767171"/>
        </w:rPr>
        <w:t xml:space="preserve"> del proceso de monitoreo y evaluación, al año </w:t>
      </w:r>
      <w:r w:rsidR="00F2650B" w:rsidRPr="006D0445">
        <w:rPr>
          <w:rFonts w:eastAsia="Times New Roman"/>
          <w:color w:val="767171"/>
        </w:rPr>
        <w:t>2024</w:t>
      </w:r>
      <w:r w:rsidR="00D43110" w:rsidRPr="006D0445">
        <w:rPr>
          <w:rFonts w:eastAsia="Times New Roman"/>
          <w:color w:val="767171"/>
        </w:rPr>
        <w:t xml:space="preserve"> el Plan estratégico tiene un nivel de cumplimiento y avance de un </w:t>
      </w:r>
      <w:r w:rsidR="00462613" w:rsidRPr="006D0445">
        <w:rPr>
          <w:rFonts w:eastAsia="Times New Roman"/>
          <w:color w:val="767171"/>
        </w:rPr>
        <w:t>85</w:t>
      </w:r>
      <w:r w:rsidR="00D43110" w:rsidRPr="006D0445">
        <w:rPr>
          <w:rFonts w:eastAsia="Times New Roman"/>
          <w:color w:val="767171"/>
        </w:rPr>
        <w:t>%.</w:t>
      </w:r>
      <w:r w:rsidR="00F52E05" w:rsidRPr="006D0445">
        <w:rPr>
          <w:rFonts w:eastAsia="Times New Roman"/>
          <w:color w:val="767171"/>
        </w:rPr>
        <w:t xml:space="preserve"> </w:t>
      </w:r>
    </w:p>
    <w:bookmarkEnd w:id="70"/>
    <w:p w14:paraId="0A30C027" w14:textId="77777777" w:rsidR="00B11868" w:rsidRPr="006D0445" w:rsidRDefault="00B11868" w:rsidP="008A1A95">
      <w:pPr>
        <w:rPr>
          <w:b/>
          <w:bCs/>
          <w:color w:val="767171"/>
        </w:rPr>
      </w:pPr>
      <w:r w:rsidRPr="006D0445">
        <w:rPr>
          <w:b/>
          <w:bCs/>
          <w:color w:val="767171"/>
        </w:rPr>
        <w:t>Cooperación Internacional</w:t>
      </w:r>
    </w:p>
    <w:p w14:paraId="0B484D25" w14:textId="77777777" w:rsidR="00B11868" w:rsidRPr="006D0445" w:rsidRDefault="00B11868" w:rsidP="008A1A95">
      <w:pPr>
        <w:rPr>
          <w:color w:val="767171"/>
        </w:rPr>
      </w:pPr>
      <w:r w:rsidRPr="006D0445">
        <w:rPr>
          <w:color w:val="767171"/>
        </w:rPr>
        <w:t xml:space="preserve">Con relación a las actividades de Cooperación Internacional para fortalecer las relaciones entre los diferentes organismos internacionales y del Sub-Sector Eléctrico, se llevaron a cabo las siguientes actividades:  </w:t>
      </w:r>
    </w:p>
    <w:p w14:paraId="6FC44806" w14:textId="77777777" w:rsidR="00B11868" w:rsidRPr="006D0445" w:rsidRDefault="00B11868" w:rsidP="008A1A95">
      <w:pPr>
        <w:rPr>
          <w:color w:val="767171"/>
        </w:rPr>
      </w:pPr>
      <w:r w:rsidRPr="006D0445">
        <w:rPr>
          <w:color w:val="767171"/>
        </w:rPr>
        <w:t>En el marco del Encuentro Anual de Altos Ejecutivos (</w:t>
      </w:r>
      <w:proofErr w:type="spellStart"/>
      <w:r w:rsidRPr="006D0445">
        <w:rPr>
          <w:color w:val="767171"/>
        </w:rPr>
        <w:t>ENAE</w:t>
      </w:r>
      <w:proofErr w:type="spellEnd"/>
      <w:r w:rsidRPr="006D0445">
        <w:rPr>
          <w:color w:val="767171"/>
        </w:rPr>
        <w:t xml:space="preserve"> 2024), del Comité Regional de Centroamérica y el Caribe de la </w:t>
      </w:r>
      <w:proofErr w:type="spellStart"/>
      <w:r w:rsidRPr="006D0445">
        <w:rPr>
          <w:color w:val="767171"/>
        </w:rPr>
        <w:t>CIER</w:t>
      </w:r>
      <w:proofErr w:type="spellEnd"/>
      <w:r w:rsidRPr="006D0445">
        <w:rPr>
          <w:color w:val="767171"/>
        </w:rPr>
        <w:t xml:space="preserve"> (</w:t>
      </w:r>
      <w:proofErr w:type="spellStart"/>
      <w:r w:rsidRPr="006D0445">
        <w:rPr>
          <w:color w:val="767171"/>
        </w:rPr>
        <w:t>CECACIER</w:t>
      </w:r>
      <w:proofErr w:type="spellEnd"/>
      <w:r w:rsidRPr="006D0445">
        <w:rPr>
          <w:color w:val="767171"/>
        </w:rPr>
        <w:t>) celebrado en Antigua, Guatemala el pasado 25 de enero, tuvo lugar la Asamblea General Ordinaria y la elección de la nueva Junta Directiva, en la cual la Sra. Aura Caraballo, miembro del Consejo de la Superintendencia de Electricidad (SIE), resultó ganadora de la posición Vocal 3 para el período 2024-2026.</w:t>
      </w:r>
    </w:p>
    <w:p w14:paraId="580C083D" w14:textId="77777777" w:rsidR="00B11868" w:rsidRPr="006D0445" w:rsidRDefault="00B11868" w:rsidP="008A1A95">
      <w:pPr>
        <w:rPr>
          <w:color w:val="767171"/>
        </w:rPr>
      </w:pPr>
      <w:r w:rsidRPr="006D0445">
        <w:rPr>
          <w:color w:val="767171"/>
        </w:rPr>
        <w:t>La Superintendencia de Electricidad junto a la Asociación Iberoamericana de Entidades Reguladoras de la Energía (</w:t>
      </w:r>
      <w:proofErr w:type="spellStart"/>
      <w:r w:rsidRPr="006D0445">
        <w:rPr>
          <w:color w:val="767171"/>
        </w:rPr>
        <w:t>ARIAE</w:t>
      </w:r>
      <w:proofErr w:type="spellEnd"/>
      <w:r w:rsidRPr="006D0445">
        <w:rPr>
          <w:color w:val="767171"/>
        </w:rPr>
        <w:t>) celebró en el mes de febrero en la cuidad de Santo Domingo los siguientes eventos:</w:t>
      </w:r>
    </w:p>
    <w:p w14:paraId="60A4E1F4" w14:textId="77777777" w:rsidR="00B11868" w:rsidRPr="006D0445" w:rsidRDefault="00B11868" w:rsidP="008A1A95">
      <w:pPr>
        <w:pStyle w:val="Prrafodelista"/>
        <w:numPr>
          <w:ilvl w:val="0"/>
          <w:numId w:val="28"/>
        </w:numPr>
        <w:spacing w:after="0"/>
        <w:ind w:right="85"/>
        <w:rPr>
          <w:color w:val="767171"/>
        </w:rPr>
      </w:pPr>
      <w:r w:rsidRPr="006D0445">
        <w:rPr>
          <w:color w:val="767171"/>
        </w:rPr>
        <w:t>El 6 de febrero se celebró 1er Foro Empresarial de Entidades Reguladoras de la Energía de Iberoamérica, el cual tuvo un gran éxito en cuanto a contenido y participación. Contó con la asistencia de más de 250 personas, representando alrededor de 20 países.</w:t>
      </w:r>
    </w:p>
    <w:p w14:paraId="307D26A8" w14:textId="77777777" w:rsidR="00B11868" w:rsidRPr="006D0445" w:rsidRDefault="00B11868" w:rsidP="008A1A95">
      <w:pPr>
        <w:pStyle w:val="Prrafodelista"/>
        <w:numPr>
          <w:ilvl w:val="0"/>
          <w:numId w:val="28"/>
        </w:numPr>
        <w:spacing w:after="0"/>
        <w:ind w:right="85"/>
        <w:rPr>
          <w:color w:val="767171"/>
        </w:rPr>
      </w:pPr>
      <w:bookmarkStart w:id="72" w:name="_Hlk169165512"/>
      <w:r w:rsidRPr="006D0445">
        <w:rPr>
          <w:color w:val="767171"/>
        </w:rPr>
        <w:t xml:space="preserve">El 7 de febrero tuvo lugar la XXIV Reunión Anual de Reguladores de la Energía de </w:t>
      </w:r>
      <w:proofErr w:type="spellStart"/>
      <w:r w:rsidRPr="006D0445">
        <w:rPr>
          <w:color w:val="767171"/>
        </w:rPr>
        <w:t>ARIAE</w:t>
      </w:r>
      <w:bookmarkEnd w:id="72"/>
      <w:proofErr w:type="spellEnd"/>
      <w:r w:rsidRPr="006D0445">
        <w:rPr>
          <w:color w:val="767171"/>
        </w:rPr>
        <w:t xml:space="preserve">. Se trató de un evento abierto a los reguladores y a las instituciones invitadas, donde disertaron sobre el intercambio de experiencias regulatorias entre los miembros de </w:t>
      </w:r>
      <w:proofErr w:type="spellStart"/>
      <w:r w:rsidRPr="006D0445">
        <w:rPr>
          <w:color w:val="767171"/>
        </w:rPr>
        <w:t>ARIAE</w:t>
      </w:r>
      <w:proofErr w:type="spellEnd"/>
      <w:r w:rsidRPr="006D0445">
        <w:rPr>
          <w:color w:val="767171"/>
        </w:rPr>
        <w:t xml:space="preserve"> y los organismos multinacionales participantes.</w:t>
      </w:r>
    </w:p>
    <w:p w14:paraId="4C40CCC7" w14:textId="5BE66AB1" w:rsidR="00BD03A8" w:rsidRDefault="00B11868" w:rsidP="008A1A95">
      <w:pPr>
        <w:pStyle w:val="Prrafodelista"/>
        <w:numPr>
          <w:ilvl w:val="0"/>
          <w:numId w:val="28"/>
        </w:numPr>
        <w:spacing w:after="0"/>
        <w:ind w:right="85"/>
        <w:rPr>
          <w:color w:val="767171"/>
        </w:rPr>
      </w:pPr>
      <w:r w:rsidRPr="006D0445">
        <w:rPr>
          <w:color w:val="767171"/>
        </w:rPr>
        <w:t xml:space="preserve">El 8 de febrero se efectuó la XIII Junta de la Asamblea General de </w:t>
      </w:r>
      <w:proofErr w:type="spellStart"/>
      <w:r w:rsidRPr="006D0445">
        <w:rPr>
          <w:color w:val="767171"/>
        </w:rPr>
        <w:t>ARIAE</w:t>
      </w:r>
      <w:proofErr w:type="spellEnd"/>
      <w:r w:rsidRPr="006D0445">
        <w:rPr>
          <w:color w:val="767171"/>
        </w:rPr>
        <w:t>, la cual consistió en una reunión exclusiva para los reguladores miembros. En el marco de esta asamblea la Superintendencia de Electricidad sometió la creación del Grupo de Trabajo Equidad de Género, el cual fue aprobado a unanimidad, quedando la presidencia de este en República Dominicana.</w:t>
      </w:r>
    </w:p>
    <w:p w14:paraId="3197DD7F" w14:textId="77777777" w:rsidR="00BD03A8" w:rsidRDefault="00BD03A8">
      <w:pPr>
        <w:spacing w:line="259" w:lineRule="auto"/>
        <w:jc w:val="left"/>
        <w:rPr>
          <w:color w:val="767171"/>
        </w:rPr>
      </w:pPr>
      <w:r>
        <w:rPr>
          <w:color w:val="767171"/>
        </w:rPr>
        <w:br w:type="page"/>
      </w:r>
    </w:p>
    <w:p w14:paraId="4E6E1FD8" w14:textId="40D76C5C" w:rsidR="001A21D5" w:rsidRPr="006D0445" w:rsidRDefault="00ED2F69" w:rsidP="008A1A95">
      <w:pPr>
        <w:rPr>
          <w:b/>
          <w:bCs/>
          <w:color w:val="767171"/>
        </w:rPr>
      </w:pPr>
      <w:r w:rsidRPr="006D0445">
        <w:rPr>
          <w:b/>
          <w:bCs/>
          <w:color w:val="767171"/>
        </w:rPr>
        <w:lastRenderedPageBreak/>
        <w:t>Resultados de las Normas Básicas de Control Interno (</w:t>
      </w:r>
      <w:proofErr w:type="spellStart"/>
      <w:r w:rsidRPr="006D0445">
        <w:rPr>
          <w:b/>
          <w:bCs/>
          <w:color w:val="767171"/>
        </w:rPr>
        <w:t>NOBACI</w:t>
      </w:r>
      <w:proofErr w:type="spellEnd"/>
      <w:r w:rsidRPr="006D0445">
        <w:rPr>
          <w:b/>
          <w:bCs/>
          <w:color w:val="767171"/>
        </w:rPr>
        <w:t>)</w:t>
      </w:r>
    </w:p>
    <w:p w14:paraId="7A1C1550" w14:textId="6F0A6B1D" w:rsidR="00AB67C5" w:rsidRPr="006D0445" w:rsidRDefault="005C6A98" w:rsidP="008A1A95">
      <w:pPr>
        <w:spacing w:after="0"/>
        <w:rPr>
          <w:rFonts w:eastAsia="Times New Roman"/>
          <w:color w:val="767171"/>
        </w:rPr>
      </w:pPr>
      <w:r w:rsidRPr="006D0445">
        <w:rPr>
          <w:rFonts w:eastAsia="Times New Roman"/>
          <w:color w:val="767171"/>
        </w:rPr>
        <w:t xml:space="preserve">La Contraloría General de la República (CGR) </w:t>
      </w:r>
      <w:r w:rsidR="0022477C" w:rsidRPr="006D0445">
        <w:rPr>
          <w:rFonts w:eastAsia="Times New Roman"/>
          <w:color w:val="767171"/>
        </w:rPr>
        <w:t>mediante la Resolución No.008-20, estableció la Nueva Matriz para el autodiagnóstico o evaluación para el cumplimiento de las Normas Básicas de Control Interno</w:t>
      </w:r>
      <w:r w:rsidR="00157C75" w:rsidRPr="006D0445">
        <w:rPr>
          <w:rFonts w:eastAsia="Times New Roman"/>
          <w:color w:val="767171"/>
        </w:rPr>
        <w:t xml:space="preserve">, iniciando la calificación a partir del punto cero. En enero </w:t>
      </w:r>
      <w:r w:rsidR="00F2650B" w:rsidRPr="006D0445">
        <w:rPr>
          <w:rFonts w:eastAsia="Times New Roman"/>
          <w:color w:val="767171"/>
        </w:rPr>
        <w:t>2024</w:t>
      </w:r>
      <w:r w:rsidR="00157C75" w:rsidRPr="006D0445">
        <w:rPr>
          <w:rFonts w:eastAsia="Times New Roman"/>
          <w:color w:val="767171"/>
        </w:rPr>
        <w:t xml:space="preserve">, la SIE realizó una autoevaluación del Sistema de Control Interno, </w:t>
      </w:r>
      <w:r w:rsidR="009621B5" w:rsidRPr="006D0445">
        <w:rPr>
          <w:rFonts w:eastAsia="Times New Roman"/>
          <w:color w:val="767171"/>
        </w:rPr>
        <w:t>elaborando</w:t>
      </w:r>
      <w:r w:rsidR="00157C75" w:rsidRPr="006D0445">
        <w:rPr>
          <w:rFonts w:eastAsia="Times New Roman"/>
          <w:color w:val="767171"/>
        </w:rPr>
        <w:t xml:space="preserve"> y actualizando la documentación institucional para cumplir con estas normas y se comprometieron iniciativas en un plan de acción</w:t>
      </w:r>
      <w:r w:rsidR="007849DD" w:rsidRPr="006D0445">
        <w:rPr>
          <w:rFonts w:eastAsia="Times New Roman"/>
          <w:color w:val="767171"/>
        </w:rPr>
        <w:t>;</w:t>
      </w:r>
      <w:r w:rsidR="009621B5" w:rsidRPr="006D0445">
        <w:rPr>
          <w:rFonts w:eastAsia="Times New Roman"/>
          <w:color w:val="767171"/>
        </w:rPr>
        <w:t xml:space="preserve"> </w:t>
      </w:r>
      <w:r w:rsidR="007849DD" w:rsidRPr="006D0445">
        <w:rPr>
          <w:rFonts w:eastAsia="Times New Roman"/>
          <w:color w:val="767171"/>
        </w:rPr>
        <w:t>A</w:t>
      </w:r>
      <w:r w:rsidR="00157C75" w:rsidRPr="006D0445">
        <w:rPr>
          <w:rFonts w:eastAsia="Times New Roman"/>
          <w:color w:val="767171"/>
        </w:rPr>
        <w:t xml:space="preserve"> diciembre de este año</w:t>
      </w:r>
      <w:r w:rsidR="007849DD" w:rsidRPr="006D0445">
        <w:rPr>
          <w:rFonts w:eastAsia="Times New Roman"/>
          <w:color w:val="767171"/>
        </w:rPr>
        <w:t xml:space="preserve"> </w:t>
      </w:r>
      <w:r w:rsidR="00A8285C" w:rsidRPr="006D0445">
        <w:rPr>
          <w:rFonts w:eastAsia="Times New Roman"/>
          <w:color w:val="767171"/>
        </w:rPr>
        <w:t xml:space="preserve">la institución registra </w:t>
      </w:r>
      <w:r w:rsidR="007849DD" w:rsidRPr="006D0445">
        <w:rPr>
          <w:rFonts w:eastAsia="Times New Roman"/>
          <w:color w:val="767171"/>
        </w:rPr>
        <w:t xml:space="preserve">en </w:t>
      </w:r>
      <w:proofErr w:type="spellStart"/>
      <w:r w:rsidR="007849DD" w:rsidRPr="006D0445">
        <w:rPr>
          <w:rFonts w:eastAsia="Times New Roman"/>
          <w:color w:val="767171"/>
        </w:rPr>
        <w:t>NOBACI</w:t>
      </w:r>
      <w:proofErr w:type="spellEnd"/>
      <w:r w:rsidR="007849DD" w:rsidRPr="006D0445">
        <w:rPr>
          <w:rFonts w:eastAsia="Times New Roman"/>
          <w:color w:val="767171"/>
        </w:rPr>
        <w:t xml:space="preserve"> </w:t>
      </w:r>
      <w:r w:rsidR="00157C75" w:rsidRPr="006D0445">
        <w:rPr>
          <w:rFonts w:eastAsia="Times New Roman"/>
          <w:color w:val="767171"/>
        </w:rPr>
        <w:t xml:space="preserve">un </w:t>
      </w:r>
      <w:r w:rsidR="00A8285C" w:rsidRPr="006D0445">
        <w:rPr>
          <w:rFonts w:eastAsia="Times New Roman"/>
          <w:color w:val="767171"/>
        </w:rPr>
        <w:t>nivel de cumplimiento</w:t>
      </w:r>
      <w:r w:rsidR="00157C75" w:rsidRPr="006D0445">
        <w:rPr>
          <w:rFonts w:eastAsia="Times New Roman"/>
          <w:color w:val="767171"/>
        </w:rPr>
        <w:t xml:space="preserve"> de </w:t>
      </w:r>
      <w:r w:rsidR="007849DD" w:rsidRPr="006D0445">
        <w:rPr>
          <w:rFonts w:eastAsia="Times New Roman"/>
          <w:color w:val="767171"/>
        </w:rPr>
        <w:t>7</w:t>
      </w:r>
      <w:r w:rsidR="002D00F7" w:rsidRPr="006D0445">
        <w:rPr>
          <w:rFonts w:eastAsia="Times New Roman"/>
          <w:color w:val="767171"/>
        </w:rPr>
        <w:t>8</w:t>
      </w:r>
      <w:r w:rsidR="00157C75" w:rsidRPr="006D0445">
        <w:rPr>
          <w:rFonts w:eastAsia="Times New Roman"/>
          <w:color w:val="767171"/>
        </w:rPr>
        <w:t>.</w:t>
      </w:r>
      <w:r w:rsidR="002D00F7" w:rsidRPr="006D0445">
        <w:rPr>
          <w:rFonts w:eastAsia="Times New Roman"/>
          <w:color w:val="767171"/>
        </w:rPr>
        <w:t>13</w:t>
      </w:r>
      <w:r w:rsidR="00157C75" w:rsidRPr="006D0445">
        <w:rPr>
          <w:rFonts w:eastAsia="Times New Roman"/>
          <w:color w:val="767171"/>
        </w:rPr>
        <w:t>%.</w:t>
      </w:r>
      <w:r w:rsidR="00064710">
        <w:rPr>
          <w:rFonts w:eastAsia="Times New Roman"/>
          <w:color w:val="767171"/>
        </w:rPr>
        <w:t xml:space="preserve"> </w:t>
      </w:r>
      <w:r w:rsidR="00AB67C5" w:rsidRPr="006D0445">
        <w:rPr>
          <w:color w:val="767171"/>
        </w:rPr>
        <w:t>En el cuadro a continuación se presentan los avances de los componentes del Control Interno</w:t>
      </w:r>
      <w:r w:rsidR="00681510" w:rsidRPr="006D0445">
        <w:rPr>
          <w:color w:val="767171"/>
        </w:rPr>
        <w:t xml:space="preserve">:  </w:t>
      </w:r>
    </w:p>
    <w:p w14:paraId="3102BDC7" w14:textId="54DC4136" w:rsidR="00921DE8" w:rsidRPr="006D0445" w:rsidRDefault="00921DE8" w:rsidP="008A1A95">
      <w:pPr>
        <w:jc w:val="left"/>
        <w:rPr>
          <w:rFonts w:eastAsia="Times New Roman"/>
          <w:color w:val="767171"/>
          <w:kern w:val="2"/>
          <w:sz w:val="12"/>
          <w:szCs w:val="12"/>
          <w14:ligatures w14:val="standardContextual"/>
        </w:rPr>
      </w:pPr>
    </w:p>
    <w:p w14:paraId="50AFE719" w14:textId="2442D5F5"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10</w:t>
      </w:r>
      <w:r w:rsidRPr="006D0445">
        <w:rPr>
          <w:color w:val="767171"/>
        </w:rPr>
        <w:fldChar w:fldCharType="end"/>
      </w:r>
      <w:r w:rsidRPr="006D0445">
        <w:rPr>
          <w:color w:val="767171"/>
        </w:rPr>
        <w:t xml:space="preserve"> Matriz </w:t>
      </w:r>
      <w:proofErr w:type="spellStart"/>
      <w:r w:rsidRPr="006D0445">
        <w:rPr>
          <w:color w:val="767171"/>
        </w:rPr>
        <w:t>NOBACI</w:t>
      </w:r>
      <w:proofErr w:type="spellEnd"/>
    </w:p>
    <w:tbl>
      <w:tblPr>
        <w:tblStyle w:val="Tablaconcuadrcula"/>
        <w:tblW w:w="8094" w:type="dxa"/>
        <w:jc w:val="center"/>
        <w:tblLayout w:type="fixed"/>
        <w:tblLook w:val="04A0" w:firstRow="1" w:lastRow="0" w:firstColumn="1" w:lastColumn="0" w:noHBand="0" w:noVBand="1"/>
      </w:tblPr>
      <w:tblGrid>
        <w:gridCol w:w="3132"/>
        <w:gridCol w:w="1683"/>
        <w:gridCol w:w="1417"/>
        <w:gridCol w:w="1862"/>
      </w:tblGrid>
      <w:tr w:rsidR="006D0445" w:rsidRPr="006D0445" w14:paraId="379AF607" w14:textId="77777777" w:rsidTr="00795A10">
        <w:trPr>
          <w:trHeight w:val="280"/>
          <w:tblHeader/>
          <w:jc w:val="center"/>
        </w:trPr>
        <w:tc>
          <w:tcPr>
            <w:tcW w:w="3132" w:type="dxa"/>
            <w:vMerge w:val="restart"/>
            <w:shd w:val="clear" w:color="auto" w:fill="002060"/>
            <w:vAlign w:val="center"/>
          </w:tcPr>
          <w:p w14:paraId="2694FA13" w14:textId="3B8669B0" w:rsidR="002D00F7" w:rsidRPr="00795A10" w:rsidRDefault="002D00F7" w:rsidP="000C775A">
            <w:pPr>
              <w:jc w:val="center"/>
              <w:rPr>
                <w:b/>
                <w:bCs/>
                <w:color w:val="FFFFFF" w:themeColor="background1"/>
              </w:rPr>
            </w:pPr>
            <w:r w:rsidRPr="00795A10">
              <w:rPr>
                <w:rFonts w:eastAsia="Calibri"/>
                <w:b/>
                <w:bCs/>
                <w:noProof/>
                <w:color w:val="FFFFFF" w:themeColor="background1"/>
                <w:spacing w:val="20"/>
              </w:rPr>
              <w:t>Componente del Control Interno</w:t>
            </w:r>
          </w:p>
        </w:tc>
        <w:tc>
          <w:tcPr>
            <w:tcW w:w="4962" w:type="dxa"/>
            <w:gridSpan w:val="3"/>
            <w:shd w:val="clear" w:color="auto" w:fill="002060"/>
            <w:vAlign w:val="center"/>
          </w:tcPr>
          <w:p w14:paraId="0E21893F" w14:textId="77777777" w:rsidR="002D00F7" w:rsidRPr="00795A10" w:rsidRDefault="002D00F7" w:rsidP="000C775A">
            <w:pPr>
              <w:jc w:val="center"/>
              <w:rPr>
                <w:rFonts w:eastAsia="Calibri"/>
                <w:b/>
                <w:bCs/>
                <w:noProof/>
                <w:color w:val="FFFFFF" w:themeColor="background1"/>
                <w:spacing w:val="20"/>
              </w:rPr>
            </w:pPr>
            <w:r w:rsidRPr="00795A10">
              <w:rPr>
                <w:rFonts w:eastAsia="Calibri"/>
                <w:b/>
                <w:bCs/>
                <w:noProof/>
                <w:color w:val="FFFFFF" w:themeColor="background1"/>
                <w:spacing w:val="20"/>
              </w:rPr>
              <w:t>Contraloría General de la República</w:t>
            </w:r>
          </w:p>
        </w:tc>
      </w:tr>
      <w:tr w:rsidR="006D0445" w:rsidRPr="006D0445" w14:paraId="58822D0A" w14:textId="77777777" w:rsidTr="00795A10">
        <w:trPr>
          <w:trHeight w:val="427"/>
          <w:tblHeader/>
          <w:jc w:val="center"/>
        </w:trPr>
        <w:tc>
          <w:tcPr>
            <w:tcW w:w="3132" w:type="dxa"/>
            <w:vMerge/>
            <w:shd w:val="clear" w:color="auto" w:fill="002060"/>
            <w:vAlign w:val="center"/>
          </w:tcPr>
          <w:p w14:paraId="4EDD309A" w14:textId="77777777" w:rsidR="002D00F7" w:rsidRPr="00795A10" w:rsidRDefault="002D00F7" w:rsidP="000C775A">
            <w:pPr>
              <w:jc w:val="center"/>
              <w:rPr>
                <w:rFonts w:eastAsia="MS Mincho"/>
                <w:b/>
                <w:bCs/>
                <w:color w:val="FFFFFF" w:themeColor="background1"/>
              </w:rPr>
            </w:pPr>
          </w:p>
        </w:tc>
        <w:tc>
          <w:tcPr>
            <w:tcW w:w="1683" w:type="dxa"/>
            <w:shd w:val="clear" w:color="auto" w:fill="002060"/>
            <w:vAlign w:val="center"/>
          </w:tcPr>
          <w:p w14:paraId="4BFF6BFC" w14:textId="77777777" w:rsidR="002D00F7" w:rsidRPr="00795A10" w:rsidRDefault="002D00F7" w:rsidP="000C775A">
            <w:pPr>
              <w:jc w:val="center"/>
              <w:rPr>
                <w:rFonts w:eastAsia="Calibri"/>
                <w:b/>
                <w:bCs/>
                <w:noProof/>
                <w:color w:val="FFFFFF" w:themeColor="background1"/>
                <w:spacing w:val="20"/>
              </w:rPr>
            </w:pPr>
            <w:r w:rsidRPr="00795A10">
              <w:rPr>
                <w:rFonts w:eastAsia="Calibri"/>
                <w:b/>
                <w:bCs/>
                <w:noProof/>
                <w:color w:val="FFFFFF" w:themeColor="background1"/>
                <w:spacing w:val="20"/>
              </w:rPr>
              <w:t>Evaluación</w:t>
            </w:r>
          </w:p>
        </w:tc>
        <w:tc>
          <w:tcPr>
            <w:tcW w:w="1417" w:type="dxa"/>
            <w:shd w:val="clear" w:color="auto" w:fill="002060"/>
            <w:vAlign w:val="center"/>
          </w:tcPr>
          <w:p w14:paraId="20DE774B" w14:textId="77777777" w:rsidR="002D00F7" w:rsidRPr="00795A10" w:rsidRDefault="002D00F7" w:rsidP="000C775A">
            <w:pPr>
              <w:jc w:val="center"/>
              <w:rPr>
                <w:rFonts w:eastAsia="Calibri"/>
                <w:b/>
                <w:bCs/>
                <w:noProof/>
                <w:color w:val="FFFFFF" w:themeColor="background1"/>
                <w:spacing w:val="20"/>
              </w:rPr>
            </w:pPr>
            <w:r w:rsidRPr="00795A10">
              <w:rPr>
                <w:rFonts w:eastAsia="Calibri"/>
                <w:b/>
                <w:bCs/>
                <w:noProof/>
                <w:color w:val="FFFFFF" w:themeColor="background1"/>
                <w:spacing w:val="20"/>
              </w:rPr>
              <w:t>Progreso</w:t>
            </w:r>
          </w:p>
        </w:tc>
        <w:tc>
          <w:tcPr>
            <w:tcW w:w="1862" w:type="dxa"/>
            <w:shd w:val="clear" w:color="auto" w:fill="002060"/>
            <w:vAlign w:val="center"/>
          </w:tcPr>
          <w:p w14:paraId="11933C6F" w14:textId="77777777" w:rsidR="002D00F7" w:rsidRPr="00795A10" w:rsidRDefault="002D00F7" w:rsidP="005A434D">
            <w:pPr>
              <w:spacing w:line="276" w:lineRule="auto"/>
              <w:jc w:val="center"/>
              <w:rPr>
                <w:rFonts w:eastAsia="Calibri"/>
                <w:b/>
                <w:bCs/>
                <w:noProof/>
                <w:color w:val="FFFFFF" w:themeColor="background1"/>
                <w:spacing w:val="20"/>
              </w:rPr>
            </w:pPr>
            <w:r w:rsidRPr="00795A10">
              <w:rPr>
                <w:rFonts w:eastAsia="Calibri"/>
                <w:b/>
                <w:bCs/>
                <w:noProof/>
                <w:color w:val="FFFFFF" w:themeColor="background1"/>
                <w:spacing w:val="20"/>
              </w:rPr>
              <w:t>Observaciones CGR</w:t>
            </w:r>
          </w:p>
        </w:tc>
      </w:tr>
      <w:tr w:rsidR="006D0445" w:rsidRPr="006D0445" w14:paraId="7BBA88AF" w14:textId="77777777" w:rsidTr="00795A10">
        <w:trPr>
          <w:trHeight w:val="578"/>
          <w:jc w:val="center"/>
        </w:trPr>
        <w:tc>
          <w:tcPr>
            <w:tcW w:w="3132" w:type="dxa"/>
            <w:vAlign w:val="center"/>
          </w:tcPr>
          <w:p w14:paraId="1506B3C0" w14:textId="3AC3FA61" w:rsidR="002D00F7" w:rsidRPr="00795A10" w:rsidRDefault="002D00F7" w:rsidP="005A434D">
            <w:pPr>
              <w:spacing w:line="276" w:lineRule="auto"/>
              <w:jc w:val="center"/>
              <w:rPr>
                <w:rFonts w:eastAsia="Calibri"/>
                <w:noProof/>
                <w:color w:val="767171"/>
                <w:spacing w:val="20"/>
              </w:rPr>
            </w:pPr>
            <w:r w:rsidRPr="00795A10">
              <w:rPr>
                <w:rFonts w:eastAsia="Calibri"/>
                <w:noProof/>
                <w:color w:val="767171"/>
                <w:spacing w:val="20"/>
              </w:rPr>
              <w:t>Ambiente de Control</w:t>
            </w:r>
          </w:p>
        </w:tc>
        <w:tc>
          <w:tcPr>
            <w:tcW w:w="1683" w:type="dxa"/>
            <w:shd w:val="clear" w:color="auto" w:fill="auto"/>
            <w:vAlign w:val="center"/>
          </w:tcPr>
          <w:p w14:paraId="78899368" w14:textId="3FBAF704" w:rsidR="002D00F7" w:rsidRPr="00795A10" w:rsidRDefault="002D00F7" w:rsidP="000C775A">
            <w:pPr>
              <w:jc w:val="center"/>
              <w:rPr>
                <w:rFonts w:eastAsia="Calibri"/>
                <w:noProof/>
                <w:color w:val="767171"/>
                <w:spacing w:val="20"/>
              </w:rPr>
            </w:pPr>
            <w:r w:rsidRPr="00795A10">
              <w:rPr>
                <w:rFonts w:eastAsia="Calibri"/>
                <w:noProof/>
                <w:color w:val="767171"/>
                <w:spacing w:val="20"/>
              </w:rPr>
              <w:t>81.40%</w:t>
            </w:r>
          </w:p>
        </w:tc>
        <w:tc>
          <w:tcPr>
            <w:tcW w:w="1417" w:type="dxa"/>
            <w:shd w:val="clear" w:color="auto" w:fill="auto"/>
            <w:vAlign w:val="center"/>
          </w:tcPr>
          <w:p w14:paraId="50E8FFC1" w14:textId="03B6E14F" w:rsidR="002D00F7" w:rsidRPr="00795A10" w:rsidRDefault="002D00F7" w:rsidP="000C775A">
            <w:pPr>
              <w:jc w:val="center"/>
              <w:rPr>
                <w:rFonts w:eastAsia="Calibri"/>
                <w:noProof/>
                <w:color w:val="767171"/>
                <w:spacing w:val="20"/>
              </w:rPr>
            </w:pPr>
            <w:r w:rsidRPr="00795A10">
              <w:rPr>
                <w:noProof/>
                <w:color w:val="767171"/>
              </w:rPr>
              <mc:AlternateContent>
                <mc:Choice Requires="wps">
                  <w:drawing>
                    <wp:anchor distT="0" distB="0" distL="114300" distR="114300" simplePos="0" relativeHeight="251758592" behindDoc="0" locked="0" layoutInCell="1" allowOverlap="1" wp14:anchorId="19EE4BD3" wp14:editId="2119DD77">
                      <wp:simplePos x="0" y="0"/>
                      <wp:positionH relativeFrom="column">
                        <wp:posOffset>19050</wp:posOffset>
                      </wp:positionH>
                      <wp:positionV relativeFrom="paragraph">
                        <wp:posOffset>38735</wp:posOffset>
                      </wp:positionV>
                      <wp:extent cx="488950" cy="169545"/>
                      <wp:effectExtent l="0" t="0" r="6350" b="1905"/>
                      <wp:wrapNone/>
                      <wp:docPr id="2116915572" name="Rectángulo: esquinas redondeadas 3"/>
                      <wp:cNvGraphicFramePr/>
                      <a:graphic xmlns:a="http://schemas.openxmlformats.org/drawingml/2006/main">
                        <a:graphicData uri="http://schemas.microsoft.com/office/word/2010/wordprocessingShape">
                          <wps:wsp>
                            <wps:cNvSpPr/>
                            <wps:spPr>
                              <a:xfrm>
                                <a:off x="0" y="0"/>
                                <a:ext cx="488950" cy="169545"/>
                              </a:xfrm>
                              <a:prstGeom prst="roundRect">
                                <a:avLst/>
                              </a:prstGeom>
                              <a:solidFill>
                                <a:srgbClr val="73DE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3FA85" id="Rectángulo: esquinas redondeadas 3" o:spid="_x0000_s1026" style="position:absolute;margin-left:1.5pt;margin-top:3.05pt;width:38.5pt;height:13.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" fillcolor="#73dedd" stroked="f" strokeweight="1pt">
                      <v:stroke joinstyle="miter"/>
                    </v:roundrect>
                  </w:pict>
                </mc:Fallback>
              </mc:AlternateContent>
            </w:r>
          </w:p>
        </w:tc>
        <w:tc>
          <w:tcPr>
            <w:tcW w:w="1862" w:type="dxa"/>
            <w:shd w:val="clear" w:color="auto" w:fill="auto"/>
            <w:vAlign w:val="center"/>
          </w:tcPr>
          <w:p w14:paraId="15A87C70" w14:textId="4B0CA5B5" w:rsidR="002D00F7" w:rsidRPr="00795A10" w:rsidRDefault="002D00F7" w:rsidP="000C775A">
            <w:pPr>
              <w:jc w:val="center"/>
              <w:rPr>
                <w:rFonts w:eastAsia="Calibri"/>
                <w:noProof/>
                <w:color w:val="767171"/>
                <w:spacing w:val="20"/>
              </w:rPr>
            </w:pPr>
            <w:r w:rsidRPr="00795A10">
              <w:rPr>
                <w:rFonts w:eastAsia="Calibri"/>
                <w:noProof/>
                <w:color w:val="767171"/>
                <w:spacing w:val="20"/>
              </w:rPr>
              <w:t>0</w:t>
            </w:r>
          </w:p>
        </w:tc>
      </w:tr>
      <w:tr w:rsidR="006D0445" w:rsidRPr="006D0445" w14:paraId="35164C38" w14:textId="77777777" w:rsidTr="00795A10">
        <w:trPr>
          <w:trHeight w:val="614"/>
          <w:jc w:val="center"/>
        </w:trPr>
        <w:tc>
          <w:tcPr>
            <w:tcW w:w="3132" w:type="dxa"/>
            <w:vAlign w:val="center"/>
          </w:tcPr>
          <w:p w14:paraId="3E1AA406" w14:textId="77777777" w:rsidR="002D00F7" w:rsidRPr="00795A10" w:rsidRDefault="002D00F7" w:rsidP="005A434D">
            <w:pPr>
              <w:spacing w:line="276" w:lineRule="auto"/>
              <w:jc w:val="center"/>
              <w:rPr>
                <w:rFonts w:eastAsia="Calibri"/>
                <w:noProof/>
                <w:color w:val="767171"/>
                <w:spacing w:val="20"/>
              </w:rPr>
            </w:pPr>
            <w:r w:rsidRPr="00795A10">
              <w:rPr>
                <w:rFonts w:eastAsia="Calibri"/>
                <w:noProof/>
                <w:color w:val="767171"/>
                <w:spacing w:val="20"/>
              </w:rPr>
              <w:t>Valoración y Administración de Riesgos</w:t>
            </w:r>
          </w:p>
        </w:tc>
        <w:tc>
          <w:tcPr>
            <w:tcW w:w="1683" w:type="dxa"/>
            <w:shd w:val="clear" w:color="auto" w:fill="auto"/>
            <w:vAlign w:val="center"/>
          </w:tcPr>
          <w:p w14:paraId="5752AC76" w14:textId="40E945E2" w:rsidR="002D00F7" w:rsidRPr="00795A10" w:rsidRDefault="002D00F7" w:rsidP="00242457">
            <w:pPr>
              <w:jc w:val="center"/>
              <w:rPr>
                <w:rFonts w:eastAsia="Calibri"/>
                <w:noProof/>
                <w:color w:val="767171"/>
                <w:spacing w:val="20"/>
              </w:rPr>
            </w:pPr>
            <w:r w:rsidRPr="00795A10">
              <w:rPr>
                <w:rFonts w:eastAsia="Calibri"/>
                <w:noProof/>
                <w:color w:val="767171"/>
                <w:spacing w:val="20"/>
              </w:rPr>
              <w:t>92.00%</w:t>
            </w:r>
          </w:p>
        </w:tc>
        <w:tc>
          <w:tcPr>
            <w:tcW w:w="1417" w:type="dxa"/>
            <w:shd w:val="clear" w:color="auto" w:fill="auto"/>
            <w:vAlign w:val="center"/>
          </w:tcPr>
          <w:p w14:paraId="19AF0070" w14:textId="2A3CBBB5" w:rsidR="002D00F7" w:rsidRPr="00795A10" w:rsidRDefault="002D00F7" w:rsidP="00242457">
            <w:pPr>
              <w:jc w:val="center"/>
              <w:rPr>
                <w:rFonts w:eastAsia="Calibri"/>
                <w:noProof/>
                <w:color w:val="767171"/>
                <w:spacing w:val="20"/>
              </w:rPr>
            </w:pPr>
            <w:r w:rsidRPr="00795A10">
              <w:rPr>
                <w:noProof/>
                <w:color w:val="767171"/>
              </w:rPr>
              <mc:AlternateContent>
                <mc:Choice Requires="wps">
                  <w:drawing>
                    <wp:anchor distT="0" distB="0" distL="114300" distR="114300" simplePos="0" relativeHeight="251763712" behindDoc="0" locked="0" layoutInCell="1" allowOverlap="1" wp14:anchorId="76F9E3F2" wp14:editId="186FCECA">
                      <wp:simplePos x="0" y="0"/>
                      <wp:positionH relativeFrom="column">
                        <wp:posOffset>22860</wp:posOffset>
                      </wp:positionH>
                      <wp:positionV relativeFrom="page">
                        <wp:posOffset>64135</wp:posOffset>
                      </wp:positionV>
                      <wp:extent cx="480060" cy="178435"/>
                      <wp:effectExtent l="0" t="0" r="0" b="0"/>
                      <wp:wrapNone/>
                      <wp:docPr id="391636052" name="Rectángulo: esquinas redondeadas 3"/>
                      <wp:cNvGraphicFramePr/>
                      <a:graphic xmlns:a="http://schemas.openxmlformats.org/drawingml/2006/main">
                        <a:graphicData uri="http://schemas.microsoft.com/office/word/2010/wordprocessingShape">
                          <wps:wsp>
                            <wps:cNvSpPr/>
                            <wps:spPr>
                              <a:xfrm>
                                <a:off x="0" y="0"/>
                                <a:ext cx="480060" cy="178435"/>
                              </a:xfrm>
                              <a:prstGeom prst="roundRect">
                                <a:avLst/>
                              </a:prstGeom>
                              <a:solidFill>
                                <a:srgbClr val="011C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AC2E5" id="Rectángulo: esquinas redondeadas 3" o:spid="_x0000_s1026" style="position:absolute;margin-left:1.8pt;margin-top:5.05pt;width:37.8pt;height:1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" fillcolor="#011c50" stroked="f" strokeweight="1pt">
                      <v:stroke joinstyle="miter"/>
                      <w10:wrap anchory="page"/>
                    </v:roundrect>
                  </w:pict>
                </mc:Fallback>
              </mc:AlternateContent>
            </w:r>
          </w:p>
        </w:tc>
        <w:tc>
          <w:tcPr>
            <w:tcW w:w="1862" w:type="dxa"/>
            <w:shd w:val="clear" w:color="auto" w:fill="auto"/>
            <w:vAlign w:val="center"/>
          </w:tcPr>
          <w:p w14:paraId="69B08CCC" w14:textId="1551A3E2" w:rsidR="002D00F7" w:rsidRPr="00795A10" w:rsidRDefault="002D00F7" w:rsidP="00242457">
            <w:pPr>
              <w:jc w:val="center"/>
              <w:rPr>
                <w:rFonts w:eastAsia="Calibri"/>
                <w:noProof/>
                <w:color w:val="767171"/>
                <w:spacing w:val="20"/>
              </w:rPr>
            </w:pPr>
            <w:r w:rsidRPr="00795A10">
              <w:rPr>
                <w:rFonts w:eastAsia="Calibri"/>
                <w:noProof/>
                <w:color w:val="767171"/>
                <w:spacing w:val="20"/>
              </w:rPr>
              <w:t>0</w:t>
            </w:r>
          </w:p>
        </w:tc>
      </w:tr>
      <w:tr w:rsidR="006D0445" w:rsidRPr="006D0445" w14:paraId="3341E229" w14:textId="77777777" w:rsidTr="00795A10">
        <w:trPr>
          <w:trHeight w:val="358"/>
          <w:jc w:val="center"/>
        </w:trPr>
        <w:tc>
          <w:tcPr>
            <w:tcW w:w="3132" w:type="dxa"/>
            <w:vAlign w:val="center"/>
          </w:tcPr>
          <w:p w14:paraId="3376DF94" w14:textId="77777777" w:rsidR="002D00F7" w:rsidRPr="00795A10" w:rsidRDefault="002D00F7" w:rsidP="005A434D">
            <w:pPr>
              <w:spacing w:line="276" w:lineRule="auto"/>
              <w:jc w:val="center"/>
              <w:rPr>
                <w:rFonts w:eastAsia="Calibri"/>
                <w:noProof/>
                <w:color w:val="767171"/>
                <w:spacing w:val="20"/>
              </w:rPr>
            </w:pPr>
            <w:r w:rsidRPr="00795A10">
              <w:rPr>
                <w:rFonts w:eastAsia="Calibri"/>
                <w:noProof/>
                <w:color w:val="767171"/>
                <w:spacing w:val="20"/>
              </w:rPr>
              <w:t>Actividades de Control</w:t>
            </w:r>
          </w:p>
        </w:tc>
        <w:tc>
          <w:tcPr>
            <w:tcW w:w="1683" w:type="dxa"/>
            <w:shd w:val="clear" w:color="auto" w:fill="auto"/>
            <w:vAlign w:val="center"/>
          </w:tcPr>
          <w:p w14:paraId="2827C532" w14:textId="7F82CE4B" w:rsidR="002D00F7" w:rsidRPr="00795A10" w:rsidRDefault="002D00F7" w:rsidP="00242457">
            <w:pPr>
              <w:jc w:val="center"/>
              <w:rPr>
                <w:rFonts w:eastAsia="Calibri"/>
                <w:noProof/>
                <w:color w:val="767171"/>
                <w:spacing w:val="20"/>
              </w:rPr>
            </w:pPr>
            <w:r w:rsidRPr="00795A10">
              <w:rPr>
                <w:rFonts w:eastAsia="Calibri"/>
                <w:noProof/>
                <w:color w:val="767171"/>
                <w:spacing w:val="20"/>
              </w:rPr>
              <w:t>40.00%</w:t>
            </w:r>
          </w:p>
        </w:tc>
        <w:tc>
          <w:tcPr>
            <w:tcW w:w="1417" w:type="dxa"/>
            <w:shd w:val="clear" w:color="auto" w:fill="auto"/>
            <w:vAlign w:val="center"/>
          </w:tcPr>
          <w:p w14:paraId="18C4CA83" w14:textId="4B5A8E78" w:rsidR="002D00F7" w:rsidRPr="00795A10" w:rsidRDefault="002D00F7" w:rsidP="00242457">
            <w:pPr>
              <w:jc w:val="center"/>
              <w:rPr>
                <w:rFonts w:eastAsia="Calibri"/>
                <w:noProof/>
                <w:color w:val="767171"/>
                <w:spacing w:val="20"/>
              </w:rPr>
            </w:pPr>
            <w:r w:rsidRPr="00795A10">
              <w:rPr>
                <w:noProof/>
                <w:color w:val="767171"/>
              </w:rPr>
              <mc:AlternateContent>
                <mc:Choice Requires="wps">
                  <w:drawing>
                    <wp:anchor distT="0" distB="0" distL="114300" distR="114300" simplePos="0" relativeHeight="251761664" behindDoc="0" locked="0" layoutInCell="1" allowOverlap="1" wp14:anchorId="106CC7F4" wp14:editId="6BBFFBB0">
                      <wp:simplePos x="0" y="0"/>
                      <wp:positionH relativeFrom="column">
                        <wp:posOffset>5080</wp:posOffset>
                      </wp:positionH>
                      <wp:positionV relativeFrom="page">
                        <wp:posOffset>6350</wp:posOffset>
                      </wp:positionV>
                      <wp:extent cx="224155" cy="169545"/>
                      <wp:effectExtent l="0" t="0" r="4445" b="1905"/>
                      <wp:wrapNone/>
                      <wp:docPr id="1576987140" name="Rectángulo: esquinas redondeadas 3"/>
                      <wp:cNvGraphicFramePr/>
                      <a:graphic xmlns:a="http://schemas.openxmlformats.org/drawingml/2006/main">
                        <a:graphicData uri="http://schemas.microsoft.com/office/word/2010/wordprocessingShape">
                          <wps:wsp>
                            <wps:cNvSpPr/>
                            <wps:spPr>
                              <a:xfrm>
                                <a:off x="0" y="0"/>
                                <a:ext cx="224155" cy="169545"/>
                              </a:xfrm>
                              <a:prstGeom prst="round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50A19" id="Rectángulo: esquinas redondeadas 3" o:spid="_x0000_s1026" style="position:absolute;margin-left:.4pt;margin-top:.5pt;width:17.6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" fillcolor="#ffe599 [1303]" stroked="f" strokeweight="1pt">
                      <v:stroke joinstyle="miter"/>
                      <w10:wrap anchory="page"/>
                    </v:roundrect>
                  </w:pict>
                </mc:Fallback>
              </mc:AlternateContent>
            </w:r>
          </w:p>
        </w:tc>
        <w:tc>
          <w:tcPr>
            <w:tcW w:w="1862" w:type="dxa"/>
            <w:shd w:val="clear" w:color="auto" w:fill="auto"/>
            <w:vAlign w:val="center"/>
          </w:tcPr>
          <w:p w14:paraId="5099B1AC" w14:textId="6BDE2A74" w:rsidR="002D00F7" w:rsidRPr="00795A10" w:rsidRDefault="002D00F7" w:rsidP="00242457">
            <w:pPr>
              <w:jc w:val="center"/>
              <w:rPr>
                <w:rFonts w:eastAsia="Calibri"/>
                <w:noProof/>
                <w:color w:val="767171"/>
                <w:spacing w:val="20"/>
              </w:rPr>
            </w:pPr>
            <w:r w:rsidRPr="00795A10">
              <w:rPr>
                <w:rFonts w:eastAsia="Calibri"/>
                <w:noProof/>
                <w:color w:val="767171"/>
                <w:spacing w:val="20"/>
              </w:rPr>
              <w:t>6</w:t>
            </w:r>
          </w:p>
        </w:tc>
      </w:tr>
      <w:tr w:rsidR="006D0445" w:rsidRPr="006D0445" w14:paraId="11D7F5BD" w14:textId="77777777" w:rsidTr="00795A10">
        <w:trPr>
          <w:trHeight w:val="184"/>
          <w:jc w:val="center"/>
        </w:trPr>
        <w:tc>
          <w:tcPr>
            <w:tcW w:w="3132" w:type="dxa"/>
            <w:tcBorders>
              <w:bottom w:val="single" w:sz="4" w:space="0" w:color="000000" w:themeColor="text1"/>
            </w:tcBorders>
            <w:vAlign w:val="center"/>
          </w:tcPr>
          <w:p w14:paraId="018E0E19" w14:textId="77777777" w:rsidR="002D00F7" w:rsidRPr="00795A10" w:rsidRDefault="002D00F7" w:rsidP="005A434D">
            <w:pPr>
              <w:spacing w:line="276" w:lineRule="auto"/>
              <w:jc w:val="center"/>
              <w:rPr>
                <w:rFonts w:eastAsia="Calibri"/>
                <w:noProof/>
                <w:color w:val="767171"/>
                <w:spacing w:val="20"/>
              </w:rPr>
            </w:pPr>
            <w:r w:rsidRPr="00795A10">
              <w:rPr>
                <w:rFonts w:eastAsia="Calibri"/>
                <w:noProof/>
                <w:color w:val="767171"/>
                <w:spacing w:val="20"/>
              </w:rPr>
              <w:t>Información y Comunicación</w:t>
            </w:r>
          </w:p>
        </w:tc>
        <w:tc>
          <w:tcPr>
            <w:tcW w:w="1683" w:type="dxa"/>
            <w:tcBorders>
              <w:bottom w:val="single" w:sz="4" w:space="0" w:color="000000" w:themeColor="text1"/>
            </w:tcBorders>
            <w:shd w:val="clear" w:color="auto" w:fill="auto"/>
            <w:vAlign w:val="center"/>
          </w:tcPr>
          <w:p w14:paraId="3FE625F2" w14:textId="5746D5D6" w:rsidR="002D00F7" w:rsidRPr="00795A10" w:rsidRDefault="002D00F7" w:rsidP="00242457">
            <w:pPr>
              <w:jc w:val="center"/>
              <w:rPr>
                <w:rFonts w:eastAsia="Calibri"/>
                <w:noProof/>
                <w:color w:val="767171"/>
                <w:spacing w:val="20"/>
              </w:rPr>
            </w:pPr>
            <w:r w:rsidRPr="00795A10">
              <w:rPr>
                <w:rFonts w:eastAsia="Calibri"/>
                <w:noProof/>
                <w:color w:val="767171"/>
                <w:spacing w:val="20"/>
              </w:rPr>
              <w:t>77.27%</w:t>
            </w:r>
          </w:p>
        </w:tc>
        <w:tc>
          <w:tcPr>
            <w:tcW w:w="1417" w:type="dxa"/>
            <w:tcBorders>
              <w:bottom w:val="single" w:sz="4" w:space="0" w:color="000000" w:themeColor="text1"/>
            </w:tcBorders>
            <w:shd w:val="clear" w:color="auto" w:fill="auto"/>
            <w:vAlign w:val="center"/>
          </w:tcPr>
          <w:p w14:paraId="7B4A7A12" w14:textId="759783DF" w:rsidR="002D00F7" w:rsidRPr="00795A10" w:rsidRDefault="002D00F7" w:rsidP="00242457">
            <w:pPr>
              <w:jc w:val="center"/>
              <w:rPr>
                <w:rFonts w:eastAsia="Calibri"/>
                <w:noProof/>
                <w:color w:val="767171"/>
                <w:spacing w:val="20"/>
              </w:rPr>
            </w:pPr>
            <w:r w:rsidRPr="00795A10">
              <w:rPr>
                <w:noProof/>
                <w:color w:val="767171"/>
              </w:rPr>
              <mc:AlternateContent>
                <mc:Choice Requires="wps">
                  <w:drawing>
                    <wp:anchor distT="0" distB="0" distL="114300" distR="114300" simplePos="0" relativeHeight="251759616" behindDoc="0" locked="0" layoutInCell="1" allowOverlap="1" wp14:anchorId="07C74529" wp14:editId="2F9DB6FD">
                      <wp:simplePos x="0" y="0"/>
                      <wp:positionH relativeFrom="column">
                        <wp:align>left</wp:align>
                      </wp:positionH>
                      <wp:positionV relativeFrom="page">
                        <wp:align>center</wp:align>
                      </wp:positionV>
                      <wp:extent cx="488950" cy="169545"/>
                      <wp:effectExtent l="0" t="0" r="6350" b="1905"/>
                      <wp:wrapNone/>
                      <wp:docPr id="693452941" name="Rectángulo: esquinas redondeadas 3"/>
                      <wp:cNvGraphicFramePr/>
                      <a:graphic xmlns:a="http://schemas.openxmlformats.org/drawingml/2006/main">
                        <a:graphicData uri="http://schemas.microsoft.com/office/word/2010/wordprocessingShape">
                          <wps:wsp>
                            <wps:cNvSpPr/>
                            <wps:spPr>
                              <a:xfrm>
                                <a:off x="0" y="0"/>
                                <a:ext cx="488950" cy="169545"/>
                              </a:xfrm>
                              <a:prstGeom prst="roundRect">
                                <a:avLst/>
                              </a:prstGeom>
                              <a:solidFill>
                                <a:srgbClr val="73DE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23FBA" id="Rectángulo: esquinas redondeadas 3" o:spid="_x0000_s1026" style="position:absolute;margin-left:0;margin-top:0;width:38.5pt;height:13.35pt;z-index:251759616;visibility:visible;mso-wrap-style:square;mso-width-percent:0;mso-height-percent:0;mso-wrap-distance-left:9pt;mso-wrap-distance-top:0;mso-wrap-distance-right:9pt;mso-wrap-distance-bottom:0;mso-position-horizontal:left;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" fillcolor="#73dedd" stroked="f" strokeweight="1pt">
                      <v:stroke joinstyle="miter"/>
                      <w10:wrap anchory="page"/>
                    </v:roundrect>
                  </w:pict>
                </mc:Fallback>
              </mc:AlternateContent>
            </w:r>
          </w:p>
        </w:tc>
        <w:tc>
          <w:tcPr>
            <w:tcW w:w="1862" w:type="dxa"/>
            <w:tcBorders>
              <w:bottom w:val="single" w:sz="4" w:space="0" w:color="000000" w:themeColor="text1"/>
            </w:tcBorders>
            <w:shd w:val="clear" w:color="auto" w:fill="auto"/>
            <w:vAlign w:val="center"/>
          </w:tcPr>
          <w:p w14:paraId="7339F77A" w14:textId="78C663E4" w:rsidR="002D00F7" w:rsidRPr="00795A10" w:rsidRDefault="002D00F7" w:rsidP="00242457">
            <w:pPr>
              <w:jc w:val="center"/>
              <w:rPr>
                <w:rFonts w:eastAsia="Calibri"/>
                <w:noProof/>
                <w:color w:val="767171"/>
                <w:spacing w:val="20"/>
              </w:rPr>
            </w:pPr>
            <w:r w:rsidRPr="00795A10">
              <w:rPr>
                <w:rFonts w:eastAsia="Calibri"/>
                <w:noProof/>
                <w:color w:val="767171"/>
                <w:spacing w:val="20"/>
              </w:rPr>
              <w:t>2</w:t>
            </w:r>
          </w:p>
        </w:tc>
      </w:tr>
      <w:tr w:rsidR="006D0445" w:rsidRPr="006D0445" w14:paraId="3A8F47DA" w14:textId="77777777" w:rsidTr="00795A10">
        <w:trPr>
          <w:trHeight w:val="289"/>
          <w:jc w:val="center"/>
        </w:trPr>
        <w:tc>
          <w:tcPr>
            <w:tcW w:w="3132" w:type="dxa"/>
            <w:tcBorders>
              <w:top w:val="single" w:sz="4" w:space="0" w:color="000000" w:themeColor="text1"/>
              <w:left w:val="single" w:sz="4" w:space="0" w:color="000000" w:themeColor="text1"/>
              <w:bottom w:val="single" w:sz="4" w:space="0" w:color="000000" w:themeColor="text1"/>
            </w:tcBorders>
            <w:vAlign w:val="center"/>
          </w:tcPr>
          <w:p w14:paraId="24FB1539" w14:textId="77777777" w:rsidR="002D00F7" w:rsidRPr="00795A10" w:rsidRDefault="002D00F7" w:rsidP="005A434D">
            <w:pPr>
              <w:spacing w:line="276" w:lineRule="auto"/>
              <w:jc w:val="center"/>
              <w:rPr>
                <w:rFonts w:eastAsia="Calibri"/>
                <w:noProof/>
                <w:color w:val="767171"/>
                <w:spacing w:val="20"/>
              </w:rPr>
            </w:pPr>
            <w:r w:rsidRPr="00795A10">
              <w:rPr>
                <w:rFonts w:eastAsia="Calibri"/>
                <w:noProof/>
                <w:color w:val="767171"/>
                <w:spacing w:val="20"/>
              </w:rPr>
              <w:t>Monitoreo y Evaluación</w:t>
            </w:r>
          </w:p>
        </w:tc>
        <w:tc>
          <w:tcPr>
            <w:tcW w:w="1683"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1E8B9D68" w14:textId="7C1A9F95" w:rsidR="002D00F7" w:rsidRPr="00795A10" w:rsidRDefault="002D00F7" w:rsidP="00242457">
            <w:pPr>
              <w:jc w:val="center"/>
              <w:rPr>
                <w:rFonts w:eastAsia="Calibri"/>
                <w:noProof/>
                <w:color w:val="767171"/>
                <w:spacing w:val="20"/>
              </w:rPr>
            </w:pPr>
            <w:r w:rsidRPr="00795A10">
              <w:rPr>
                <w:rFonts w:eastAsia="Calibri"/>
                <w:noProof/>
                <w:color w:val="767171"/>
                <w:spacing w:val="20"/>
              </w:rPr>
              <w:t>100.00%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260A4" w14:textId="4381F367" w:rsidR="002D00F7" w:rsidRPr="00795A10" w:rsidRDefault="002D00F7" w:rsidP="00242457">
            <w:pPr>
              <w:jc w:val="center"/>
              <w:rPr>
                <w:rFonts w:eastAsia="Calibri"/>
                <w:noProof/>
                <w:color w:val="767171"/>
                <w:spacing w:val="20"/>
              </w:rPr>
            </w:pPr>
            <w:r w:rsidRPr="00795A10">
              <w:rPr>
                <w:noProof/>
                <w:color w:val="767171"/>
              </w:rPr>
              <mc:AlternateContent>
                <mc:Choice Requires="wps">
                  <w:drawing>
                    <wp:anchor distT="0" distB="0" distL="114300" distR="114300" simplePos="0" relativeHeight="251762688" behindDoc="0" locked="0" layoutInCell="1" allowOverlap="1" wp14:anchorId="0ECB582D" wp14:editId="1CF2EBA5">
                      <wp:simplePos x="0" y="0"/>
                      <wp:positionH relativeFrom="column">
                        <wp:align>left</wp:align>
                      </wp:positionH>
                      <wp:positionV relativeFrom="page">
                        <wp:align>center</wp:align>
                      </wp:positionV>
                      <wp:extent cx="655320" cy="178435"/>
                      <wp:effectExtent l="0" t="0" r="0" b="0"/>
                      <wp:wrapNone/>
                      <wp:docPr id="197032372" name="Rectángulo: esquinas redondeadas 3"/>
                      <wp:cNvGraphicFramePr/>
                      <a:graphic xmlns:a="http://schemas.openxmlformats.org/drawingml/2006/main">
                        <a:graphicData uri="http://schemas.microsoft.com/office/word/2010/wordprocessingShape">
                          <wps:wsp>
                            <wps:cNvSpPr/>
                            <wps:spPr>
                              <a:xfrm>
                                <a:off x="0" y="0"/>
                                <a:ext cx="655320" cy="178435"/>
                              </a:xfrm>
                              <a:prstGeom prst="roundRect">
                                <a:avLst/>
                              </a:prstGeom>
                              <a:solidFill>
                                <a:srgbClr val="011C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A7A8A" id="Rectángulo: esquinas redondeadas 3" o:spid="_x0000_s1026" style="position:absolute;margin-left:0;margin-top:0;width:51.6pt;height:14.05pt;z-index:251762688;visibility:visible;mso-wrap-style:square;mso-width-percent:0;mso-height-percent:0;mso-wrap-distance-left:9pt;mso-wrap-distance-top:0;mso-wrap-distance-right:9pt;mso-wrap-distance-bottom:0;mso-position-horizontal:left;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" fillcolor="#011c50" stroked="f" strokeweight="1pt">
                      <v:stroke joinstyle="miter"/>
                      <w10:wrap anchory="page"/>
                    </v:roundrect>
                  </w:pict>
                </mc:Fallback>
              </mc:AlternateConten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266D1" w14:textId="6169DD72" w:rsidR="002D00F7" w:rsidRPr="00795A10" w:rsidRDefault="002D00F7" w:rsidP="00242457">
            <w:pPr>
              <w:jc w:val="center"/>
              <w:rPr>
                <w:rFonts w:eastAsia="Calibri"/>
                <w:noProof/>
                <w:color w:val="767171"/>
                <w:spacing w:val="20"/>
              </w:rPr>
            </w:pPr>
            <w:r w:rsidRPr="00795A10">
              <w:rPr>
                <w:rFonts w:eastAsia="Calibri"/>
                <w:noProof/>
                <w:color w:val="767171"/>
                <w:spacing w:val="20"/>
              </w:rPr>
              <w:t>0</w:t>
            </w:r>
          </w:p>
        </w:tc>
      </w:tr>
      <w:tr w:rsidR="006D0445" w:rsidRPr="006D0445" w14:paraId="4006641A" w14:textId="77777777" w:rsidTr="00795A10">
        <w:trPr>
          <w:trHeight w:val="574"/>
          <w:jc w:val="center"/>
        </w:trPr>
        <w:tc>
          <w:tcPr>
            <w:tcW w:w="3132" w:type="dxa"/>
            <w:tcBorders>
              <w:top w:val="single" w:sz="4" w:space="0" w:color="000000" w:themeColor="text1"/>
              <w:left w:val="single" w:sz="4" w:space="0" w:color="000000" w:themeColor="text1"/>
              <w:bottom w:val="single" w:sz="4" w:space="0" w:color="000000" w:themeColor="text1"/>
            </w:tcBorders>
            <w:shd w:val="clear" w:color="auto" w:fill="D9D9D9"/>
            <w:vAlign w:val="center"/>
          </w:tcPr>
          <w:p w14:paraId="25C44D90" w14:textId="3AD35D22" w:rsidR="002D00F7" w:rsidRPr="00795A10" w:rsidRDefault="002D00F7" w:rsidP="009D7B7C">
            <w:pPr>
              <w:spacing w:line="240" w:lineRule="auto"/>
              <w:jc w:val="center"/>
              <w:rPr>
                <w:rFonts w:eastAsia="Calibri"/>
                <w:b/>
                <w:bCs/>
                <w:noProof/>
                <w:color w:val="767171"/>
              </w:rPr>
            </w:pPr>
            <w:r w:rsidRPr="00795A10">
              <w:rPr>
                <w:rFonts w:eastAsia="Calibri"/>
                <w:b/>
                <w:bCs/>
                <w:noProof/>
                <w:color w:val="767171"/>
              </w:rPr>
              <w:t>% Totales</w:t>
            </w:r>
          </w:p>
        </w:tc>
        <w:tc>
          <w:tcPr>
            <w:tcW w:w="1683" w:type="dxa"/>
            <w:tcBorders>
              <w:top w:val="single" w:sz="4" w:space="0" w:color="000000" w:themeColor="text1"/>
              <w:bottom w:val="single" w:sz="4" w:space="0" w:color="000000" w:themeColor="text1"/>
              <w:right w:val="single" w:sz="4" w:space="0" w:color="000000" w:themeColor="text1"/>
            </w:tcBorders>
            <w:shd w:val="clear" w:color="auto" w:fill="D9D9D9"/>
            <w:vAlign w:val="center"/>
          </w:tcPr>
          <w:p w14:paraId="681E7D15" w14:textId="4B49A360" w:rsidR="002D00F7" w:rsidRPr="00795A10" w:rsidRDefault="002D00F7" w:rsidP="009D7B7C">
            <w:pPr>
              <w:spacing w:line="240" w:lineRule="auto"/>
              <w:jc w:val="center"/>
              <w:rPr>
                <w:rFonts w:eastAsia="Calibri"/>
                <w:b/>
                <w:bCs/>
                <w:noProof/>
                <w:color w:val="767171"/>
                <w:spacing w:val="20"/>
              </w:rPr>
            </w:pPr>
            <w:r w:rsidRPr="00795A10">
              <w:rPr>
                <w:rFonts w:eastAsia="Calibri"/>
                <w:b/>
                <w:bCs/>
                <w:noProof/>
                <w:color w:val="767171"/>
              </w:rPr>
              <w:t>78.13%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74B181DE" w14:textId="69FCC4EA" w:rsidR="002D00F7" w:rsidRPr="00795A10" w:rsidRDefault="002D00F7" w:rsidP="000C775A">
            <w:pPr>
              <w:jc w:val="center"/>
              <w:rPr>
                <w:rFonts w:eastAsia="Calibri"/>
                <w:b/>
                <w:bCs/>
                <w:noProof/>
                <w:color w:val="767171"/>
                <w:spacing w:val="20"/>
              </w:rPr>
            </w:pPr>
            <w:r w:rsidRPr="00795A10">
              <w:rPr>
                <w:noProof/>
                <w:color w:val="767171"/>
              </w:rPr>
              <mc:AlternateContent>
                <mc:Choice Requires="wps">
                  <w:drawing>
                    <wp:anchor distT="0" distB="0" distL="114300" distR="114300" simplePos="0" relativeHeight="251760640" behindDoc="0" locked="0" layoutInCell="1" allowOverlap="1" wp14:anchorId="02B3C736" wp14:editId="79EA45BC">
                      <wp:simplePos x="0" y="0"/>
                      <wp:positionH relativeFrom="column">
                        <wp:align>left</wp:align>
                      </wp:positionH>
                      <wp:positionV relativeFrom="page">
                        <wp:align>center</wp:align>
                      </wp:positionV>
                      <wp:extent cx="488950" cy="169545"/>
                      <wp:effectExtent l="0" t="0" r="6350" b="1905"/>
                      <wp:wrapNone/>
                      <wp:docPr id="625915613" name="Rectángulo: esquinas redondeadas 3"/>
                      <wp:cNvGraphicFramePr/>
                      <a:graphic xmlns:a="http://schemas.openxmlformats.org/drawingml/2006/main">
                        <a:graphicData uri="http://schemas.microsoft.com/office/word/2010/wordprocessingShape">
                          <wps:wsp>
                            <wps:cNvSpPr/>
                            <wps:spPr>
                              <a:xfrm>
                                <a:off x="0" y="0"/>
                                <a:ext cx="488950" cy="169545"/>
                              </a:xfrm>
                              <a:prstGeom prst="roundRect">
                                <a:avLst/>
                              </a:prstGeom>
                              <a:solidFill>
                                <a:srgbClr val="73DE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2CB02" id="Rectángulo: esquinas redondeadas 3" o:spid="_x0000_s1026" style="position:absolute;margin-left:0;margin-top:0;width:38.5pt;height:13.35pt;z-index:251760640;visibility:visible;mso-wrap-style:square;mso-width-percent:0;mso-height-percent:0;mso-wrap-distance-left:9pt;mso-wrap-distance-top:0;mso-wrap-distance-right:9pt;mso-wrap-distance-bottom:0;mso-position-horizontal:left;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" fillcolor="#73dedd" stroked="f" strokeweight="1pt">
                      <v:stroke joinstyle="miter"/>
                      <w10:wrap anchory="page"/>
                    </v:roundrect>
                  </w:pict>
                </mc:Fallback>
              </mc:AlternateConten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58D0096C" w14:textId="1A7BB802" w:rsidR="002D00F7" w:rsidRPr="00795A10" w:rsidRDefault="002D00F7" w:rsidP="009D7B7C">
            <w:pPr>
              <w:spacing w:line="240" w:lineRule="auto"/>
              <w:jc w:val="center"/>
              <w:rPr>
                <w:rFonts w:eastAsia="Calibri"/>
                <w:b/>
                <w:bCs/>
                <w:noProof/>
                <w:color w:val="767171"/>
              </w:rPr>
            </w:pPr>
            <w:r w:rsidRPr="00795A10">
              <w:rPr>
                <w:rFonts w:eastAsia="Calibri"/>
                <w:b/>
                <w:bCs/>
                <w:noProof/>
                <w:color w:val="767171"/>
              </w:rPr>
              <w:t>6</w:t>
            </w:r>
          </w:p>
        </w:tc>
      </w:tr>
    </w:tbl>
    <w:p w14:paraId="3475C475" w14:textId="77777777" w:rsidR="00456F69" w:rsidRPr="00064710" w:rsidRDefault="00456F69" w:rsidP="00064710">
      <w:pPr>
        <w:rPr>
          <w:b/>
          <w:bCs/>
          <w:color w:val="767171"/>
        </w:rPr>
      </w:pPr>
    </w:p>
    <w:p w14:paraId="5570246D" w14:textId="45964A8C" w:rsidR="00456F69" w:rsidRPr="006D0445" w:rsidRDefault="00456F69" w:rsidP="00456F69">
      <w:pPr>
        <w:pStyle w:val="Prrafodelista"/>
        <w:ind w:left="0"/>
        <w:rPr>
          <w:b/>
          <w:bCs/>
          <w:color w:val="767171"/>
        </w:rPr>
      </w:pPr>
      <w:r w:rsidRPr="006D0445">
        <w:rPr>
          <w:b/>
          <w:bCs/>
          <w:color w:val="767171"/>
        </w:rPr>
        <w:t>Resultados de ICI</w:t>
      </w:r>
    </w:p>
    <w:p w14:paraId="373447FF" w14:textId="1CCCACE7" w:rsidR="00064710" w:rsidRDefault="00451F60" w:rsidP="00456F69">
      <w:pPr>
        <w:pStyle w:val="Prrafodelista"/>
        <w:ind w:left="0"/>
        <w:rPr>
          <w:color w:val="767171"/>
        </w:rPr>
      </w:pPr>
      <w:r w:rsidRPr="006D0445">
        <w:rPr>
          <w:color w:val="767171"/>
        </w:rPr>
        <w:t xml:space="preserve">Alineados al objetivo de monitorear y promover el cumplimiento de los aspectos normativos más importantes relacionados a los controles internos de la gestión pública establecidos en la Resolución No. IN-CGR-RES-2023-0009 emitida por la Contraloría, la SIE al tercer trimestre del 2024 (ultima evaluación completa en plataforma ICI), presenta un total de 78.12% conforme a la medición de los indicadores del sistema de control interno. </w:t>
      </w:r>
    </w:p>
    <w:p w14:paraId="49063DE5" w14:textId="290A77B0" w:rsidR="00BF08CA" w:rsidRPr="006D0445" w:rsidRDefault="00451F60" w:rsidP="00456F69">
      <w:pPr>
        <w:pStyle w:val="Prrafodelista"/>
        <w:ind w:left="0"/>
        <w:rPr>
          <w:color w:val="767171"/>
        </w:rPr>
      </w:pPr>
      <w:r w:rsidRPr="006D0445">
        <w:rPr>
          <w:color w:val="767171"/>
        </w:rPr>
        <w:t xml:space="preserve">A continuación, se presentan los indicadores evaluados para este período: </w:t>
      </w:r>
    </w:p>
    <w:p w14:paraId="4E602C4D" w14:textId="3723B593"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11</w:t>
      </w:r>
      <w:r w:rsidRPr="006D0445">
        <w:rPr>
          <w:color w:val="767171"/>
        </w:rPr>
        <w:fldChar w:fldCharType="end"/>
      </w:r>
      <w:r w:rsidRPr="006D0445">
        <w:rPr>
          <w:color w:val="767171"/>
        </w:rPr>
        <w:t xml:space="preserve"> Reporte de Índice de Control Interno</w:t>
      </w:r>
    </w:p>
    <w:tbl>
      <w:tblPr>
        <w:tblW w:w="7938" w:type="dxa"/>
        <w:tblLayout w:type="fixed"/>
        <w:tblCellMar>
          <w:left w:w="70" w:type="dxa"/>
          <w:right w:w="70" w:type="dxa"/>
        </w:tblCellMar>
        <w:tblLook w:val="04A0" w:firstRow="1" w:lastRow="0" w:firstColumn="1" w:lastColumn="0" w:noHBand="0" w:noVBand="1"/>
      </w:tblPr>
      <w:tblGrid>
        <w:gridCol w:w="5524"/>
        <w:gridCol w:w="997"/>
        <w:gridCol w:w="1417"/>
      </w:tblGrid>
      <w:tr w:rsidR="006D0445" w:rsidRPr="006D0445" w14:paraId="6185E71E" w14:textId="77777777" w:rsidTr="00955F96">
        <w:trPr>
          <w:trHeight w:val="375"/>
          <w:tblHeader/>
        </w:trPr>
        <w:tc>
          <w:tcPr>
            <w:tcW w:w="7938" w:type="dxa"/>
            <w:gridSpan w:val="3"/>
            <w:tcBorders>
              <w:top w:val="nil"/>
              <w:left w:val="nil"/>
              <w:bottom w:val="nil"/>
              <w:right w:val="nil"/>
            </w:tcBorders>
            <w:shd w:val="clear" w:color="000000" w:fill="002060"/>
            <w:vAlign w:val="center"/>
            <w:hideMark/>
          </w:tcPr>
          <w:p w14:paraId="3BD7D151" w14:textId="4B9FB2D7" w:rsidR="00D11FFE" w:rsidRPr="00795A10" w:rsidRDefault="000024A4" w:rsidP="00D11FFE">
            <w:pPr>
              <w:spacing w:after="0" w:line="240" w:lineRule="auto"/>
              <w:jc w:val="center"/>
              <w:rPr>
                <w:rFonts w:eastAsia="Times New Roman"/>
                <w:color w:val="FFFFFF" w:themeColor="background1"/>
              </w:rPr>
            </w:pPr>
            <w:r w:rsidRPr="00795A10">
              <w:rPr>
                <w:b/>
                <w:bCs/>
                <w:color w:val="FFFFFF" w:themeColor="background1"/>
              </w:rPr>
              <w:t xml:space="preserve"> </w:t>
            </w:r>
            <w:r w:rsidR="00D11FFE" w:rsidRPr="00795A10">
              <w:rPr>
                <w:rFonts w:eastAsia="Times New Roman"/>
                <w:color w:val="FFFFFF" w:themeColor="background1"/>
              </w:rPr>
              <w:t>Reporte de Índice de Control Interno</w:t>
            </w:r>
          </w:p>
        </w:tc>
      </w:tr>
      <w:tr w:rsidR="006D0445" w:rsidRPr="006D0445" w14:paraId="1856C66A" w14:textId="77777777" w:rsidTr="00955F96">
        <w:trPr>
          <w:trHeight w:val="315"/>
          <w:tblHeader/>
        </w:trPr>
        <w:tc>
          <w:tcPr>
            <w:tcW w:w="6521" w:type="dxa"/>
            <w:gridSpan w:val="2"/>
            <w:tcBorders>
              <w:top w:val="nil"/>
              <w:left w:val="nil"/>
              <w:bottom w:val="nil"/>
              <w:right w:val="nil"/>
            </w:tcBorders>
            <w:shd w:val="clear" w:color="auto" w:fill="auto"/>
            <w:vAlign w:val="center"/>
            <w:hideMark/>
          </w:tcPr>
          <w:p w14:paraId="690049CE"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Período: jul-Sep-2024</w:t>
            </w:r>
          </w:p>
        </w:tc>
        <w:tc>
          <w:tcPr>
            <w:tcW w:w="1417" w:type="dxa"/>
            <w:tcBorders>
              <w:top w:val="nil"/>
              <w:left w:val="nil"/>
              <w:bottom w:val="nil"/>
              <w:right w:val="nil"/>
            </w:tcBorders>
            <w:shd w:val="clear" w:color="auto" w:fill="auto"/>
            <w:noWrap/>
            <w:vAlign w:val="bottom"/>
            <w:hideMark/>
          </w:tcPr>
          <w:p w14:paraId="4B1C50DB" w14:textId="77777777" w:rsidR="00D11FFE" w:rsidRPr="00795A10" w:rsidRDefault="00D11FFE" w:rsidP="00D11FFE">
            <w:pPr>
              <w:spacing w:after="0" w:line="240" w:lineRule="auto"/>
              <w:jc w:val="left"/>
              <w:rPr>
                <w:rFonts w:eastAsia="Times New Roman"/>
                <w:color w:val="767171"/>
              </w:rPr>
            </w:pPr>
          </w:p>
        </w:tc>
      </w:tr>
      <w:tr w:rsidR="006D0445" w:rsidRPr="006D0445" w14:paraId="342AA266" w14:textId="77777777" w:rsidTr="00BD03A8">
        <w:trPr>
          <w:trHeight w:val="501"/>
        </w:trPr>
        <w:tc>
          <w:tcPr>
            <w:tcW w:w="6521" w:type="dxa"/>
            <w:gridSpan w:val="2"/>
            <w:tcBorders>
              <w:top w:val="nil"/>
              <w:left w:val="nil"/>
              <w:bottom w:val="nil"/>
              <w:right w:val="nil"/>
            </w:tcBorders>
            <w:shd w:val="clear" w:color="000000" w:fill="002060"/>
            <w:vAlign w:val="center"/>
            <w:hideMark/>
          </w:tcPr>
          <w:p w14:paraId="540696B7"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t>Indicador 1-Diseño y Documentación del Sistema de Control Interno</w:t>
            </w:r>
          </w:p>
        </w:tc>
        <w:tc>
          <w:tcPr>
            <w:tcW w:w="1417" w:type="dxa"/>
            <w:tcBorders>
              <w:top w:val="nil"/>
              <w:left w:val="nil"/>
              <w:bottom w:val="nil"/>
              <w:right w:val="nil"/>
            </w:tcBorders>
            <w:shd w:val="clear" w:color="000000" w:fill="002060"/>
            <w:vAlign w:val="center"/>
            <w:hideMark/>
          </w:tcPr>
          <w:p w14:paraId="1BD0CBE4"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t>Calificación: 21.38 /30</w:t>
            </w:r>
          </w:p>
        </w:tc>
      </w:tr>
      <w:tr w:rsidR="006D0445" w:rsidRPr="006D0445" w14:paraId="55768BE9" w14:textId="77777777" w:rsidTr="00BD03A8">
        <w:trPr>
          <w:trHeight w:val="300"/>
        </w:trPr>
        <w:tc>
          <w:tcPr>
            <w:tcW w:w="65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A50236" w14:textId="77777777" w:rsidR="00D11FFE" w:rsidRPr="00795A10" w:rsidRDefault="00D11FFE" w:rsidP="00D11FFE">
            <w:pPr>
              <w:spacing w:after="0" w:line="240" w:lineRule="auto"/>
              <w:jc w:val="left"/>
              <w:rPr>
                <w:rFonts w:eastAsia="Times New Roman"/>
                <w:color w:val="767171"/>
                <w:sz w:val="23"/>
                <w:szCs w:val="23"/>
              </w:rPr>
            </w:pPr>
            <w:r w:rsidRPr="00795A10">
              <w:rPr>
                <w:rFonts w:eastAsia="Times New Roman"/>
                <w:color w:val="767171"/>
                <w:sz w:val="23"/>
                <w:szCs w:val="23"/>
              </w:rPr>
              <w:t>Subindicador 1.1. NORMAS BÁSICAS DE CONTROL INTERNO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F52C5AE"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9.38/12</w:t>
            </w:r>
          </w:p>
        </w:tc>
      </w:tr>
      <w:tr w:rsidR="006D0445" w:rsidRPr="006D0445" w14:paraId="76D4CF5D" w14:textId="77777777" w:rsidTr="00BD03A8">
        <w:trPr>
          <w:trHeight w:val="300"/>
        </w:trPr>
        <w:tc>
          <w:tcPr>
            <w:tcW w:w="6521" w:type="dxa"/>
            <w:gridSpan w:val="2"/>
            <w:tcBorders>
              <w:top w:val="nil"/>
              <w:left w:val="single" w:sz="4" w:space="0" w:color="auto"/>
              <w:bottom w:val="single" w:sz="4" w:space="0" w:color="auto"/>
              <w:right w:val="single" w:sz="4" w:space="0" w:color="auto"/>
            </w:tcBorders>
            <w:shd w:val="clear" w:color="000000" w:fill="FFFFFF"/>
            <w:vAlign w:val="center"/>
            <w:hideMark/>
          </w:tcPr>
          <w:p w14:paraId="3FE25278" w14:textId="77777777" w:rsidR="00D11FFE" w:rsidRPr="00795A10" w:rsidRDefault="00D11FFE" w:rsidP="00D11FFE">
            <w:pPr>
              <w:spacing w:after="0" w:line="240" w:lineRule="auto"/>
              <w:jc w:val="left"/>
              <w:rPr>
                <w:rFonts w:eastAsia="Times New Roman"/>
                <w:color w:val="767171"/>
                <w:sz w:val="23"/>
                <w:szCs w:val="23"/>
              </w:rPr>
            </w:pPr>
            <w:r w:rsidRPr="00795A10">
              <w:rPr>
                <w:rFonts w:eastAsia="Times New Roman"/>
                <w:color w:val="767171"/>
                <w:sz w:val="23"/>
                <w:szCs w:val="23"/>
              </w:rPr>
              <w:t xml:space="preserve">Subindicador 1.2. ALINEACIÓN </w:t>
            </w:r>
            <w:proofErr w:type="spellStart"/>
            <w:r w:rsidRPr="00795A10">
              <w:rPr>
                <w:rFonts w:eastAsia="Times New Roman"/>
                <w:color w:val="767171"/>
                <w:sz w:val="23"/>
                <w:szCs w:val="23"/>
              </w:rPr>
              <w:t>PACC</w:t>
            </w:r>
            <w:proofErr w:type="spellEnd"/>
            <w:r w:rsidRPr="00795A10">
              <w:rPr>
                <w:rFonts w:eastAsia="Times New Roman"/>
                <w:color w:val="767171"/>
                <w:sz w:val="23"/>
                <w:szCs w:val="23"/>
              </w:rPr>
              <w:t>-POA-PRESUPUESTO DISPONIBLE</w:t>
            </w:r>
          </w:p>
        </w:tc>
        <w:tc>
          <w:tcPr>
            <w:tcW w:w="1417" w:type="dxa"/>
            <w:tcBorders>
              <w:top w:val="nil"/>
              <w:left w:val="nil"/>
              <w:bottom w:val="single" w:sz="4" w:space="0" w:color="auto"/>
              <w:right w:val="single" w:sz="4" w:space="0" w:color="auto"/>
            </w:tcBorders>
            <w:shd w:val="clear" w:color="000000" w:fill="FFFFFF"/>
            <w:vAlign w:val="center"/>
            <w:hideMark/>
          </w:tcPr>
          <w:p w14:paraId="6882A3DA"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6.00/6</w:t>
            </w:r>
          </w:p>
        </w:tc>
      </w:tr>
      <w:tr w:rsidR="006D0445" w:rsidRPr="006D0445" w14:paraId="158FC418" w14:textId="77777777" w:rsidTr="00BD03A8">
        <w:trPr>
          <w:trHeight w:val="300"/>
        </w:trPr>
        <w:tc>
          <w:tcPr>
            <w:tcW w:w="6521" w:type="dxa"/>
            <w:gridSpan w:val="2"/>
            <w:tcBorders>
              <w:top w:val="nil"/>
              <w:left w:val="single" w:sz="4" w:space="0" w:color="auto"/>
              <w:bottom w:val="single" w:sz="4" w:space="0" w:color="auto"/>
              <w:right w:val="single" w:sz="4" w:space="0" w:color="auto"/>
            </w:tcBorders>
            <w:shd w:val="clear" w:color="000000" w:fill="FFFFFF"/>
            <w:vAlign w:val="center"/>
            <w:hideMark/>
          </w:tcPr>
          <w:p w14:paraId="5D241593" w14:textId="77777777" w:rsidR="00D11FFE" w:rsidRPr="00795A10" w:rsidRDefault="00D11FFE" w:rsidP="00D11FFE">
            <w:pPr>
              <w:spacing w:after="0" w:line="240" w:lineRule="auto"/>
              <w:jc w:val="left"/>
              <w:rPr>
                <w:rFonts w:eastAsia="Times New Roman"/>
                <w:color w:val="767171"/>
                <w:sz w:val="23"/>
                <w:szCs w:val="23"/>
              </w:rPr>
            </w:pPr>
            <w:r w:rsidRPr="00795A10">
              <w:rPr>
                <w:rFonts w:eastAsia="Times New Roman"/>
                <w:color w:val="767171"/>
                <w:sz w:val="23"/>
                <w:szCs w:val="23"/>
              </w:rPr>
              <w:t>Subindicador 1.3. CRONOGRAMA DE ENTREGA DE BIENES</w:t>
            </w:r>
          </w:p>
        </w:tc>
        <w:tc>
          <w:tcPr>
            <w:tcW w:w="1417" w:type="dxa"/>
            <w:tcBorders>
              <w:top w:val="nil"/>
              <w:left w:val="nil"/>
              <w:bottom w:val="single" w:sz="4" w:space="0" w:color="auto"/>
              <w:right w:val="single" w:sz="4" w:space="0" w:color="auto"/>
            </w:tcBorders>
            <w:shd w:val="clear" w:color="000000" w:fill="FFFFFF"/>
            <w:vAlign w:val="center"/>
            <w:hideMark/>
          </w:tcPr>
          <w:p w14:paraId="4C5C8CBB"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Pendiente</w:t>
            </w:r>
          </w:p>
        </w:tc>
      </w:tr>
      <w:tr w:rsidR="006D0445" w:rsidRPr="006D0445" w14:paraId="06F75CFA" w14:textId="77777777" w:rsidTr="00BD03A8">
        <w:trPr>
          <w:trHeight w:val="300"/>
        </w:trPr>
        <w:tc>
          <w:tcPr>
            <w:tcW w:w="6521" w:type="dxa"/>
            <w:gridSpan w:val="2"/>
            <w:tcBorders>
              <w:top w:val="nil"/>
              <w:left w:val="single" w:sz="4" w:space="0" w:color="auto"/>
              <w:bottom w:val="single" w:sz="4" w:space="0" w:color="auto"/>
              <w:right w:val="single" w:sz="4" w:space="0" w:color="auto"/>
            </w:tcBorders>
            <w:shd w:val="clear" w:color="000000" w:fill="FFFFFF"/>
            <w:vAlign w:val="center"/>
            <w:hideMark/>
          </w:tcPr>
          <w:p w14:paraId="47627E3F" w14:textId="77777777" w:rsidR="00D11FFE" w:rsidRPr="00795A10" w:rsidRDefault="00D11FFE" w:rsidP="00D11FFE">
            <w:pPr>
              <w:spacing w:after="0" w:line="240" w:lineRule="auto"/>
              <w:jc w:val="left"/>
              <w:rPr>
                <w:rFonts w:eastAsia="Times New Roman"/>
                <w:color w:val="767171"/>
                <w:sz w:val="23"/>
                <w:szCs w:val="23"/>
              </w:rPr>
            </w:pPr>
            <w:r w:rsidRPr="00795A10">
              <w:rPr>
                <w:rFonts w:eastAsia="Times New Roman"/>
                <w:color w:val="767171"/>
                <w:sz w:val="23"/>
                <w:szCs w:val="23"/>
              </w:rPr>
              <w:t>Subindicador 1.4. PRESENTACIÓN DE CONCILIACIONES BANCARIAS</w:t>
            </w:r>
          </w:p>
        </w:tc>
        <w:tc>
          <w:tcPr>
            <w:tcW w:w="1417" w:type="dxa"/>
            <w:tcBorders>
              <w:top w:val="nil"/>
              <w:left w:val="nil"/>
              <w:bottom w:val="single" w:sz="4" w:space="0" w:color="auto"/>
              <w:right w:val="single" w:sz="4" w:space="0" w:color="auto"/>
            </w:tcBorders>
            <w:shd w:val="clear" w:color="000000" w:fill="FFFFFF"/>
            <w:vAlign w:val="center"/>
            <w:hideMark/>
          </w:tcPr>
          <w:p w14:paraId="28921333"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6.00/6</w:t>
            </w:r>
          </w:p>
        </w:tc>
      </w:tr>
      <w:tr w:rsidR="006D0445" w:rsidRPr="006D0445" w14:paraId="434A8FBA" w14:textId="77777777" w:rsidTr="00BD03A8">
        <w:trPr>
          <w:trHeight w:val="347"/>
        </w:trPr>
        <w:tc>
          <w:tcPr>
            <w:tcW w:w="5524" w:type="dxa"/>
            <w:tcBorders>
              <w:top w:val="nil"/>
              <w:left w:val="single" w:sz="4" w:space="0" w:color="auto"/>
              <w:bottom w:val="single" w:sz="4" w:space="0" w:color="auto"/>
              <w:right w:val="single" w:sz="4" w:space="0" w:color="auto"/>
            </w:tcBorders>
            <w:shd w:val="clear" w:color="auto" w:fill="002060"/>
            <w:vAlign w:val="center"/>
            <w:hideMark/>
          </w:tcPr>
          <w:p w14:paraId="5AB6A74E"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lastRenderedPageBreak/>
              <w:t>Indicador 2-Eficacia del Sistema de Control Interno</w:t>
            </w:r>
          </w:p>
        </w:tc>
        <w:tc>
          <w:tcPr>
            <w:tcW w:w="2414" w:type="dxa"/>
            <w:gridSpan w:val="2"/>
            <w:tcBorders>
              <w:top w:val="nil"/>
              <w:left w:val="nil"/>
              <w:bottom w:val="single" w:sz="4" w:space="0" w:color="auto"/>
              <w:right w:val="single" w:sz="4" w:space="0" w:color="auto"/>
            </w:tcBorders>
            <w:shd w:val="clear" w:color="auto" w:fill="002060"/>
            <w:vAlign w:val="center"/>
            <w:hideMark/>
          </w:tcPr>
          <w:p w14:paraId="2C3D35ED"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t>Calificación: 41.12 /50</w:t>
            </w:r>
          </w:p>
        </w:tc>
      </w:tr>
      <w:tr w:rsidR="006D0445" w:rsidRPr="006D0445" w14:paraId="151A3D21"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E78A91D"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2.1. CUMPLIMIENTO NORMAS BÁSICAS DE CONTROL INTERNO</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15FC8F82"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8.00/8</w:t>
            </w:r>
          </w:p>
        </w:tc>
      </w:tr>
      <w:tr w:rsidR="006D0445" w:rsidRPr="006D0445" w14:paraId="187B2E55"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AA7D8BB"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2.2. CUMPLIMIENTO NORMAS DE 2DO. GRADO</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04324B30"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6.00/6</w:t>
            </w:r>
          </w:p>
        </w:tc>
      </w:tr>
      <w:tr w:rsidR="006D0445" w:rsidRPr="006D0445" w14:paraId="60F14B5A"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8AD27B4"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 xml:space="preserve">Subindicador 2.3. </w:t>
            </w:r>
            <w:proofErr w:type="spellStart"/>
            <w:r w:rsidRPr="00795A10">
              <w:rPr>
                <w:rFonts w:eastAsia="Times New Roman"/>
                <w:color w:val="767171"/>
              </w:rPr>
              <w:t>RI</w:t>
            </w:r>
            <w:proofErr w:type="spellEnd"/>
            <w:r w:rsidRPr="00795A10">
              <w:rPr>
                <w:rFonts w:eastAsia="Times New Roman"/>
                <w:color w:val="767171"/>
              </w:rPr>
              <w:t xml:space="preserve"> DE CONTRATOS</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35D90067"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6.00/6</w:t>
            </w:r>
          </w:p>
        </w:tc>
      </w:tr>
      <w:tr w:rsidR="006D0445" w:rsidRPr="006D0445" w14:paraId="11DDFF92"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3E4B708"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 xml:space="preserve">Subindicador 2.4. </w:t>
            </w:r>
            <w:proofErr w:type="spellStart"/>
            <w:r w:rsidRPr="00795A10">
              <w:rPr>
                <w:rFonts w:eastAsia="Times New Roman"/>
                <w:color w:val="767171"/>
              </w:rPr>
              <w:t>RI</w:t>
            </w:r>
            <w:proofErr w:type="spellEnd"/>
            <w:r w:rsidRPr="00795A10">
              <w:rPr>
                <w:rFonts w:eastAsia="Times New Roman"/>
                <w:color w:val="767171"/>
              </w:rPr>
              <w:t xml:space="preserve"> DE ORDENES DE PAGOS</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184E60A3"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6.00/6</w:t>
            </w:r>
          </w:p>
        </w:tc>
      </w:tr>
      <w:tr w:rsidR="006D0445" w:rsidRPr="006D0445" w14:paraId="4C77D404"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A239EA"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 xml:space="preserve">Subindicador 2.5. </w:t>
            </w:r>
            <w:proofErr w:type="spellStart"/>
            <w:r w:rsidRPr="00795A10">
              <w:rPr>
                <w:rFonts w:eastAsia="Times New Roman"/>
                <w:color w:val="767171"/>
              </w:rPr>
              <w:t>RI</w:t>
            </w:r>
            <w:proofErr w:type="spellEnd"/>
            <w:r w:rsidRPr="00795A10">
              <w:rPr>
                <w:rFonts w:eastAsia="Times New Roman"/>
                <w:color w:val="767171"/>
              </w:rPr>
              <w:t xml:space="preserve"> DE ARCHIVOS DE NOMINAS</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4694907D"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3.57/4</w:t>
            </w:r>
          </w:p>
        </w:tc>
      </w:tr>
      <w:tr w:rsidR="006D0445" w:rsidRPr="006D0445" w14:paraId="7CCEA736"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C0D77AB"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2.6. INFORME DE RECEPCIÓN DE BIENES (ACORDE AL CRONOGRAMA)</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1BB4A946"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Pendiente</w:t>
            </w:r>
          </w:p>
        </w:tc>
      </w:tr>
      <w:tr w:rsidR="006D0445" w:rsidRPr="006D0445" w14:paraId="136AA7D8"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EF1B915" w14:textId="204353CC" w:rsidR="00D11FFE" w:rsidRPr="00795A10" w:rsidRDefault="00D11FFE" w:rsidP="00D11FFE">
            <w:pPr>
              <w:spacing w:after="0" w:line="240" w:lineRule="auto"/>
              <w:jc w:val="left"/>
              <w:rPr>
                <w:rFonts w:eastAsia="Times New Roman"/>
                <w:color w:val="767171"/>
              </w:rPr>
            </w:pPr>
            <w:r w:rsidRPr="00795A10">
              <w:rPr>
                <w:rFonts w:eastAsia="Times New Roman"/>
                <w:color w:val="767171"/>
              </w:rPr>
              <w:t xml:space="preserve">Subindicador 2.7. CUMPLIMIENTO DEL INDICADOR DE </w:t>
            </w:r>
            <w:r w:rsidR="003846B7" w:rsidRPr="00795A10">
              <w:rPr>
                <w:rFonts w:eastAsia="Times New Roman"/>
                <w:color w:val="767171"/>
              </w:rPr>
              <w:t>GESTIÓN</w:t>
            </w:r>
            <w:r w:rsidRPr="00795A10">
              <w:rPr>
                <w:rFonts w:eastAsia="Times New Roman"/>
                <w:color w:val="767171"/>
              </w:rPr>
              <w:t xml:space="preserve"> PRESUPUESTARIA</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3A5614D9"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4.00/4</w:t>
            </w:r>
          </w:p>
        </w:tc>
      </w:tr>
      <w:tr w:rsidR="006D0445" w:rsidRPr="006D0445" w14:paraId="0DAE671B"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DB5C93B"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2.8. CUMPLIMIENTO DEL POA INSTITUCIONAL</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41F5CC60"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4.00/4</w:t>
            </w:r>
          </w:p>
        </w:tc>
      </w:tr>
      <w:tr w:rsidR="006D0445" w:rsidRPr="006D0445" w14:paraId="7BF5162D"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6B61D52"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2.9. INFORME DE CIERRE DE OPERACIONES CONTABLES</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438FBA91"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Pendiente</w:t>
            </w:r>
          </w:p>
        </w:tc>
      </w:tr>
      <w:tr w:rsidR="006D0445" w:rsidRPr="006D0445" w14:paraId="67DDCFF9" w14:textId="77777777" w:rsidTr="00BD03A8">
        <w:trPr>
          <w:trHeight w:val="300"/>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460C3D2" w14:textId="77777777" w:rsidR="00D11FFE" w:rsidRPr="00795A10" w:rsidRDefault="00D11FFE" w:rsidP="00D11FFE">
            <w:pPr>
              <w:spacing w:after="0" w:line="240" w:lineRule="auto"/>
              <w:jc w:val="left"/>
              <w:rPr>
                <w:rFonts w:eastAsia="Times New Roman"/>
                <w:color w:val="767171"/>
              </w:rPr>
            </w:pPr>
            <w:r w:rsidRPr="00795A10">
              <w:rPr>
                <w:rFonts w:eastAsia="Times New Roman"/>
                <w:color w:val="767171"/>
              </w:rPr>
              <w:t>Subindicador 2.10. ARQUEOS DE CAJAS CHICAS</w:t>
            </w:r>
          </w:p>
        </w:tc>
        <w:tc>
          <w:tcPr>
            <w:tcW w:w="2414" w:type="dxa"/>
            <w:gridSpan w:val="2"/>
            <w:tcBorders>
              <w:top w:val="nil"/>
              <w:left w:val="nil"/>
              <w:bottom w:val="single" w:sz="4" w:space="0" w:color="auto"/>
              <w:right w:val="single" w:sz="4" w:space="0" w:color="auto"/>
            </w:tcBorders>
            <w:shd w:val="clear" w:color="000000" w:fill="FFFFFF"/>
            <w:vAlign w:val="center"/>
            <w:hideMark/>
          </w:tcPr>
          <w:p w14:paraId="0F45125A"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3.55/4</w:t>
            </w:r>
          </w:p>
        </w:tc>
      </w:tr>
      <w:tr w:rsidR="006D0445" w:rsidRPr="006D0445" w14:paraId="58F76977" w14:textId="77777777" w:rsidTr="00BD03A8">
        <w:trPr>
          <w:trHeight w:val="660"/>
        </w:trPr>
        <w:tc>
          <w:tcPr>
            <w:tcW w:w="5524" w:type="dxa"/>
            <w:tcBorders>
              <w:top w:val="nil"/>
              <w:left w:val="nil"/>
              <w:bottom w:val="nil"/>
              <w:right w:val="nil"/>
            </w:tcBorders>
            <w:shd w:val="clear" w:color="auto" w:fill="002060"/>
            <w:vAlign w:val="center"/>
            <w:hideMark/>
          </w:tcPr>
          <w:p w14:paraId="43807606"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t>Total</w:t>
            </w:r>
          </w:p>
        </w:tc>
        <w:tc>
          <w:tcPr>
            <w:tcW w:w="2414" w:type="dxa"/>
            <w:gridSpan w:val="2"/>
            <w:tcBorders>
              <w:top w:val="nil"/>
              <w:left w:val="nil"/>
              <w:bottom w:val="nil"/>
              <w:right w:val="nil"/>
            </w:tcBorders>
            <w:shd w:val="clear" w:color="auto" w:fill="002060"/>
            <w:vAlign w:val="center"/>
            <w:hideMark/>
          </w:tcPr>
          <w:p w14:paraId="323C939B" w14:textId="77777777" w:rsidR="00D11FFE" w:rsidRPr="00795A10" w:rsidRDefault="00D11FFE" w:rsidP="00D11FFE">
            <w:pPr>
              <w:spacing w:after="0" w:line="240" w:lineRule="auto"/>
              <w:jc w:val="center"/>
              <w:rPr>
                <w:rFonts w:eastAsia="Times New Roman"/>
                <w:b/>
                <w:bCs/>
                <w:color w:val="FFFFFF" w:themeColor="background1"/>
              </w:rPr>
            </w:pPr>
            <w:r w:rsidRPr="00795A10">
              <w:rPr>
                <w:rFonts w:eastAsia="Times New Roman"/>
                <w:b/>
                <w:bCs/>
                <w:color w:val="FFFFFF" w:themeColor="background1"/>
              </w:rPr>
              <w:t>Porcentaje de evaluación</w:t>
            </w:r>
          </w:p>
        </w:tc>
      </w:tr>
      <w:tr w:rsidR="006D0445" w:rsidRPr="006D0445" w14:paraId="2930637E" w14:textId="77777777" w:rsidTr="00BD03A8">
        <w:trPr>
          <w:trHeight w:val="435"/>
        </w:trPr>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5D100"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62.50 / 80</w:t>
            </w:r>
          </w:p>
        </w:tc>
        <w:tc>
          <w:tcPr>
            <w:tcW w:w="2414" w:type="dxa"/>
            <w:gridSpan w:val="2"/>
            <w:tcBorders>
              <w:top w:val="single" w:sz="4" w:space="0" w:color="auto"/>
              <w:left w:val="nil"/>
              <w:bottom w:val="single" w:sz="4" w:space="0" w:color="auto"/>
              <w:right w:val="single" w:sz="4" w:space="0" w:color="auto"/>
            </w:tcBorders>
            <w:shd w:val="clear" w:color="000000" w:fill="FFFFFF"/>
            <w:vAlign w:val="center"/>
            <w:hideMark/>
          </w:tcPr>
          <w:p w14:paraId="5C7FAD83" w14:textId="77777777" w:rsidR="00D11FFE" w:rsidRPr="00795A10" w:rsidRDefault="00D11FFE" w:rsidP="00D11FFE">
            <w:pPr>
              <w:spacing w:after="0" w:line="240" w:lineRule="auto"/>
              <w:jc w:val="center"/>
              <w:rPr>
                <w:rFonts w:eastAsia="Times New Roman"/>
                <w:color w:val="767171"/>
              </w:rPr>
            </w:pPr>
            <w:r w:rsidRPr="00795A10">
              <w:rPr>
                <w:rFonts w:eastAsia="Times New Roman"/>
                <w:color w:val="767171"/>
              </w:rPr>
              <w:t>78.12%</w:t>
            </w:r>
          </w:p>
        </w:tc>
      </w:tr>
    </w:tbl>
    <w:p w14:paraId="70957C29" w14:textId="77777777" w:rsidR="00BF08CA" w:rsidRPr="006D0445" w:rsidRDefault="00BF08CA" w:rsidP="00456F69">
      <w:pPr>
        <w:pStyle w:val="Prrafodelista"/>
        <w:ind w:left="0"/>
        <w:rPr>
          <w:b/>
          <w:bCs/>
          <w:color w:val="767171"/>
        </w:rPr>
      </w:pPr>
    </w:p>
    <w:p w14:paraId="44C7F265" w14:textId="50A229BD" w:rsidR="0044490D" w:rsidRPr="006D0445" w:rsidRDefault="00086481" w:rsidP="00B11868">
      <w:pPr>
        <w:rPr>
          <w:b/>
          <w:bCs/>
          <w:color w:val="767171"/>
        </w:rPr>
      </w:pPr>
      <w:r w:rsidRPr="006D0445">
        <w:rPr>
          <w:b/>
          <w:bCs/>
          <w:color w:val="767171"/>
        </w:rPr>
        <w:t>Resultados de los Sistemas de Calidad</w:t>
      </w:r>
    </w:p>
    <w:p w14:paraId="171830FF" w14:textId="1ADA6B08" w:rsidR="00B85263" w:rsidRPr="006D0445" w:rsidRDefault="00B85263" w:rsidP="00B85263">
      <w:pPr>
        <w:rPr>
          <w:color w:val="767171"/>
          <w:lang w:val="es-ES"/>
        </w:rPr>
      </w:pPr>
      <w:r w:rsidRPr="006D0445">
        <w:rPr>
          <w:color w:val="767171"/>
          <w:lang w:val="es-ES"/>
        </w:rPr>
        <w:t xml:space="preserve">Durante el </w:t>
      </w:r>
      <w:r w:rsidR="00F2650B" w:rsidRPr="006D0445">
        <w:rPr>
          <w:color w:val="767171"/>
          <w:lang w:val="es-ES"/>
        </w:rPr>
        <w:t>2024</w:t>
      </w:r>
      <w:r w:rsidRPr="006D0445">
        <w:rPr>
          <w:color w:val="767171"/>
          <w:lang w:val="es-ES"/>
        </w:rPr>
        <w:t xml:space="preserve">, la SIE designó a un nuevo comité de calidad institucional conformado por miembros de diferentes áreas de la institución: Planificación y Desarrollo, Administrativo y Financiero, Recursos Humanos, Jurídica, Recursos Jerárquicos, Mercado Eléctrico Mayorista, Mercado Eléctrico Minorista, </w:t>
      </w:r>
      <w:proofErr w:type="spellStart"/>
      <w:r w:rsidRPr="006D0445">
        <w:rPr>
          <w:color w:val="767171"/>
          <w:lang w:val="es-ES"/>
        </w:rPr>
        <w:t>OAI</w:t>
      </w:r>
      <w:proofErr w:type="spellEnd"/>
      <w:r w:rsidRPr="006D0445">
        <w:rPr>
          <w:color w:val="767171"/>
          <w:lang w:val="es-ES"/>
        </w:rPr>
        <w:t xml:space="preserve"> y </w:t>
      </w:r>
      <w:proofErr w:type="spellStart"/>
      <w:r w:rsidRPr="006D0445">
        <w:rPr>
          <w:color w:val="767171"/>
          <w:lang w:val="es-ES"/>
        </w:rPr>
        <w:t>Protecom</w:t>
      </w:r>
      <w:proofErr w:type="spellEnd"/>
      <w:r w:rsidRPr="006D0445">
        <w:rPr>
          <w:color w:val="767171"/>
          <w:lang w:val="es-ES"/>
        </w:rPr>
        <w:t>.</w:t>
      </w:r>
    </w:p>
    <w:p w14:paraId="1782FA44" w14:textId="505E456F" w:rsidR="001A00FC" w:rsidRPr="006D0445" w:rsidRDefault="00D11FFE" w:rsidP="00D11FFE">
      <w:pPr>
        <w:rPr>
          <w:color w:val="767171"/>
          <w:lang w:val="es-ES"/>
        </w:rPr>
      </w:pPr>
      <w:r w:rsidRPr="006D0445">
        <w:rPr>
          <w:color w:val="767171"/>
          <w:lang w:val="es-ES"/>
        </w:rPr>
        <w:t>En el año 2024 se realizó el Autodiagnóstico del Marco Común de Evaluación (CAF) y a partir de los hallazgos encontrados se formuló el Plan de Mejora Institucional 2024-2025 para subsanar las áreas de mejora identificadas. La ejecución se llevará a cabo a partir de enero del 2025. Actualmente estamos trabajando en la ejecución del Plan de Mejora 2023-2024, el cual en el segundo semestre del 2024 presenta un cumplimiento del 90%.</w:t>
      </w:r>
    </w:p>
    <w:p w14:paraId="2F73CCDD" w14:textId="67C79E81" w:rsidR="00D11FFE" w:rsidRPr="00C448FD" w:rsidRDefault="00D11FFE" w:rsidP="00D11FFE">
      <w:pPr>
        <w:rPr>
          <w:b/>
          <w:bCs/>
          <w:color w:val="767171"/>
        </w:rPr>
      </w:pPr>
      <w:r w:rsidRPr="00C448FD">
        <w:rPr>
          <w:color w:val="767171"/>
          <w:lang w:val="es-ES"/>
        </w:rPr>
        <w:t xml:space="preserve"> </w:t>
      </w:r>
      <w:r w:rsidR="00202380" w:rsidRPr="00C448FD">
        <w:rPr>
          <w:b/>
          <w:bCs/>
          <w:color w:val="767171"/>
        </w:rPr>
        <w:t>Certificaciones y Sistema de calidad</w:t>
      </w:r>
    </w:p>
    <w:p w14:paraId="088717BA" w14:textId="77777777" w:rsidR="00D11FFE" w:rsidRPr="006D0445" w:rsidRDefault="00D11FFE" w:rsidP="00D11FFE">
      <w:pPr>
        <w:rPr>
          <w:color w:val="767171"/>
          <w:lang w:val="es-ES"/>
        </w:rPr>
      </w:pPr>
      <w:r w:rsidRPr="006D0445">
        <w:rPr>
          <w:color w:val="767171"/>
          <w:lang w:val="es-ES"/>
        </w:rPr>
        <w:t>De igual manera, fue adjudicado el proceso de compras y contrataciones para la implementación de las Normas ISO 9001:2015 Gestión de Calidad en los Servicios, ISO-37001:2016 Antisoborno y la Norma ISO 37301:2021 sobre Cumplimiento Regulatorio.</w:t>
      </w:r>
    </w:p>
    <w:p w14:paraId="41A5E697" w14:textId="77777777" w:rsidR="00D11FFE" w:rsidRPr="006D0445" w:rsidRDefault="00D11FFE" w:rsidP="00D11FFE">
      <w:pPr>
        <w:rPr>
          <w:color w:val="767171"/>
          <w:lang w:val="es-ES"/>
        </w:rPr>
      </w:pPr>
      <w:r w:rsidRPr="006D0445">
        <w:rPr>
          <w:color w:val="767171"/>
          <w:lang w:val="es-ES"/>
        </w:rPr>
        <w:t>También fueron iniciados los trabajos de la implementación de la Norma ISO 27001:2022 sobre Sistema de Gestión de la Seguridad de la Información (</w:t>
      </w:r>
      <w:proofErr w:type="spellStart"/>
      <w:r w:rsidRPr="006D0445">
        <w:rPr>
          <w:color w:val="767171"/>
          <w:lang w:val="es-ES"/>
        </w:rPr>
        <w:t>SGSI</w:t>
      </w:r>
      <w:proofErr w:type="spellEnd"/>
      <w:r w:rsidRPr="006D0445">
        <w:rPr>
          <w:color w:val="767171"/>
          <w:lang w:val="es-ES"/>
        </w:rPr>
        <w:t>).</w:t>
      </w:r>
    </w:p>
    <w:p w14:paraId="628A8917" w14:textId="68562B94" w:rsidR="00BD03A8" w:rsidRDefault="00D11FFE" w:rsidP="00955F96">
      <w:pPr>
        <w:rPr>
          <w:color w:val="767171"/>
          <w:lang w:val="es-ES"/>
        </w:rPr>
      </w:pPr>
      <w:r w:rsidRPr="006D0445">
        <w:rPr>
          <w:color w:val="767171"/>
          <w:lang w:val="es-ES"/>
        </w:rPr>
        <w:t>La implementación de estas 4 normas ISO tiene fecha límite para su impl</w:t>
      </w:r>
      <w:r w:rsidR="006F42B5" w:rsidRPr="006D0445">
        <w:rPr>
          <w:color w:val="767171"/>
          <w:lang w:val="es-ES"/>
        </w:rPr>
        <w:t>eme</w:t>
      </w:r>
      <w:r w:rsidRPr="006D0445">
        <w:rPr>
          <w:color w:val="767171"/>
          <w:lang w:val="es-ES"/>
        </w:rPr>
        <w:t>ntación y termino durante el ejercicio</w:t>
      </w:r>
      <w:r w:rsidR="006F42B5" w:rsidRPr="006D0445">
        <w:rPr>
          <w:color w:val="767171"/>
          <w:lang w:val="es-ES"/>
        </w:rPr>
        <w:t>.</w:t>
      </w:r>
      <w:r w:rsidR="00BD03A8">
        <w:rPr>
          <w:color w:val="767171"/>
          <w:lang w:val="es-ES"/>
        </w:rPr>
        <w:br w:type="page"/>
      </w:r>
    </w:p>
    <w:p w14:paraId="4FAFAC95" w14:textId="6AE64487" w:rsidR="00086481" w:rsidRPr="006D0445" w:rsidRDefault="00086481" w:rsidP="00B11868">
      <w:pPr>
        <w:rPr>
          <w:b/>
          <w:bCs/>
          <w:color w:val="767171"/>
        </w:rPr>
      </w:pPr>
      <w:r w:rsidRPr="006D0445">
        <w:rPr>
          <w:b/>
          <w:bCs/>
          <w:color w:val="767171"/>
        </w:rPr>
        <w:lastRenderedPageBreak/>
        <w:t>Acciones para el fortalecimiento institucional</w:t>
      </w:r>
    </w:p>
    <w:p w14:paraId="56B45609" w14:textId="77777777" w:rsidR="00BE07DD" w:rsidRPr="006D0445" w:rsidRDefault="00D53D21" w:rsidP="00BE07DD">
      <w:pPr>
        <w:rPr>
          <w:color w:val="767171"/>
        </w:rPr>
      </w:pPr>
      <w:r w:rsidRPr="006D0445">
        <w:rPr>
          <w:color w:val="767171"/>
        </w:rPr>
        <w:t xml:space="preserve">Durante el año </w:t>
      </w:r>
      <w:r w:rsidR="00F2650B" w:rsidRPr="006D0445">
        <w:rPr>
          <w:color w:val="767171"/>
        </w:rPr>
        <w:t>2024</w:t>
      </w:r>
      <w:r w:rsidR="00C56A8E" w:rsidRPr="006D0445">
        <w:rPr>
          <w:color w:val="767171"/>
        </w:rPr>
        <w:t xml:space="preserve">, </w:t>
      </w:r>
      <w:r w:rsidR="00BE07DD" w:rsidRPr="006D0445">
        <w:rPr>
          <w:color w:val="767171"/>
        </w:rPr>
        <w:t xml:space="preserve">como parte del proceso de fortalecimiento institucional y de actualización de procedimientos técnicos y administrativos; se aprobaron cuarenta y cuatro (44) documentos, detallados en el siguiente cuadro: </w:t>
      </w:r>
    </w:p>
    <w:p w14:paraId="762E889A" w14:textId="523228E9" w:rsidR="001A00FC" w:rsidRPr="006D0445" w:rsidRDefault="001A00FC" w:rsidP="001A00FC">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12</w:t>
      </w:r>
      <w:r w:rsidRPr="006D0445">
        <w:rPr>
          <w:color w:val="767171"/>
        </w:rPr>
        <w:fldChar w:fldCharType="end"/>
      </w:r>
      <w:r w:rsidRPr="006D0445">
        <w:rPr>
          <w:color w:val="767171"/>
        </w:rPr>
        <w:t>Documentos y procesos aprobados</w:t>
      </w:r>
    </w:p>
    <w:tbl>
      <w:tblPr>
        <w:tblW w:w="8085" w:type="dxa"/>
        <w:tblInd w:w="-15" w:type="dxa"/>
        <w:tblCellMar>
          <w:left w:w="70" w:type="dxa"/>
          <w:right w:w="70" w:type="dxa"/>
        </w:tblCellMar>
        <w:tblLook w:val="04A0" w:firstRow="1" w:lastRow="0" w:firstColumn="1" w:lastColumn="0" w:noHBand="0" w:noVBand="1"/>
      </w:tblPr>
      <w:tblGrid>
        <w:gridCol w:w="494"/>
        <w:gridCol w:w="6173"/>
        <w:gridCol w:w="1418"/>
      </w:tblGrid>
      <w:tr w:rsidR="00955F96" w:rsidRPr="006D0445" w14:paraId="4A2F5263" w14:textId="77777777" w:rsidTr="00955F96">
        <w:trPr>
          <w:trHeight w:val="300"/>
          <w:tblHeader/>
        </w:trPr>
        <w:tc>
          <w:tcPr>
            <w:tcW w:w="8085" w:type="dxa"/>
            <w:gridSpan w:val="3"/>
            <w:tcBorders>
              <w:top w:val="single" w:sz="8" w:space="0" w:color="auto"/>
              <w:left w:val="single" w:sz="8" w:space="0" w:color="auto"/>
              <w:bottom w:val="single" w:sz="8" w:space="0" w:color="auto"/>
              <w:right w:val="single" w:sz="8" w:space="0" w:color="auto"/>
            </w:tcBorders>
            <w:shd w:val="clear" w:color="000000" w:fill="011C50"/>
            <w:noWrap/>
            <w:vAlign w:val="center"/>
          </w:tcPr>
          <w:p w14:paraId="107DEE65" w14:textId="5A341E5E" w:rsidR="00955F96" w:rsidRPr="00955F96" w:rsidRDefault="00955F96" w:rsidP="00B74283">
            <w:pPr>
              <w:spacing w:after="0" w:line="240" w:lineRule="auto"/>
              <w:jc w:val="center"/>
              <w:rPr>
                <w:rFonts w:eastAsia="Times New Roman"/>
                <w:b/>
                <w:bCs/>
                <w:color w:val="FFFFFF" w:themeColor="background1"/>
              </w:rPr>
            </w:pPr>
            <w:r w:rsidRPr="00955F96">
              <w:rPr>
                <w:b/>
                <w:bCs/>
                <w:color w:val="FFFFFF" w:themeColor="background1"/>
              </w:rPr>
              <w:t>Documentos y procesos aprobados</w:t>
            </w:r>
          </w:p>
        </w:tc>
      </w:tr>
      <w:tr w:rsidR="006D0445" w:rsidRPr="006D0445" w14:paraId="2ADCF8F3" w14:textId="77777777" w:rsidTr="00795A10">
        <w:trPr>
          <w:trHeight w:val="300"/>
        </w:trPr>
        <w:tc>
          <w:tcPr>
            <w:tcW w:w="494" w:type="dxa"/>
            <w:tcBorders>
              <w:top w:val="single" w:sz="8" w:space="0" w:color="auto"/>
              <w:left w:val="single" w:sz="8" w:space="0" w:color="auto"/>
              <w:bottom w:val="single" w:sz="8" w:space="0" w:color="auto"/>
              <w:right w:val="single" w:sz="8" w:space="0" w:color="auto"/>
            </w:tcBorders>
            <w:shd w:val="clear" w:color="000000" w:fill="011C50"/>
            <w:noWrap/>
            <w:vAlign w:val="center"/>
            <w:hideMark/>
          </w:tcPr>
          <w:p w14:paraId="23EFDE74"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single" w:sz="8" w:space="0" w:color="auto"/>
              <w:left w:val="nil"/>
              <w:bottom w:val="single" w:sz="8" w:space="0" w:color="auto"/>
              <w:right w:val="single" w:sz="8" w:space="0" w:color="auto"/>
            </w:tcBorders>
            <w:shd w:val="clear" w:color="000000" w:fill="011C50"/>
            <w:noWrap/>
            <w:vAlign w:val="center"/>
            <w:hideMark/>
          </w:tcPr>
          <w:p w14:paraId="4435DEC3"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Manuales Aprobados</w:t>
            </w:r>
          </w:p>
        </w:tc>
        <w:tc>
          <w:tcPr>
            <w:tcW w:w="1418" w:type="dxa"/>
            <w:tcBorders>
              <w:top w:val="single" w:sz="8" w:space="0" w:color="auto"/>
              <w:left w:val="nil"/>
              <w:bottom w:val="single" w:sz="8" w:space="0" w:color="auto"/>
              <w:right w:val="single" w:sz="8" w:space="0" w:color="auto"/>
            </w:tcBorders>
            <w:shd w:val="clear" w:color="000000" w:fill="011C50"/>
            <w:noWrap/>
            <w:vAlign w:val="center"/>
            <w:hideMark/>
          </w:tcPr>
          <w:p w14:paraId="61AFA86B"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6D0445" w:rsidRPr="006D0445" w14:paraId="2E41DF44"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A474137"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single" w:sz="8" w:space="0" w:color="000000"/>
              <w:right w:val="single" w:sz="8" w:space="0" w:color="000000"/>
            </w:tcBorders>
            <w:shd w:val="clear" w:color="auto" w:fill="auto"/>
            <w:noWrap/>
            <w:vAlign w:val="center"/>
            <w:hideMark/>
          </w:tcPr>
          <w:p w14:paraId="1A9DCB00"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Manual de Gestión de Contenido en las Redes Sociales</w:t>
            </w:r>
          </w:p>
        </w:tc>
        <w:tc>
          <w:tcPr>
            <w:tcW w:w="1418" w:type="dxa"/>
            <w:tcBorders>
              <w:top w:val="nil"/>
              <w:left w:val="nil"/>
              <w:bottom w:val="single" w:sz="8" w:space="0" w:color="000000"/>
              <w:right w:val="single" w:sz="8" w:space="0" w:color="000000"/>
            </w:tcBorders>
            <w:shd w:val="clear" w:color="auto" w:fill="auto"/>
            <w:noWrap/>
            <w:vAlign w:val="center"/>
            <w:hideMark/>
          </w:tcPr>
          <w:p w14:paraId="328187C2"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49A2C161" w14:textId="77777777" w:rsidTr="00795A10">
        <w:trPr>
          <w:trHeight w:val="300"/>
        </w:trPr>
        <w:tc>
          <w:tcPr>
            <w:tcW w:w="494" w:type="dxa"/>
            <w:tcBorders>
              <w:top w:val="nil"/>
              <w:left w:val="single" w:sz="8" w:space="0" w:color="auto"/>
              <w:bottom w:val="single" w:sz="8" w:space="0" w:color="auto"/>
              <w:right w:val="single" w:sz="8" w:space="0" w:color="auto"/>
            </w:tcBorders>
            <w:shd w:val="clear" w:color="000000" w:fill="011C50"/>
            <w:noWrap/>
            <w:vAlign w:val="center"/>
            <w:hideMark/>
          </w:tcPr>
          <w:p w14:paraId="301EF99D"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nil"/>
              <w:left w:val="nil"/>
              <w:bottom w:val="single" w:sz="8" w:space="0" w:color="auto"/>
              <w:right w:val="single" w:sz="8" w:space="0" w:color="auto"/>
            </w:tcBorders>
            <w:shd w:val="clear" w:color="000000" w:fill="011C50"/>
            <w:noWrap/>
            <w:vAlign w:val="center"/>
            <w:hideMark/>
          </w:tcPr>
          <w:p w14:paraId="2F5AC192"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Políticas Aprobadas</w:t>
            </w:r>
          </w:p>
        </w:tc>
        <w:tc>
          <w:tcPr>
            <w:tcW w:w="1418" w:type="dxa"/>
            <w:tcBorders>
              <w:top w:val="nil"/>
              <w:left w:val="nil"/>
              <w:bottom w:val="single" w:sz="8" w:space="0" w:color="auto"/>
              <w:right w:val="single" w:sz="8" w:space="0" w:color="auto"/>
            </w:tcBorders>
            <w:shd w:val="clear" w:color="000000" w:fill="011C50"/>
            <w:noWrap/>
            <w:vAlign w:val="center"/>
            <w:hideMark/>
          </w:tcPr>
          <w:p w14:paraId="47C0C718"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6D0445" w:rsidRPr="006D0445" w14:paraId="6BE08156"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03E18208"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single" w:sz="8" w:space="0" w:color="000000"/>
              <w:right w:val="single" w:sz="8" w:space="0" w:color="000000"/>
            </w:tcBorders>
            <w:shd w:val="clear" w:color="auto" w:fill="auto"/>
            <w:noWrap/>
            <w:vAlign w:val="center"/>
            <w:hideMark/>
          </w:tcPr>
          <w:p w14:paraId="7D460D92"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Política del Sistema para la Administración de la Seguridad de la Información </w:t>
            </w:r>
            <w:r w:rsidRPr="006D0445">
              <w:rPr>
                <w:rFonts w:eastAsia="Times New Roman"/>
                <w:color w:val="767171"/>
                <w:sz w:val="20"/>
                <w:szCs w:val="20"/>
              </w:rPr>
              <w:t>(</w:t>
            </w:r>
            <w:proofErr w:type="spellStart"/>
            <w:r w:rsidRPr="006D0445">
              <w:rPr>
                <w:rFonts w:eastAsia="Times New Roman"/>
                <w:color w:val="767171"/>
                <w:sz w:val="20"/>
                <w:szCs w:val="20"/>
              </w:rPr>
              <w:t>SASI</w:t>
            </w:r>
            <w:proofErr w:type="spellEnd"/>
            <w:r w:rsidRPr="006D0445">
              <w:rPr>
                <w:rFonts w:eastAsia="Times New Roman"/>
                <w:color w:val="767171"/>
                <w:sz w:val="20"/>
                <w:szCs w:val="20"/>
              </w:rPr>
              <w:t xml:space="preserve">) </w:t>
            </w:r>
          </w:p>
        </w:tc>
        <w:tc>
          <w:tcPr>
            <w:tcW w:w="1418" w:type="dxa"/>
            <w:tcBorders>
              <w:top w:val="nil"/>
              <w:left w:val="nil"/>
              <w:bottom w:val="single" w:sz="8" w:space="0" w:color="000000"/>
              <w:right w:val="single" w:sz="8" w:space="0" w:color="000000"/>
            </w:tcBorders>
            <w:shd w:val="clear" w:color="auto" w:fill="auto"/>
            <w:noWrap/>
            <w:vAlign w:val="center"/>
            <w:hideMark/>
          </w:tcPr>
          <w:p w14:paraId="0383A1BD"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02BB165A"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1ECEAA7E"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2</w:t>
            </w:r>
          </w:p>
        </w:tc>
        <w:tc>
          <w:tcPr>
            <w:tcW w:w="6173" w:type="dxa"/>
            <w:tcBorders>
              <w:top w:val="nil"/>
              <w:left w:val="nil"/>
              <w:bottom w:val="single" w:sz="8" w:space="0" w:color="000000"/>
              <w:right w:val="single" w:sz="8" w:space="0" w:color="000000"/>
            </w:tcBorders>
            <w:shd w:val="clear" w:color="auto" w:fill="auto"/>
            <w:noWrap/>
            <w:vAlign w:val="center"/>
            <w:hideMark/>
          </w:tcPr>
          <w:p w14:paraId="796F6D20"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Política de Gestión de Riesgo de la SIE</w:t>
            </w:r>
          </w:p>
        </w:tc>
        <w:tc>
          <w:tcPr>
            <w:tcW w:w="1418" w:type="dxa"/>
            <w:tcBorders>
              <w:top w:val="nil"/>
              <w:left w:val="nil"/>
              <w:bottom w:val="single" w:sz="8" w:space="0" w:color="000000"/>
              <w:right w:val="single" w:sz="8" w:space="0" w:color="000000"/>
            </w:tcBorders>
            <w:shd w:val="clear" w:color="auto" w:fill="auto"/>
            <w:noWrap/>
            <w:vAlign w:val="center"/>
            <w:hideMark/>
          </w:tcPr>
          <w:p w14:paraId="42BA5E29"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4735E1A2" w14:textId="77777777" w:rsidTr="00795A10">
        <w:trPr>
          <w:trHeight w:val="300"/>
        </w:trPr>
        <w:tc>
          <w:tcPr>
            <w:tcW w:w="494" w:type="dxa"/>
            <w:tcBorders>
              <w:top w:val="nil"/>
              <w:left w:val="single" w:sz="8" w:space="0" w:color="auto"/>
              <w:bottom w:val="single" w:sz="8" w:space="0" w:color="auto"/>
              <w:right w:val="single" w:sz="8" w:space="0" w:color="auto"/>
            </w:tcBorders>
            <w:shd w:val="clear" w:color="000000" w:fill="011C50"/>
            <w:noWrap/>
            <w:vAlign w:val="center"/>
            <w:hideMark/>
          </w:tcPr>
          <w:p w14:paraId="5E552ACC"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nil"/>
              <w:left w:val="nil"/>
              <w:bottom w:val="single" w:sz="8" w:space="0" w:color="auto"/>
              <w:right w:val="single" w:sz="8" w:space="0" w:color="auto"/>
            </w:tcBorders>
            <w:shd w:val="clear" w:color="000000" w:fill="011C50"/>
            <w:noWrap/>
            <w:vAlign w:val="center"/>
            <w:hideMark/>
          </w:tcPr>
          <w:p w14:paraId="0457C57B"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Procedimientos Aprobados</w:t>
            </w:r>
          </w:p>
        </w:tc>
        <w:tc>
          <w:tcPr>
            <w:tcW w:w="1418" w:type="dxa"/>
            <w:tcBorders>
              <w:top w:val="nil"/>
              <w:left w:val="nil"/>
              <w:bottom w:val="single" w:sz="8" w:space="0" w:color="auto"/>
              <w:right w:val="single" w:sz="8" w:space="0" w:color="auto"/>
            </w:tcBorders>
            <w:shd w:val="clear" w:color="000000" w:fill="011C50"/>
            <w:noWrap/>
            <w:vAlign w:val="center"/>
            <w:hideMark/>
          </w:tcPr>
          <w:p w14:paraId="363FC358" w14:textId="77777777" w:rsidR="00BE07DD" w:rsidRPr="00C448FD" w:rsidRDefault="00BE07DD" w:rsidP="00B74283">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6D0445" w:rsidRPr="006D0445" w14:paraId="230D61C1"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91DD572"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single" w:sz="8" w:space="0" w:color="000000"/>
              <w:right w:val="single" w:sz="8" w:space="0" w:color="000000"/>
            </w:tcBorders>
            <w:shd w:val="clear" w:color="auto" w:fill="auto"/>
            <w:noWrap/>
            <w:vAlign w:val="center"/>
            <w:hideMark/>
          </w:tcPr>
          <w:p w14:paraId="08926F34"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de Activo Fijo de la Superintendencia de Electricidad </w:t>
            </w:r>
          </w:p>
        </w:tc>
        <w:tc>
          <w:tcPr>
            <w:tcW w:w="1418" w:type="dxa"/>
            <w:tcBorders>
              <w:top w:val="nil"/>
              <w:left w:val="nil"/>
              <w:bottom w:val="single" w:sz="8" w:space="0" w:color="000000"/>
              <w:right w:val="single" w:sz="8" w:space="0" w:color="000000"/>
            </w:tcBorders>
            <w:shd w:val="clear" w:color="auto" w:fill="auto"/>
            <w:noWrap/>
            <w:vAlign w:val="center"/>
            <w:hideMark/>
          </w:tcPr>
          <w:p w14:paraId="74C0C9DF"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78294EDD"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36BF8C3"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2</w:t>
            </w:r>
          </w:p>
        </w:tc>
        <w:tc>
          <w:tcPr>
            <w:tcW w:w="6173" w:type="dxa"/>
            <w:tcBorders>
              <w:top w:val="nil"/>
              <w:left w:val="nil"/>
              <w:bottom w:val="single" w:sz="8" w:space="0" w:color="000000"/>
              <w:right w:val="single" w:sz="8" w:space="0" w:color="000000"/>
            </w:tcBorders>
            <w:shd w:val="clear" w:color="auto" w:fill="auto"/>
            <w:noWrap/>
            <w:vAlign w:val="center"/>
            <w:hideMark/>
          </w:tcPr>
          <w:p w14:paraId="70332DE6"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de Debida Diligencia para Compras y Contrataciones de la SIE </w:t>
            </w:r>
          </w:p>
        </w:tc>
        <w:tc>
          <w:tcPr>
            <w:tcW w:w="1418" w:type="dxa"/>
            <w:tcBorders>
              <w:top w:val="nil"/>
              <w:left w:val="nil"/>
              <w:bottom w:val="single" w:sz="8" w:space="0" w:color="000000"/>
              <w:right w:val="single" w:sz="8" w:space="0" w:color="000000"/>
            </w:tcBorders>
            <w:shd w:val="clear" w:color="auto" w:fill="auto"/>
            <w:noWrap/>
            <w:vAlign w:val="center"/>
            <w:hideMark/>
          </w:tcPr>
          <w:p w14:paraId="7674C152"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2C956B58"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3C359A9"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3</w:t>
            </w:r>
          </w:p>
        </w:tc>
        <w:tc>
          <w:tcPr>
            <w:tcW w:w="6173" w:type="dxa"/>
            <w:tcBorders>
              <w:top w:val="nil"/>
              <w:left w:val="nil"/>
              <w:bottom w:val="single" w:sz="8" w:space="0" w:color="000000"/>
              <w:right w:val="single" w:sz="8" w:space="0" w:color="000000"/>
            </w:tcBorders>
            <w:shd w:val="clear" w:color="auto" w:fill="auto"/>
            <w:noWrap/>
            <w:vAlign w:val="center"/>
            <w:hideMark/>
          </w:tcPr>
          <w:p w14:paraId="58539F74"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para la Elaboración de Contratos, Acuerdos y Enmiendas </w:t>
            </w:r>
          </w:p>
        </w:tc>
        <w:tc>
          <w:tcPr>
            <w:tcW w:w="1418" w:type="dxa"/>
            <w:tcBorders>
              <w:top w:val="nil"/>
              <w:left w:val="nil"/>
              <w:bottom w:val="single" w:sz="8" w:space="0" w:color="000000"/>
              <w:right w:val="single" w:sz="8" w:space="0" w:color="000000"/>
            </w:tcBorders>
            <w:shd w:val="clear" w:color="auto" w:fill="auto"/>
            <w:noWrap/>
            <w:vAlign w:val="center"/>
            <w:hideMark/>
          </w:tcPr>
          <w:p w14:paraId="1B191709"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20971C4B"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B43D5D9"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4</w:t>
            </w:r>
          </w:p>
        </w:tc>
        <w:tc>
          <w:tcPr>
            <w:tcW w:w="6173" w:type="dxa"/>
            <w:tcBorders>
              <w:top w:val="nil"/>
              <w:left w:val="nil"/>
              <w:bottom w:val="single" w:sz="8" w:space="0" w:color="000000"/>
              <w:right w:val="single" w:sz="8" w:space="0" w:color="000000"/>
            </w:tcBorders>
            <w:shd w:val="clear" w:color="auto" w:fill="auto"/>
            <w:noWrap/>
            <w:vAlign w:val="center"/>
            <w:hideMark/>
          </w:tcPr>
          <w:p w14:paraId="746FDF96"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de Gestión de Vacaciones </w:t>
            </w:r>
          </w:p>
        </w:tc>
        <w:tc>
          <w:tcPr>
            <w:tcW w:w="1418" w:type="dxa"/>
            <w:tcBorders>
              <w:top w:val="nil"/>
              <w:left w:val="nil"/>
              <w:bottom w:val="single" w:sz="8" w:space="0" w:color="000000"/>
              <w:right w:val="single" w:sz="8" w:space="0" w:color="000000"/>
            </w:tcBorders>
            <w:shd w:val="clear" w:color="auto" w:fill="auto"/>
            <w:noWrap/>
            <w:vAlign w:val="center"/>
            <w:hideMark/>
          </w:tcPr>
          <w:p w14:paraId="02E18424"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58D4588D"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0251A1A"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5</w:t>
            </w:r>
          </w:p>
        </w:tc>
        <w:tc>
          <w:tcPr>
            <w:tcW w:w="6173" w:type="dxa"/>
            <w:tcBorders>
              <w:top w:val="nil"/>
              <w:left w:val="nil"/>
              <w:bottom w:val="single" w:sz="8" w:space="0" w:color="000000"/>
              <w:right w:val="single" w:sz="8" w:space="0" w:color="000000"/>
            </w:tcBorders>
            <w:shd w:val="clear" w:color="auto" w:fill="auto"/>
            <w:noWrap/>
            <w:vAlign w:val="center"/>
            <w:hideMark/>
          </w:tcPr>
          <w:p w14:paraId="0A673269"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de Licencias, Permisos y Tardanzas </w:t>
            </w:r>
          </w:p>
        </w:tc>
        <w:tc>
          <w:tcPr>
            <w:tcW w:w="1418" w:type="dxa"/>
            <w:tcBorders>
              <w:top w:val="nil"/>
              <w:left w:val="nil"/>
              <w:bottom w:val="single" w:sz="8" w:space="0" w:color="000000"/>
              <w:right w:val="single" w:sz="8" w:space="0" w:color="000000"/>
            </w:tcBorders>
            <w:shd w:val="clear" w:color="auto" w:fill="auto"/>
            <w:noWrap/>
            <w:vAlign w:val="center"/>
            <w:hideMark/>
          </w:tcPr>
          <w:p w14:paraId="3405AD41"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05166AB2"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555ED11"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6</w:t>
            </w:r>
          </w:p>
        </w:tc>
        <w:tc>
          <w:tcPr>
            <w:tcW w:w="6173" w:type="dxa"/>
            <w:tcBorders>
              <w:top w:val="nil"/>
              <w:left w:val="nil"/>
              <w:bottom w:val="single" w:sz="8" w:space="0" w:color="000000"/>
              <w:right w:val="single" w:sz="8" w:space="0" w:color="000000"/>
            </w:tcBorders>
            <w:shd w:val="clear" w:color="auto" w:fill="auto"/>
            <w:noWrap/>
            <w:vAlign w:val="center"/>
            <w:hideMark/>
          </w:tcPr>
          <w:p w14:paraId="2C7488D5"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Procedimiento de Gestión de Solicitudes al Consejo SIE</w:t>
            </w:r>
          </w:p>
        </w:tc>
        <w:tc>
          <w:tcPr>
            <w:tcW w:w="1418" w:type="dxa"/>
            <w:tcBorders>
              <w:top w:val="nil"/>
              <w:left w:val="nil"/>
              <w:bottom w:val="single" w:sz="8" w:space="0" w:color="000000"/>
              <w:right w:val="single" w:sz="8" w:space="0" w:color="000000"/>
            </w:tcBorders>
            <w:shd w:val="clear" w:color="auto" w:fill="auto"/>
            <w:noWrap/>
            <w:vAlign w:val="center"/>
            <w:hideMark/>
          </w:tcPr>
          <w:p w14:paraId="0DB21D30"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531903F2"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4807E13E"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7</w:t>
            </w:r>
          </w:p>
        </w:tc>
        <w:tc>
          <w:tcPr>
            <w:tcW w:w="6173" w:type="dxa"/>
            <w:tcBorders>
              <w:top w:val="nil"/>
              <w:left w:val="nil"/>
              <w:bottom w:val="single" w:sz="8" w:space="0" w:color="000000"/>
              <w:right w:val="single" w:sz="8" w:space="0" w:color="000000"/>
            </w:tcBorders>
            <w:shd w:val="clear" w:color="auto" w:fill="auto"/>
            <w:noWrap/>
            <w:vAlign w:val="center"/>
            <w:hideMark/>
          </w:tcPr>
          <w:p w14:paraId="03977923" w14:textId="77777777" w:rsidR="00BE07DD"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Procedimiento de Gestión de Almacén y Suministro para Bienes de Consumo</w:t>
            </w:r>
          </w:p>
          <w:p w14:paraId="7158D24D" w14:textId="77777777" w:rsidR="00393C5F" w:rsidRPr="006D0445" w:rsidRDefault="00393C5F" w:rsidP="00B74283">
            <w:pPr>
              <w:spacing w:after="0" w:line="240" w:lineRule="auto"/>
              <w:jc w:val="left"/>
              <w:rPr>
                <w:rFonts w:eastAsia="Times New Roman"/>
                <w:color w:val="767171"/>
                <w:sz w:val="22"/>
                <w:szCs w:val="22"/>
              </w:rPr>
            </w:pPr>
          </w:p>
        </w:tc>
        <w:tc>
          <w:tcPr>
            <w:tcW w:w="1418" w:type="dxa"/>
            <w:tcBorders>
              <w:top w:val="nil"/>
              <w:left w:val="nil"/>
              <w:bottom w:val="single" w:sz="8" w:space="0" w:color="000000"/>
              <w:right w:val="single" w:sz="8" w:space="0" w:color="000000"/>
            </w:tcBorders>
            <w:shd w:val="clear" w:color="auto" w:fill="auto"/>
            <w:noWrap/>
            <w:vAlign w:val="center"/>
            <w:hideMark/>
          </w:tcPr>
          <w:p w14:paraId="7788B873"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6D0445" w:rsidRPr="006D0445" w14:paraId="0C8FF9DC"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01B9319C"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8</w:t>
            </w:r>
          </w:p>
        </w:tc>
        <w:tc>
          <w:tcPr>
            <w:tcW w:w="6173" w:type="dxa"/>
            <w:tcBorders>
              <w:top w:val="nil"/>
              <w:left w:val="nil"/>
              <w:bottom w:val="single" w:sz="8" w:space="0" w:color="000000"/>
              <w:right w:val="single" w:sz="8" w:space="0" w:color="000000"/>
            </w:tcBorders>
            <w:shd w:val="clear" w:color="auto" w:fill="auto"/>
            <w:noWrap/>
            <w:vAlign w:val="center"/>
            <w:hideMark/>
          </w:tcPr>
          <w:p w14:paraId="38B0E738" w14:textId="77777777" w:rsidR="00BE07DD" w:rsidRPr="006D0445" w:rsidRDefault="00BE07DD" w:rsidP="00B74283">
            <w:pPr>
              <w:spacing w:after="0" w:line="240" w:lineRule="auto"/>
              <w:jc w:val="left"/>
              <w:rPr>
                <w:rFonts w:eastAsia="Times New Roman"/>
                <w:color w:val="767171"/>
                <w:sz w:val="22"/>
                <w:szCs w:val="22"/>
              </w:rPr>
            </w:pPr>
            <w:r w:rsidRPr="006D0445">
              <w:rPr>
                <w:rFonts w:eastAsia="Times New Roman"/>
                <w:color w:val="767171"/>
                <w:sz w:val="22"/>
                <w:szCs w:val="22"/>
              </w:rPr>
              <w:t>Procedimiento Pago de Nómina de la SIE</w:t>
            </w:r>
          </w:p>
        </w:tc>
        <w:tc>
          <w:tcPr>
            <w:tcW w:w="1418" w:type="dxa"/>
            <w:tcBorders>
              <w:top w:val="nil"/>
              <w:left w:val="nil"/>
              <w:bottom w:val="single" w:sz="8" w:space="0" w:color="000000"/>
              <w:right w:val="single" w:sz="8" w:space="0" w:color="000000"/>
            </w:tcBorders>
            <w:shd w:val="clear" w:color="auto" w:fill="auto"/>
            <w:noWrap/>
            <w:vAlign w:val="center"/>
            <w:hideMark/>
          </w:tcPr>
          <w:p w14:paraId="75A31600" w14:textId="77777777" w:rsidR="00BE07DD" w:rsidRPr="006D0445" w:rsidRDefault="00BE07DD" w:rsidP="00B74283">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EA22E0B"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002060"/>
            <w:noWrap/>
            <w:vAlign w:val="center"/>
          </w:tcPr>
          <w:p w14:paraId="78591A31" w14:textId="40CD66A5" w:rsidR="00393C5F" w:rsidRPr="006D0445" w:rsidRDefault="00393C5F" w:rsidP="00393C5F">
            <w:pPr>
              <w:spacing w:after="0" w:line="240" w:lineRule="auto"/>
              <w:jc w:val="center"/>
              <w:rPr>
                <w:rFonts w:eastAsia="Times New Roman"/>
                <w:color w:val="767171"/>
                <w:sz w:val="22"/>
                <w:szCs w:val="22"/>
              </w:rPr>
            </w:pPr>
            <w:r w:rsidRPr="00C448FD">
              <w:rPr>
                <w:rFonts w:eastAsia="Times New Roman"/>
                <w:b/>
                <w:bCs/>
                <w:color w:val="FFFFFF" w:themeColor="background1"/>
              </w:rPr>
              <w:t>No.</w:t>
            </w:r>
          </w:p>
        </w:tc>
        <w:tc>
          <w:tcPr>
            <w:tcW w:w="6173" w:type="dxa"/>
            <w:tcBorders>
              <w:top w:val="nil"/>
              <w:left w:val="nil"/>
              <w:bottom w:val="single" w:sz="8" w:space="0" w:color="000000"/>
              <w:right w:val="single" w:sz="8" w:space="0" w:color="000000"/>
            </w:tcBorders>
            <w:shd w:val="clear" w:color="auto" w:fill="002060"/>
            <w:noWrap/>
            <w:vAlign w:val="center"/>
          </w:tcPr>
          <w:p w14:paraId="0D4EB481" w14:textId="22E79B6A" w:rsidR="00393C5F" w:rsidRPr="006D0445" w:rsidRDefault="00393C5F" w:rsidP="00955F96">
            <w:pPr>
              <w:spacing w:after="0" w:line="240" w:lineRule="auto"/>
              <w:jc w:val="center"/>
              <w:rPr>
                <w:rFonts w:eastAsia="Times New Roman"/>
                <w:color w:val="767171"/>
                <w:sz w:val="22"/>
                <w:szCs w:val="22"/>
              </w:rPr>
            </w:pPr>
            <w:r w:rsidRPr="00C448FD">
              <w:rPr>
                <w:rFonts w:eastAsia="Times New Roman"/>
                <w:b/>
                <w:bCs/>
                <w:color w:val="FFFFFF" w:themeColor="background1"/>
              </w:rPr>
              <w:t>Procedimientos Aprobados</w:t>
            </w:r>
          </w:p>
        </w:tc>
        <w:tc>
          <w:tcPr>
            <w:tcW w:w="1418" w:type="dxa"/>
            <w:tcBorders>
              <w:top w:val="nil"/>
              <w:left w:val="nil"/>
              <w:bottom w:val="single" w:sz="8" w:space="0" w:color="000000"/>
              <w:right w:val="single" w:sz="8" w:space="0" w:color="000000"/>
            </w:tcBorders>
            <w:shd w:val="clear" w:color="auto" w:fill="002060"/>
            <w:noWrap/>
            <w:vAlign w:val="center"/>
          </w:tcPr>
          <w:p w14:paraId="1F6F5F27" w14:textId="2A41F253" w:rsidR="00393C5F" w:rsidRPr="006D0445" w:rsidRDefault="00393C5F" w:rsidP="00393C5F">
            <w:pPr>
              <w:spacing w:after="0" w:line="240" w:lineRule="auto"/>
              <w:jc w:val="center"/>
              <w:rPr>
                <w:rFonts w:eastAsia="Times New Roman"/>
                <w:color w:val="767171"/>
                <w:sz w:val="22"/>
                <w:szCs w:val="22"/>
              </w:rPr>
            </w:pPr>
            <w:r w:rsidRPr="00C448FD">
              <w:rPr>
                <w:rFonts w:eastAsia="Times New Roman"/>
                <w:b/>
                <w:bCs/>
                <w:color w:val="FFFFFF" w:themeColor="background1"/>
              </w:rPr>
              <w:t>Estado</w:t>
            </w:r>
          </w:p>
        </w:tc>
      </w:tr>
      <w:tr w:rsidR="00393C5F" w:rsidRPr="006D0445" w14:paraId="148547F4"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0A712A24"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9</w:t>
            </w:r>
          </w:p>
        </w:tc>
        <w:tc>
          <w:tcPr>
            <w:tcW w:w="6173" w:type="dxa"/>
            <w:tcBorders>
              <w:top w:val="nil"/>
              <w:left w:val="nil"/>
              <w:bottom w:val="single" w:sz="8" w:space="0" w:color="000000"/>
              <w:right w:val="single" w:sz="8" w:space="0" w:color="000000"/>
            </w:tcBorders>
            <w:shd w:val="clear" w:color="auto" w:fill="auto"/>
            <w:noWrap/>
            <w:vAlign w:val="center"/>
            <w:hideMark/>
          </w:tcPr>
          <w:p w14:paraId="326A69EA"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 xml:space="preserve">Procedimiento de Cobertura de Puestos de la Superintendencia de Electricidad </w:t>
            </w:r>
          </w:p>
        </w:tc>
        <w:tc>
          <w:tcPr>
            <w:tcW w:w="1418" w:type="dxa"/>
            <w:tcBorders>
              <w:top w:val="nil"/>
              <w:left w:val="nil"/>
              <w:bottom w:val="single" w:sz="8" w:space="0" w:color="000000"/>
              <w:right w:val="single" w:sz="8" w:space="0" w:color="000000"/>
            </w:tcBorders>
            <w:shd w:val="clear" w:color="auto" w:fill="auto"/>
            <w:noWrap/>
            <w:vAlign w:val="center"/>
            <w:hideMark/>
          </w:tcPr>
          <w:p w14:paraId="376E10BF"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452D1FC7"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82629F1"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10</w:t>
            </w:r>
          </w:p>
        </w:tc>
        <w:tc>
          <w:tcPr>
            <w:tcW w:w="6173" w:type="dxa"/>
            <w:tcBorders>
              <w:top w:val="nil"/>
              <w:left w:val="nil"/>
              <w:bottom w:val="single" w:sz="8" w:space="0" w:color="000000"/>
              <w:right w:val="single" w:sz="8" w:space="0" w:color="000000"/>
            </w:tcBorders>
            <w:shd w:val="clear" w:color="auto" w:fill="auto"/>
            <w:noWrap/>
            <w:vAlign w:val="center"/>
            <w:hideMark/>
          </w:tcPr>
          <w:p w14:paraId="4B23D545"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Procedimiento para la Elaboración y Mantenimiento de Documentos</w:t>
            </w:r>
          </w:p>
        </w:tc>
        <w:tc>
          <w:tcPr>
            <w:tcW w:w="1418" w:type="dxa"/>
            <w:tcBorders>
              <w:top w:val="nil"/>
              <w:left w:val="nil"/>
              <w:bottom w:val="single" w:sz="8" w:space="0" w:color="000000"/>
              <w:right w:val="single" w:sz="8" w:space="0" w:color="000000"/>
            </w:tcBorders>
            <w:shd w:val="clear" w:color="auto" w:fill="auto"/>
            <w:noWrap/>
            <w:vAlign w:val="center"/>
            <w:hideMark/>
          </w:tcPr>
          <w:p w14:paraId="38B9A649"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28A57F57"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F28E64A"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11</w:t>
            </w:r>
          </w:p>
        </w:tc>
        <w:tc>
          <w:tcPr>
            <w:tcW w:w="6173" w:type="dxa"/>
            <w:tcBorders>
              <w:top w:val="nil"/>
              <w:left w:val="nil"/>
              <w:bottom w:val="single" w:sz="8" w:space="0" w:color="000000"/>
              <w:right w:val="single" w:sz="8" w:space="0" w:color="000000"/>
            </w:tcBorders>
            <w:shd w:val="clear" w:color="auto" w:fill="auto"/>
            <w:noWrap/>
            <w:vAlign w:val="center"/>
            <w:hideMark/>
          </w:tcPr>
          <w:p w14:paraId="0F178C4A"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Procedimiento de Capacitación, Desarrollo y Promoción de Estudios</w:t>
            </w:r>
          </w:p>
        </w:tc>
        <w:tc>
          <w:tcPr>
            <w:tcW w:w="1418" w:type="dxa"/>
            <w:tcBorders>
              <w:top w:val="nil"/>
              <w:left w:val="nil"/>
              <w:bottom w:val="single" w:sz="8" w:space="0" w:color="000000"/>
              <w:right w:val="single" w:sz="8" w:space="0" w:color="000000"/>
            </w:tcBorders>
            <w:shd w:val="clear" w:color="auto" w:fill="auto"/>
            <w:noWrap/>
            <w:vAlign w:val="center"/>
            <w:hideMark/>
          </w:tcPr>
          <w:p w14:paraId="156D9979"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3DD9446"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012F1E9"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12</w:t>
            </w:r>
          </w:p>
        </w:tc>
        <w:tc>
          <w:tcPr>
            <w:tcW w:w="6173" w:type="dxa"/>
            <w:tcBorders>
              <w:top w:val="nil"/>
              <w:left w:val="nil"/>
              <w:bottom w:val="single" w:sz="8" w:space="0" w:color="000000"/>
              <w:right w:val="single" w:sz="8" w:space="0" w:color="000000"/>
            </w:tcBorders>
            <w:shd w:val="clear" w:color="auto" w:fill="auto"/>
            <w:noWrap/>
            <w:vAlign w:val="center"/>
            <w:hideMark/>
          </w:tcPr>
          <w:p w14:paraId="21D77886"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Procedimiento del Plan Estratégico Institucional y Plan Operativo Anual</w:t>
            </w:r>
          </w:p>
        </w:tc>
        <w:tc>
          <w:tcPr>
            <w:tcW w:w="1418" w:type="dxa"/>
            <w:tcBorders>
              <w:top w:val="nil"/>
              <w:left w:val="nil"/>
              <w:bottom w:val="single" w:sz="8" w:space="0" w:color="000000"/>
              <w:right w:val="single" w:sz="8" w:space="0" w:color="000000"/>
            </w:tcBorders>
            <w:shd w:val="clear" w:color="auto" w:fill="auto"/>
            <w:noWrap/>
            <w:vAlign w:val="center"/>
            <w:hideMark/>
          </w:tcPr>
          <w:p w14:paraId="62377057"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EB5CDE8" w14:textId="77777777" w:rsidTr="00795A10">
        <w:trPr>
          <w:trHeight w:val="300"/>
        </w:trPr>
        <w:tc>
          <w:tcPr>
            <w:tcW w:w="494" w:type="dxa"/>
            <w:tcBorders>
              <w:top w:val="nil"/>
              <w:left w:val="single" w:sz="8" w:space="0" w:color="auto"/>
              <w:bottom w:val="single" w:sz="8" w:space="0" w:color="auto"/>
              <w:right w:val="single" w:sz="8" w:space="0" w:color="auto"/>
            </w:tcBorders>
            <w:shd w:val="clear" w:color="000000" w:fill="011C50"/>
            <w:noWrap/>
            <w:vAlign w:val="center"/>
            <w:hideMark/>
          </w:tcPr>
          <w:p w14:paraId="668DECA9"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nil"/>
              <w:left w:val="nil"/>
              <w:bottom w:val="single" w:sz="8" w:space="0" w:color="auto"/>
              <w:right w:val="single" w:sz="8" w:space="0" w:color="auto"/>
            </w:tcBorders>
            <w:shd w:val="clear" w:color="000000" w:fill="011C50"/>
            <w:noWrap/>
            <w:vAlign w:val="center"/>
            <w:hideMark/>
          </w:tcPr>
          <w:p w14:paraId="6DBD082D"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Instructivos Aprobados</w:t>
            </w:r>
          </w:p>
        </w:tc>
        <w:tc>
          <w:tcPr>
            <w:tcW w:w="1418" w:type="dxa"/>
            <w:tcBorders>
              <w:top w:val="nil"/>
              <w:left w:val="nil"/>
              <w:bottom w:val="single" w:sz="8" w:space="0" w:color="auto"/>
              <w:right w:val="single" w:sz="8" w:space="0" w:color="auto"/>
            </w:tcBorders>
            <w:shd w:val="clear" w:color="000000" w:fill="011C50"/>
            <w:noWrap/>
            <w:vAlign w:val="center"/>
            <w:hideMark/>
          </w:tcPr>
          <w:p w14:paraId="07EF9F10"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393C5F" w:rsidRPr="006D0445" w14:paraId="74104622"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FA8ED62"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single" w:sz="8" w:space="0" w:color="000000"/>
              <w:right w:val="single" w:sz="8" w:space="0" w:color="000000"/>
            </w:tcBorders>
            <w:shd w:val="clear" w:color="auto" w:fill="auto"/>
            <w:noWrap/>
            <w:vAlign w:val="center"/>
            <w:hideMark/>
          </w:tcPr>
          <w:p w14:paraId="3EA7B9F8"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Instructivo para la Selección de Peritos y sus Funciones</w:t>
            </w:r>
          </w:p>
        </w:tc>
        <w:tc>
          <w:tcPr>
            <w:tcW w:w="1418" w:type="dxa"/>
            <w:tcBorders>
              <w:top w:val="nil"/>
              <w:left w:val="nil"/>
              <w:bottom w:val="single" w:sz="8" w:space="0" w:color="000000"/>
              <w:right w:val="single" w:sz="8" w:space="0" w:color="000000"/>
            </w:tcBorders>
            <w:shd w:val="clear" w:color="auto" w:fill="auto"/>
            <w:noWrap/>
            <w:vAlign w:val="center"/>
            <w:hideMark/>
          </w:tcPr>
          <w:p w14:paraId="43963230"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1D0312BB"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2F5F795E"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2</w:t>
            </w:r>
          </w:p>
        </w:tc>
        <w:tc>
          <w:tcPr>
            <w:tcW w:w="6173" w:type="dxa"/>
            <w:tcBorders>
              <w:top w:val="nil"/>
              <w:left w:val="nil"/>
              <w:bottom w:val="single" w:sz="8" w:space="0" w:color="000000"/>
              <w:right w:val="single" w:sz="8" w:space="0" w:color="000000"/>
            </w:tcBorders>
            <w:shd w:val="clear" w:color="auto" w:fill="auto"/>
            <w:noWrap/>
            <w:vAlign w:val="center"/>
            <w:hideMark/>
          </w:tcPr>
          <w:p w14:paraId="7CBFDE17"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Instructivo para la Codificación de Documentos</w:t>
            </w:r>
          </w:p>
        </w:tc>
        <w:tc>
          <w:tcPr>
            <w:tcW w:w="1418" w:type="dxa"/>
            <w:tcBorders>
              <w:top w:val="nil"/>
              <w:left w:val="nil"/>
              <w:bottom w:val="single" w:sz="8" w:space="0" w:color="000000"/>
              <w:right w:val="single" w:sz="8" w:space="0" w:color="000000"/>
            </w:tcBorders>
            <w:shd w:val="clear" w:color="auto" w:fill="auto"/>
            <w:noWrap/>
            <w:vAlign w:val="center"/>
            <w:hideMark/>
          </w:tcPr>
          <w:p w14:paraId="67B81B7A"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29DB957B" w14:textId="77777777" w:rsidTr="00795A10">
        <w:trPr>
          <w:trHeight w:val="300"/>
        </w:trPr>
        <w:tc>
          <w:tcPr>
            <w:tcW w:w="494" w:type="dxa"/>
            <w:tcBorders>
              <w:top w:val="nil"/>
              <w:left w:val="single" w:sz="8" w:space="0" w:color="auto"/>
              <w:bottom w:val="single" w:sz="8" w:space="0" w:color="auto"/>
              <w:right w:val="single" w:sz="8" w:space="0" w:color="auto"/>
            </w:tcBorders>
            <w:shd w:val="clear" w:color="000000" w:fill="011C50"/>
            <w:noWrap/>
            <w:vAlign w:val="center"/>
            <w:hideMark/>
          </w:tcPr>
          <w:p w14:paraId="19F249A2"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nil"/>
              <w:left w:val="nil"/>
              <w:bottom w:val="single" w:sz="8" w:space="0" w:color="auto"/>
              <w:right w:val="single" w:sz="8" w:space="0" w:color="auto"/>
            </w:tcBorders>
            <w:shd w:val="clear" w:color="000000" w:fill="011C50"/>
            <w:noWrap/>
            <w:vAlign w:val="center"/>
            <w:hideMark/>
          </w:tcPr>
          <w:p w14:paraId="7EFF7A14"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Formularios Aprobados</w:t>
            </w:r>
          </w:p>
        </w:tc>
        <w:tc>
          <w:tcPr>
            <w:tcW w:w="1418" w:type="dxa"/>
            <w:tcBorders>
              <w:top w:val="nil"/>
              <w:left w:val="nil"/>
              <w:bottom w:val="single" w:sz="8" w:space="0" w:color="auto"/>
              <w:right w:val="single" w:sz="8" w:space="0" w:color="auto"/>
            </w:tcBorders>
            <w:shd w:val="clear" w:color="000000" w:fill="011C50"/>
            <w:noWrap/>
            <w:vAlign w:val="center"/>
            <w:hideMark/>
          </w:tcPr>
          <w:p w14:paraId="29FB543E" w14:textId="77777777" w:rsidR="00393C5F" w:rsidRPr="00C448FD" w:rsidRDefault="00393C5F" w:rsidP="00393C5F">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393C5F" w:rsidRPr="006D0445" w14:paraId="19322CA4" w14:textId="77777777" w:rsidTr="00795A10">
        <w:trPr>
          <w:trHeight w:val="645"/>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68026A0C"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single" w:sz="8" w:space="0" w:color="000000"/>
              <w:right w:val="single" w:sz="8" w:space="0" w:color="000000"/>
            </w:tcBorders>
            <w:shd w:val="clear" w:color="auto" w:fill="auto"/>
            <w:vAlign w:val="center"/>
            <w:hideMark/>
          </w:tcPr>
          <w:p w14:paraId="3FAB2A72"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Solicitud de Cambio Licencia SIE de Técnico Electricista </w:t>
            </w:r>
            <w:r w:rsidRPr="006D0445">
              <w:rPr>
                <w:rFonts w:eastAsia="Times New Roman"/>
                <w:color w:val="767171"/>
                <w:sz w:val="22"/>
                <w:szCs w:val="22"/>
              </w:rPr>
              <w:br/>
              <w:t>o Auxiliar a Nivel Superior</w:t>
            </w:r>
          </w:p>
        </w:tc>
        <w:tc>
          <w:tcPr>
            <w:tcW w:w="1418" w:type="dxa"/>
            <w:tcBorders>
              <w:top w:val="nil"/>
              <w:left w:val="nil"/>
              <w:bottom w:val="single" w:sz="8" w:space="0" w:color="000000"/>
              <w:right w:val="single" w:sz="8" w:space="0" w:color="000000"/>
            </w:tcBorders>
            <w:shd w:val="clear" w:color="auto" w:fill="auto"/>
            <w:noWrap/>
            <w:vAlign w:val="center"/>
            <w:hideMark/>
          </w:tcPr>
          <w:p w14:paraId="24883A52"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6720E9DC" w14:textId="77777777" w:rsidTr="00795A10">
        <w:trPr>
          <w:trHeight w:val="57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34E742AE"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2</w:t>
            </w:r>
          </w:p>
        </w:tc>
        <w:tc>
          <w:tcPr>
            <w:tcW w:w="6173" w:type="dxa"/>
            <w:tcBorders>
              <w:top w:val="nil"/>
              <w:left w:val="nil"/>
              <w:bottom w:val="single" w:sz="8" w:space="0" w:color="000000"/>
              <w:right w:val="single" w:sz="8" w:space="0" w:color="000000"/>
            </w:tcBorders>
            <w:shd w:val="clear" w:color="auto" w:fill="auto"/>
            <w:vAlign w:val="center"/>
            <w:hideMark/>
          </w:tcPr>
          <w:p w14:paraId="26F5E268"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Reclamación de Inconformidad por Servicio Prestado por Titular de </w:t>
            </w:r>
            <w:r w:rsidRPr="006D0445">
              <w:rPr>
                <w:rFonts w:eastAsia="Times New Roman"/>
                <w:color w:val="767171"/>
                <w:sz w:val="22"/>
                <w:szCs w:val="22"/>
              </w:rPr>
              <w:br/>
              <w:t>Licencia SIE de Técnico Electricista o Auxiliar</w:t>
            </w:r>
          </w:p>
        </w:tc>
        <w:tc>
          <w:tcPr>
            <w:tcW w:w="1418" w:type="dxa"/>
            <w:tcBorders>
              <w:top w:val="nil"/>
              <w:left w:val="nil"/>
              <w:bottom w:val="single" w:sz="8" w:space="0" w:color="000000"/>
              <w:right w:val="single" w:sz="8" w:space="0" w:color="000000"/>
            </w:tcBorders>
            <w:shd w:val="clear" w:color="auto" w:fill="auto"/>
            <w:noWrap/>
            <w:vAlign w:val="center"/>
            <w:hideMark/>
          </w:tcPr>
          <w:p w14:paraId="41FB776A"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5C4E7ECF" w14:textId="77777777" w:rsidTr="00795A10">
        <w:trPr>
          <w:trHeight w:val="63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4B87A48"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3</w:t>
            </w:r>
          </w:p>
        </w:tc>
        <w:tc>
          <w:tcPr>
            <w:tcW w:w="6173" w:type="dxa"/>
            <w:tcBorders>
              <w:top w:val="nil"/>
              <w:left w:val="nil"/>
              <w:bottom w:val="single" w:sz="8" w:space="0" w:color="000000"/>
              <w:right w:val="single" w:sz="8" w:space="0" w:color="000000"/>
            </w:tcBorders>
            <w:shd w:val="clear" w:color="auto" w:fill="auto"/>
            <w:vAlign w:val="center"/>
            <w:hideMark/>
          </w:tcPr>
          <w:p w14:paraId="6438026E"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Solicitud de Licencia SIE para Ejercer como </w:t>
            </w:r>
            <w:r w:rsidRPr="006D0445">
              <w:rPr>
                <w:rFonts w:eastAsia="Times New Roman"/>
                <w:color w:val="767171"/>
                <w:sz w:val="22"/>
                <w:szCs w:val="22"/>
              </w:rPr>
              <w:br/>
              <w:t>Técnico Electricista o Auxiliar</w:t>
            </w:r>
          </w:p>
        </w:tc>
        <w:tc>
          <w:tcPr>
            <w:tcW w:w="1418" w:type="dxa"/>
            <w:tcBorders>
              <w:top w:val="nil"/>
              <w:left w:val="nil"/>
              <w:bottom w:val="single" w:sz="8" w:space="0" w:color="000000"/>
              <w:right w:val="single" w:sz="8" w:space="0" w:color="000000"/>
            </w:tcBorders>
            <w:shd w:val="clear" w:color="auto" w:fill="auto"/>
            <w:noWrap/>
            <w:vAlign w:val="center"/>
            <w:hideMark/>
          </w:tcPr>
          <w:p w14:paraId="53C233EA"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67F1AC6" w14:textId="77777777" w:rsidTr="00795A10">
        <w:trPr>
          <w:trHeight w:val="63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4A63AD21"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4</w:t>
            </w:r>
          </w:p>
        </w:tc>
        <w:tc>
          <w:tcPr>
            <w:tcW w:w="6173" w:type="dxa"/>
            <w:tcBorders>
              <w:top w:val="nil"/>
              <w:left w:val="nil"/>
              <w:bottom w:val="single" w:sz="8" w:space="0" w:color="000000"/>
              <w:right w:val="single" w:sz="8" w:space="0" w:color="000000"/>
            </w:tcBorders>
            <w:shd w:val="clear" w:color="auto" w:fill="auto"/>
            <w:vAlign w:val="center"/>
            <w:hideMark/>
          </w:tcPr>
          <w:p w14:paraId="6CF5B456"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Solicitud de Duplicado o Renovación de Licencia SIE </w:t>
            </w:r>
            <w:r w:rsidRPr="006D0445">
              <w:rPr>
                <w:rFonts w:eastAsia="Times New Roman"/>
                <w:color w:val="767171"/>
                <w:sz w:val="22"/>
                <w:szCs w:val="22"/>
              </w:rPr>
              <w:br/>
              <w:t>Técnico Electricista o Auxiliar</w:t>
            </w:r>
          </w:p>
        </w:tc>
        <w:tc>
          <w:tcPr>
            <w:tcW w:w="1418" w:type="dxa"/>
            <w:tcBorders>
              <w:top w:val="nil"/>
              <w:left w:val="nil"/>
              <w:bottom w:val="single" w:sz="8" w:space="0" w:color="000000"/>
              <w:right w:val="single" w:sz="8" w:space="0" w:color="000000"/>
            </w:tcBorders>
            <w:shd w:val="clear" w:color="auto" w:fill="auto"/>
            <w:noWrap/>
            <w:vAlign w:val="center"/>
            <w:hideMark/>
          </w:tcPr>
          <w:p w14:paraId="29142FEB"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448984B"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532CD95"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5</w:t>
            </w:r>
          </w:p>
        </w:tc>
        <w:tc>
          <w:tcPr>
            <w:tcW w:w="6173" w:type="dxa"/>
            <w:tcBorders>
              <w:top w:val="nil"/>
              <w:left w:val="nil"/>
              <w:bottom w:val="single" w:sz="8" w:space="0" w:color="000000"/>
              <w:right w:val="single" w:sz="8" w:space="0" w:color="000000"/>
            </w:tcBorders>
            <w:shd w:val="clear" w:color="auto" w:fill="auto"/>
            <w:noWrap/>
            <w:vAlign w:val="center"/>
            <w:hideMark/>
          </w:tcPr>
          <w:p w14:paraId="1905BB0D"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Formulario Solicitud y Cambio de Equipos de Comunicación Móvil</w:t>
            </w:r>
          </w:p>
        </w:tc>
        <w:tc>
          <w:tcPr>
            <w:tcW w:w="1418" w:type="dxa"/>
            <w:tcBorders>
              <w:top w:val="nil"/>
              <w:left w:val="nil"/>
              <w:bottom w:val="single" w:sz="8" w:space="0" w:color="000000"/>
              <w:right w:val="single" w:sz="8" w:space="0" w:color="000000"/>
            </w:tcBorders>
            <w:shd w:val="clear" w:color="auto" w:fill="auto"/>
            <w:noWrap/>
            <w:vAlign w:val="center"/>
            <w:hideMark/>
          </w:tcPr>
          <w:p w14:paraId="0BE5A71C"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6D9DDFBA"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00734C8"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6</w:t>
            </w:r>
          </w:p>
        </w:tc>
        <w:tc>
          <w:tcPr>
            <w:tcW w:w="6173" w:type="dxa"/>
            <w:tcBorders>
              <w:top w:val="nil"/>
              <w:left w:val="nil"/>
              <w:bottom w:val="single" w:sz="8" w:space="0" w:color="000000"/>
              <w:right w:val="single" w:sz="8" w:space="0" w:color="000000"/>
            </w:tcBorders>
            <w:shd w:val="clear" w:color="auto" w:fill="auto"/>
            <w:noWrap/>
            <w:vAlign w:val="center"/>
            <w:hideMark/>
          </w:tcPr>
          <w:p w14:paraId="5F80DE0E"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Formulario de Asignación y Descargo de Equipos de Comunicación </w:t>
            </w:r>
          </w:p>
        </w:tc>
        <w:tc>
          <w:tcPr>
            <w:tcW w:w="1418" w:type="dxa"/>
            <w:tcBorders>
              <w:top w:val="nil"/>
              <w:left w:val="nil"/>
              <w:bottom w:val="single" w:sz="8" w:space="0" w:color="000000"/>
              <w:right w:val="single" w:sz="8" w:space="0" w:color="000000"/>
            </w:tcBorders>
            <w:shd w:val="clear" w:color="auto" w:fill="auto"/>
            <w:noWrap/>
            <w:vAlign w:val="center"/>
            <w:hideMark/>
          </w:tcPr>
          <w:p w14:paraId="6DD3B399"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2FB8A968"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C9CD92E"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7</w:t>
            </w:r>
          </w:p>
        </w:tc>
        <w:tc>
          <w:tcPr>
            <w:tcW w:w="6173" w:type="dxa"/>
            <w:tcBorders>
              <w:top w:val="nil"/>
              <w:left w:val="nil"/>
              <w:bottom w:val="single" w:sz="8" w:space="0" w:color="000000"/>
              <w:right w:val="single" w:sz="8" w:space="0" w:color="000000"/>
            </w:tcBorders>
            <w:shd w:val="clear" w:color="auto" w:fill="auto"/>
            <w:noWrap/>
            <w:vAlign w:val="center"/>
            <w:hideMark/>
          </w:tcPr>
          <w:p w14:paraId="0844A83C"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Formulario Inventario de Equipos de Telecomunicaciones</w:t>
            </w:r>
          </w:p>
        </w:tc>
        <w:tc>
          <w:tcPr>
            <w:tcW w:w="1418" w:type="dxa"/>
            <w:tcBorders>
              <w:top w:val="nil"/>
              <w:left w:val="nil"/>
              <w:bottom w:val="single" w:sz="8" w:space="0" w:color="000000"/>
              <w:right w:val="single" w:sz="8" w:space="0" w:color="000000"/>
            </w:tcBorders>
            <w:shd w:val="clear" w:color="auto" w:fill="auto"/>
            <w:noWrap/>
            <w:vAlign w:val="center"/>
            <w:hideMark/>
          </w:tcPr>
          <w:p w14:paraId="4CF6B633"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69082BA5"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A47BD51"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8</w:t>
            </w:r>
          </w:p>
        </w:tc>
        <w:tc>
          <w:tcPr>
            <w:tcW w:w="6173" w:type="dxa"/>
            <w:tcBorders>
              <w:top w:val="nil"/>
              <w:left w:val="nil"/>
              <w:bottom w:val="single" w:sz="8" w:space="0" w:color="000000"/>
              <w:right w:val="single" w:sz="8" w:space="0" w:color="000000"/>
            </w:tcBorders>
            <w:shd w:val="clear" w:color="auto" w:fill="auto"/>
            <w:noWrap/>
            <w:vAlign w:val="center"/>
            <w:hideMark/>
          </w:tcPr>
          <w:p w14:paraId="0D36B1A8"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Formulario Plan Operativo Anual</w:t>
            </w:r>
          </w:p>
        </w:tc>
        <w:tc>
          <w:tcPr>
            <w:tcW w:w="1418" w:type="dxa"/>
            <w:tcBorders>
              <w:top w:val="nil"/>
              <w:left w:val="nil"/>
              <w:bottom w:val="single" w:sz="8" w:space="0" w:color="000000"/>
              <w:right w:val="single" w:sz="8" w:space="0" w:color="000000"/>
            </w:tcBorders>
            <w:shd w:val="clear" w:color="auto" w:fill="auto"/>
            <w:noWrap/>
            <w:vAlign w:val="center"/>
            <w:hideMark/>
          </w:tcPr>
          <w:p w14:paraId="064A3CB9"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393C5F" w:rsidRPr="006D0445" w14:paraId="02E97C3D"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97F39BF"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9</w:t>
            </w:r>
          </w:p>
        </w:tc>
        <w:tc>
          <w:tcPr>
            <w:tcW w:w="6173" w:type="dxa"/>
            <w:tcBorders>
              <w:top w:val="nil"/>
              <w:left w:val="nil"/>
              <w:bottom w:val="single" w:sz="8" w:space="0" w:color="000000"/>
              <w:right w:val="single" w:sz="8" w:space="0" w:color="000000"/>
            </w:tcBorders>
            <w:shd w:val="clear" w:color="auto" w:fill="auto"/>
            <w:noWrap/>
            <w:vAlign w:val="center"/>
            <w:hideMark/>
          </w:tcPr>
          <w:p w14:paraId="20D7484E" w14:textId="77777777" w:rsidR="00393C5F" w:rsidRPr="006D0445" w:rsidRDefault="00393C5F" w:rsidP="00393C5F">
            <w:pPr>
              <w:spacing w:after="0" w:line="240" w:lineRule="auto"/>
              <w:jc w:val="left"/>
              <w:rPr>
                <w:rFonts w:eastAsia="Times New Roman"/>
                <w:color w:val="767171"/>
                <w:sz w:val="22"/>
                <w:szCs w:val="22"/>
              </w:rPr>
            </w:pPr>
            <w:r w:rsidRPr="006D0445">
              <w:rPr>
                <w:rFonts w:eastAsia="Times New Roman"/>
                <w:color w:val="767171"/>
                <w:sz w:val="22"/>
                <w:szCs w:val="22"/>
              </w:rPr>
              <w:t>Formulario para Solicitud de Cambio de Producto POA</w:t>
            </w:r>
          </w:p>
        </w:tc>
        <w:tc>
          <w:tcPr>
            <w:tcW w:w="1418" w:type="dxa"/>
            <w:tcBorders>
              <w:top w:val="nil"/>
              <w:left w:val="nil"/>
              <w:bottom w:val="single" w:sz="8" w:space="0" w:color="000000"/>
              <w:right w:val="single" w:sz="8" w:space="0" w:color="000000"/>
            </w:tcBorders>
            <w:shd w:val="clear" w:color="auto" w:fill="auto"/>
            <w:noWrap/>
            <w:vAlign w:val="center"/>
            <w:hideMark/>
          </w:tcPr>
          <w:p w14:paraId="7DFD8BCF" w14:textId="77777777" w:rsidR="00393C5F" w:rsidRPr="006D0445" w:rsidRDefault="00393C5F" w:rsidP="00393C5F">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bl>
    <w:p w14:paraId="1F9FCAF5" w14:textId="77777777" w:rsidR="00BD03A8" w:rsidRDefault="00BD03A8">
      <w:pPr>
        <w:spacing w:line="259" w:lineRule="auto"/>
        <w:jc w:val="left"/>
      </w:pPr>
      <w:r>
        <w:br w:type="page"/>
      </w:r>
    </w:p>
    <w:tbl>
      <w:tblPr>
        <w:tblW w:w="8085" w:type="dxa"/>
        <w:tblInd w:w="-10" w:type="dxa"/>
        <w:tblCellMar>
          <w:left w:w="70" w:type="dxa"/>
          <w:right w:w="70" w:type="dxa"/>
        </w:tblCellMar>
        <w:tblLook w:val="04A0" w:firstRow="1" w:lastRow="0" w:firstColumn="1" w:lastColumn="0" w:noHBand="0" w:noVBand="1"/>
      </w:tblPr>
      <w:tblGrid>
        <w:gridCol w:w="494"/>
        <w:gridCol w:w="6173"/>
        <w:gridCol w:w="1418"/>
      </w:tblGrid>
      <w:tr w:rsidR="00955F96" w:rsidRPr="006D0445" w14:paraId="20E8BF1A" w14:textId="77777777" w:rsidTr="00C12511">
        <w:trPr>
          <w:trHeight w:val="300"/>
        </w:trPr>
        <w:tc>
          <w:tcPr>
            <w:tcW w:w="8085" w:type="dxa"/>
            <w:gridSpan w:val="3"/>
            <w:tcBorders>
              <w:top w:val="single" w:sz="4" w:space="0" w:color="auto"/>
              <w:left w:val="single" w:sz="4" w:space="0" w:color="auto"/>
              <w:bottom w:val="single" w:sz="4" w:space="0" w:color="auto"/>
              <w:right w:val="single" w:sz="4" w:space="0" w:color="auto"/>
            </w:tcBorders>
            <w:shd w:val="clear" w:color="auto" w:fill="002060"/>
            <w:noWrap/>
            <w:vAlign w:val="center"/>
          </w:tcPr>
          <w:p w14:paraId="76CFE748" w14:textId="60447B6F" w:rsidR="00955F96" w:rsidRPr="00C448FD" w:rsidRDefault="00955F96" w:rsidP="00955F96">
            <w:pPr>
              <w:spacing w:after="0" w:line="240" w:lineRule="auto"/>
              <w:jc w:val="center"/>
              <w:rPr>
                <w:rFonts w:eastAsia="Times New Roman"/>
                <w:b/>
                <w:bCs/>
                <w:color w:val="FFFFFF" w:themeColor="background1"/>
              </w:rPr>
            </w:pPr>
            <w:r w:rsidRPr="00955F96">
              <w:rPr>
                <w:b/>
                <w:bCs/>
                <w:color w:val="FFFFFF" w:themeColor="background1"/>
              </w:rPr>
              <w:lastRenderedPageBreak/>
              <w:t>Documentos y procesos aprobados</w:t>
            </w:r>
          </w:p>
        </w:tc>
      </w:tr>
      <w:tr w:rsidR="00955F96" w:rsidRPr="006D0445" w14:paraId="380CB86B" w14:textId="77777777" w:rsidTr="00BD03A8">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488B620" w14:textId="330A40D1" w:rsidR="00955F96" w:rsidRPr="00C448FD" w:rsidRDefault="00955F96" w:rsidP="00955F96">
            <w:pPr>
              <w:spacing w:after="0" w:line="240" w:lineRule="auto"/>
              <w:jc w:val="center"/>
              <w:rPr>
                <w:rFonts w:eastAsia="Times New Roman"/>
                <w:color w:val="FFFFFF" w:themeColor="background1"/>
                <w:sz w:val="22"/>
                <w:szCs w:val="22"/>
              </w:rPr>
            </w:pPr>
            <w:bookmarkStart w:id="73" w:name="_Hlk185235487"/>
            <w:r w:rsidRPr="00C448FD">
              <w:rPr>
                <w:rFonts w:eastAsia="Times New Roman"/>
                <w:b/>
                <w:bCs/>
                <w:color w:val="FFFFFF" w:themeColor="background1"/>
              </w:rPr>
              <w:t>No.</w:t>
            </w:r>
          </w:p>
        </w:tc>
        <w:tc>
          <w:tcPr>
            <w:tcW w:w="6173"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3BBFD7C5" w14:textId="2B654E65" w:rsidR="00955F96" w:rsidRPr="00C448FD" w:rsidRDefault="00955F96" w:rsidP="00955F96">
            <w:pPr>
              <w:spacing w:after="0" w:line="240" w:lineRule="auto"/>
              <w:jc w:val="center"/>
              <w:rPr>
                <w:rFonts w:eastAsia="Times New Roman"/>
                <w:color w:val="FFFFFF" w:themeColor="background1"/>
                <w:sz w:val="22"/>
                <w:szCs w:val="22"/>
              </w:rPr>
            </w:pPr>
            <w:r w:rsidRPr="00C448FD">
              <w:rPr>
                <w:rFonts w:eastAsia="Times New Roman"/>
                <w:b/>
                <w:bCs/>
                <w:color w:val="FFFFFF" w:themeColor="background1"/>
              </w:rPr>
              <w:t>Formularios Aprobados</w:t>
            </w:r>
          </w:p>
        </w:tc>
        <w:tc>
          <w:tcPr>
            <w:tcW w:w="1418"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49C57B01" w14:textId="687D4292" w:rsidR="00955F96" w:rsidRPr="00C448FD" w:rsidRDefault="00955F96" w:rsidP="00955F96">
            <w:pPr>
              <w:spacing w:after="0" w:line="240" w:lineRule="auto"/>
              <w:jc w:val="center"/>
              <w:rPr>
                <w:rFonts w:eastAsia="Times New Roman"/>
                <w:color w:val="FFFFFF" w:themeColor="background1"/>
                <w:sz w:val="22"/>
                <w:szCs w:val="22"/>
              </w:rPr>
            </w:pPr>
            <w:r w:rsidRPr="00C448FD">
              <w:rPr>
                <w:rFonts w:eastAsia="Times New Roman"/>
                <w:b/>
                <w:bCs/>
                <w:color w:val="FFFFFF" w:themeColor="background1"/>
              </w:rPr>
              <w:t>Estado</w:t>
            </w:r>
          </w:p>
        </w:tc>
      </w:tr>
      <w:bookmarkEnd w:id="73"/>
      <w:tr w:rsidR="00955F96" w:rsidRPr="006D0445" w14:paraId="152E3D46" w14:textId="77777777" w:rsidTr="00BD03A8">
        <w:trPr>
          <w:trHeight w:val="300"/>
        </w:trPr>
        <w:tc>
          <w:tcPr>
            <w:tcW w:w="494"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524FE356"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10</w:t>
            </w:r>
          </w:p>
        </w:tc>
        <w:tc>
          <w:tcPr>
            <w:tcW w:w="6173" w:type="dxa"/>
            <w:tcBorders>
              <w:top w:val="single" w:sz="4" w:space="0" w:color="auto"/>
              <w:left w:val="nil"/>
              <w:bottom w:val="single" w:sz="8" w:space="0" w:color="000000"/>
              <w:right w:val="single" w:sz="8" w:space="0" w:color="000000"/>
            </w:tcBorders>
            <w:shd w:val="clear" w:color="auto" w:fill="auto"/>
            <w:noWrap/>
            <w:vAlign w:val="center"/>
            <w:hideMark/>
          </w:tcPr>
          <w:p w14:paraId="5DD13668"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Acuerdo Compromiso del Plan Operativo Anual (Poa)</w:t>
            </w:r>
          </w:p>
        </w:tc>
        <w:tc>
          <w:tcPr>
            <w:tcW w:w="1418" w:type="dxa"/>
            <w:tcBorders>
              <w:top w:val="single" w:sz="4" w:space="0" w:color="auto"/>
              <w:left w:val="nil"/>
              <w:bottom w:val="single" w:sz="8" w:space="0" w:color="000000"/>
              <w:right w:val="single" w:sz="8" w:space="0" w:color="000000"/>
            </w:tcBorders>
            <w:shd w:val="clear" w:color="auto" w:fill="auto"/>
            <w:noWrap/>
            <w:vAlign w:val="center"/>
            <w:hideMark/>
          </w:tcPr>
          <w:p w14:paraId="3E210E4C"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54A0AF5C"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29F15ABB"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11</w:t>
            </w:r>
          </w:p>
        </w:tc>
        <w:tc>
          <w:tcPr>
            <w:tcW w:w="6173" w:type="dxa"/>
            <w:tcBorders>
              <w:top w:val="nil"/>
              <w:left w:val="nil"/>
              <w:bottom w:val="single" w:sz="8" w:space="0" w:color="000000"/>
              <w:right w:val="single" w:sz="8" w:space="0" w:color="000000"/>
            </w:tcBorders>
            <w:shd w:val="clear" w:color="auto" w:fill="auto"/>
            <w:noWrap/>
            <w:vAlign w:val="center"/>
            <w:hideMark/>
          </w:tcPr>
          <w:p w14:paraId="2B328988"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Gestión de Activo Fijo </w:t>
            </w:r>
          </w:p>
        </w:tc>
        <w:tc>
          <w:tcPr>
            <w:tcW w:w="1418" w:type="dxa"/>
            <w:tcBorders>
              <w:top w:val="nil"/>
              <w:left w:val="nil"/>
              <w:bottom w:val="single" w:sz="8" w:space="0" w:color="000000"/>
              <w:right w:val="single" w:sz="8" w:space="0" w:color="000000"/>
            </w:tcBorders>
            <w:shd w:val="clear" w:color="auto" w:fill="auto"/>
            <w:noWrap/>
            <w:vAlign w:val="center"/>
            <w:hideMark/>
          </w:tcPr>
          <w:p w14:paraId="4CD2F8D4"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1B279398"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33744E2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12</w:t>
            </w:r>
          </w:p>
        </w:tc>
        <w:tc>
          <w:tcPr>
            <w:tcW w:w="6173" w:type="dxa"/>
            <w:tcBorders>
              <w:top w:val="nil"/>
              <w:left w:val="nil"/>
              <w:bottom w:val="single" w:sz="8" w:space="0" w:color="000000"/>
              <w:right w:val="single" w:sz="8" w:space="0" w:color="000000"/>
            </w:tcBorders>
            <w:shd w:val="clear" w:color="auto" w:fill="auto"/>
            <w:noWrap/>
            <w:vAlign w:val="center"/>
            <w:hideMark/>
          </w:tcPr>
          <w:p w14:paraId="0FE770C3"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Debida Diligencia para Proveedores </w:t>
            </w:r>
          </w:p>
        </w:tc>
        <w:tc>
          <w:tcPr>
            <w:tcW w:w="1418" w:type="dxa"/>
            <w:tcBorders>
              <w:top w:val="nil"/>
              <w:left w:val="nil"/>
              <w:bottom w:val="single" w:sz="8" w:space="0" w:color="000000"/>
              <w:right w:val="single" w:sz="8" w:space="0" w:color="000000"/>
            </w:tcBorders>
            <w:shd w:val="clear" w:color="auto" w:fill="auto"/>
            <w:noWrap/>
            <w:vAlign w:val="center"/>
            <w:hideMark/>
          </w:tcPr>
          <w:p w14:paraId="3CDD919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543FC85F"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855EF1B"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13</w:t>
            </w:r>
          </w:p>
        </w:tc>
        <w:tc>
          <w:tcPr>
            <w:tcW w:w="6173" w:type="dxa"/>
            <w:tcBorders>
              <w:top w:val="nil"/>
              <w:left w:val="nil"/>
              <w:bottom w:val="single" w:sz="8" w:space="0" w:color="000000"/>
              <w:right w:val="single" w:sz="8" w:space="0" w:color="000000"/>
            </w:tcBorders>
            <w:shd w:val="clear" w:color="auto" w:fill="auto"/>
            <w:noWrap/>
            <w:vAlign w:val="center"/>
            <w:hideMark/>
          </w:tcPr>
          <w:p w14:paraId="73C2C42F"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de Recepción de Bienes </w:t>
            </w:r>
          </w:p>
        </w:tc>
        <w:tc>
          <w:tcPr>
            <w:tcW w:w="1418" w:type="dxa"/>
            <w:tcBorders>
              <w:top w:val="nil"/>
              <w:left w:val="nil"/>
              <w:bottom w:val="single" w:sz="8" w:space="0" w:color="000000"/>
              <w:right w:val="single" w:sz="8" w:space="0" w:color="000000"/>
            </w:tcBorders>
            <w:shd w:val="clear" w:color="auto" w:fill="auto"/>
            <w:noWrap/>
            <w:vAlign w:val="center"/>
            <w:hideMark/>
          </w:tcPr>
          <w:p w14:paraId="11ED3610"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7097883E"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2DF6C612"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14</w:t>
            </w:r>
          </w:p>
        </w:tc>
        <w:tc>
          <w:tcPr>
            <w:tcW w:w="6173" w:type="dxa"/>
            <w:tcBorders>
              <w:top w:val="nil"/>
              <w:left w:val="nil"/>
              <w:bottom w:val="single" w:sz="8" w:space="0" w:color="000000"/>
              <w:right w:val="single" w:sz="8" w:space="0" w:color="000000"/>
            </w:tcBorders>
            <w:shd w:val="clear" w:color="auto" w:fill="auto"/>
            <w:noWrap/>
            <w:vAlign w:val="center"/>
            <w:hideMark/>
          </w:tcPr>
          <w:p w14:paraId="6F19670B"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Compromiso del Acuerdo de Nivel de Servicio Interno </w:t>
            </w:r>
          </w:p>
        </w:tc>
        <w:tc>
          <w:tcPr>
            <w:tcW w:w="1418" w:type="dxa"/>
            <w:tcBorders>
              <w:top w:val="nil"/>
              <w:left w:val="nil"/>
              <w:bottom w:val="single" w:sz="8" w:space="0" w:color="000000"/>
              <w:right w:val="single" w:sz="8" w:space="0" w:color="000000"/>
            </w:tcBorders>
            <w:shd w:val="clear" w:color="auto" w:fill="auto"/>
            <w:noWrap/>
            <w:vAlign w:val="center"/>
            <w:hideMark/>
          </w:tcPr>
          <w:p w14:paraId="3C930E47"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6AC70609"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0052932F"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15</w:t>
            </w:r>
          </w:p>
        </w:tc>
        <w:tc>
          <w:tcPr>
            <w:tcW w:w="6173" w:type="dxa"/>
            <w:tcBorders>
              <w:top w:val="nil"/>
              <w:left w:val="nil"/>
              <w:bottom w:val="single" w:sz="8" w:space="0" w:color="000000"/>
              <w:right w:val="single" w:sz="8" w:space="0" w:color="000000"/>
            </w:tcBorders>
            <w:shd w:val="clear" w:color="auto" w:fill="auto"/>
            <w:noWrap/>
            <w:vAlign w:val="center"/>
            <w:hideMark/>
          </w:tcPr>
          <w:p w14:paraId="7AE531D6"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de Solicitud al Consejo SIE</w:t>
            </w:r>
          </w:p>
        </w:tc>
        <w:tc>
          <w:tcPr>
            <w:tcW w:w="1418" w:type="dxa"/>
            <w:tcBorders>
              <w:top w:val="nil"/>
              <w:left w:val="nil"/>
              <w:bottom w:val="single" w:sz="8" w:space="0" w:color="000000"/>
              <w:right w:val="single" w:sz="8" w:space="0" w:color="000000"/>
            </w:tcBorders>
            <w:shd w:val="clear" w:color="auto" w:fill="auto"/>
            <w:noWrap/>
            <w:vAlign w:val="center"/>
            <w:hideMark/>
          </w:tcPr>
          <w:p w14:paraId="45B5CEB0"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0AE6C311"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03F67C6"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16</w:t>
            </w:r>
          </w:p>
        </w:tc>
        <w:tc>
          <w:tcPr>
            <w:tcW w:w="6173" w:type="dxa"/>
            <w:tcBorders>
              <w:top w:val="nil"/>
              <w:left w:val="nil"/>
              <w:bottom w:val="single" w:sz="8" w:space="0" w:color="000000"/>
              <w:right w:val="single" w:sz="8" w:space="0" w:color="000000"/>
            </w:tcBorders>
            <w:shd w:val="clear" w:color="auto" w:fill="auto"/>
            <w:noWrap/>
            <w:vAlign w:val="center"/>
            <w:hideMark/>
          </w:tcPr>
          <w:p w14:paraId="4B7D1555"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Requisición de Almacén de Bienes de Consumo</w:t>
            </w:r>
          </w:p>
        </w:tc>
        <w:tc>
          <w:tcPr>
            <w:tcW w:w="1418" w:type="dxa"/>
            <w:tcBorders>
              <w:top w:val="nil"/>
              <w:left w:val="nil"/>
              <w:bottom w:val="single" w:sz="8" w:space="0" w:color="000000"/>
              <w:right w:val="single" w:sz="8" w:space="0" w:color="000000"/>
            </w:tcBorders>
            <w:shd w:val="clear" w:color="auto" w:fill="auto"/>
            <w:noWrap/>
            <w:vAlign w:val="center"/>
            <w:hideMark/>
          </w:tcPr>
          <w:p w14:paraId="18A84834"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08F429C5"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1D6244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17</w:t>
            </w:r>
          </w:p>
        </w:tc>
        <w:tc>
          <w:tcPr>
            <w:tcW w:w="6173" w:type="dxa"/>
            <w:tcBorders>
              <w:top w:val="nil"/>
              <w:left w:val="nil"/>
              <w:bottom w:val="single" w:sz="8" w:space="0" w:color="000000"/>
              <w:right w:val="single" w:sz="8" w:space="0" w:color="000000"/>
            </w:tcBorders>
            <w:shd w:val="clear" w:color="auto" w:fill="auto"/>
            <w:noWrap/>
            <w:vAlign w:val="center"/>
            <w:hideMark/>
          </w:tcPr>
          <w:p w14:paraId="1F3AFECE"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Acta de Cierre de Proyectos </w:t>
            </w:r>
          </w:p>
        </w:tc>
        <w:tc>
          <w:tcPr>
            <w:tcW w:w="1418" w:type="dxa"/>
            <w:tcBorders>
              <w:top w:val="nil"/>
              <w:left w:val="nil"/>
              <w:bottom w:val="single" w:sz="8" w:space="0" w:color="000000"/>
              <w:right w:val="single" w:sz="8" w:space="0" w:color="000000"/>
            </w:tcBorders>
            <w:shd w:val="clear" w:color="auto" w:fill="auto"/>
            <w:noWrap/>
            <w:vAlign w:val="center"/>
            <w:hideMark/>
          </w:tcPr>
          <w:p w14:paraId="354DE919"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1122821D"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19F31B33"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18</w:t>
            </w:r>
          </w:p>
        </w:tc>
        <w:tc>
          <w:tcPr>
            <w:tcW w:w="6173" w:type="dxa"/>
            <w:tcBorders>
              <w:top w:val="nil"/>
              <w:left w:val="nil"/>
              <w:bottom w:val="single" w:sz="8" w:space="0" w:color="000000"/>
              <w:right w:val="single" w:sz="8" w:space="0" w:color="000000"/>
            </w:tcBorders>
            <w:shd w:val="clear" w:color="auto" w:fill="auto"/>
            <w:noWrap/>
            <w:vAlign w:val="center"/>
            <w:hideMark/>
          </w:tcPr>
          <w:p w14:paraId="1E672296"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Formulario Solicitud de Cambios </w:t>
            </w:r>
          </w:p>
        </w:tc>
        <w:tc>
          <w:tcPr>
            <w:tcW w:w="1418" w:type="dxa"/>
            <w:tcBorders>
              <w:top w:val="nil"/>
              <w:left w:val="nil"/>
              <w:bottom w:val="single" w:sz="8" w:space="0" w:color="000000"/>
              <w:right w:val="single" w:sz="8" w:space="0" w:color="000000"/>
            </w:tcBorders>
            <w:shd w:val="clear" w:color="auto" w:fill="auto"/>
            <w:noWrap/>
            <w:vAlign w:val="center"/>
            <w:hideMark/>
          </w:tcPr>
          <w:p w14:paraId="75A68AA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2BF1BE61"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3E64ACE"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19</w:t>
            </w:r>
          </w:p>
        </w:tc>
        <w:tc>
          <w:tcPr>
            <w:tcW w:w="6173" w:type="dxa"/>
            <w:tcBorders>
              <w:top w:val="nil"/>
              <w:left w:val="nil"/>
              <w:bottom w:val="single" w:sz="8" w:space="0" w:color="000000"/>
              <w:right w:val="single" w:sz="8" w:space="0" w:color="000000"/>
            </w:tcBorders>
            <w:shd w:val="clear" w:color="auto" w:fill="auto"/>
            <w:noWrap/>
            <w:vAlign w:val="center"/>
            <w:hideMark/>
          </w:tcPr>
          <w:p w14:paraId="64D0AA7C"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Acta de Constitución de Proyectos</w:t>
            </w:r>
          </w:p>
        </w:tc>
        <w:tc>
          <w:tcPr>
            <w:tcW w:w="1418" w:type="dxa"/>
            <w:tcBorders>
              <w:top w:val="nil"/>
              <w:left w:val="nil"/>
              <w:bottom w:val="single" w:sz="8" w:space="0" w:color="000000"/>
              <w:right w:val="single" w:sz="8" w:space="0" w:color="000000"/>
            </w:tcBorders>
            <w:shd w:val="clear" w:color="auto" w:fill="auto"/>
            <w:noWrap/>
            <w:vAlign w:val="center"/>
            <w:hideMark/>
          </w:tcPr>
          <w:p w14:paraId="34293562"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3CA6998B"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7421578B"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20</w:t>
            </w:r>
          </w:p>
        </w:tc>
        <w:tc>
          <w:tcPr>
            <w:tcW w:w="6173" w:type="dxa"/>
            <w:tcBorders>
              <w:top w:val="nil"/>
              <w:left w:val="nil"/>
              <w:bottom w:val="single" w:sz="8" w:space="0" w:color="000000"/>
              <w:right w:val="single" w:sz="8" w:space="0" w:color="000000"/>
            </w:tcBorders>
            <w:shd w:val="clear" w:color="auto" w:fill="auto"/>
            <w:noWrap/>
            <w:vAlign w:val="center"/>
            <w:hideMark/>
          </w:tcPr>
          <w:p w14:paraId="3E285433" w14:textId="77777777" w:rsidR="00955F96" w:rsidRPr="006D0445" w:rsidRDefault="00955F96" w:rsidP="00955F96">
            <w:pPr>
              <w:spacing w:after="0" w:line="240" w:lineRule="auto"/>
              <w:jc w:val="left"/>
              <w:rPr>
                <w:rFonts w:eastAsia="Times New Roman"/>
                <w:color w:val="767171"/>
                <w:sz w:val="22"/>
                <w:szCs w:val="22"/>
              </w:rPr>
            </w:pPr>
            <w:proofErr w:type="spellStart"/>
            <w:r w:rsidRPr="006D0445">
              <w:rPr>
                <w:rFonts w:eastAsia="Times New Roman"/>
                <w:color w:val="767171"/>
                <w:sz w:val="22"/>
                <w:szCs w:val="22"/>
              </w:rPr>
              <w:t>Check</w:t>
            </w:r>
            <w:proofErr w:type="spellEnd"/>
            <w:r w:rsidRPr="006D0445">
              <w:rPr>
                <w:rFonts w:eastAsia="Times New Roman"/>
                <w:color w:val="767171"/>
                <w:sz w:val="22"/>
                <w:szCs w:val="22"/>
              </w:rPr>
              <w:t xml:space="preserve"> </w:t>
            </w:r>
            <w:proofErr w:type="spellStart"/>
            <w:r w:rsidRPr="006D0445">
              <w:rPr>
                <w:rFonts w:eastAsia="Times New Roman"/>
                <w:color w:val="767171"/>
                <w:sz w:val="22"/>
                <w:szCs w:val="22"/>
              </w:rPr>
              <w:t>List</w:t>
            </w:r>
            <w:proofErr w:type="spellEnd"/>
            <w:r w:rsidRPr="006D0445">
              <w:rPr>
                <w:rFonts w:eastAsia="Times New Roman"/>
                <w:color w:val="767171"/>
                <w:sz w:val="22"/>
                <w:szCs w:val="22"/>
              </w:rPr>
              <w:t xml:space="preserve"> Validación de Cumplimiento de Proyectos</w:t>
            </w:r>
          </w:p>
        </w:tc>
        <w:tc>
          <w:tcPr>
            <w:tcW w:w="1418" w:type="dxa"/>
            <w:tcBorders>
              <w:top w:val="nil"/>
              <w:left w:val="nil"/>
              <w:bottom w:val="single" w:sz="8" w:space="0" w:color="000000"/>
              <w:right w:val="single" w:sz="8" w:space="0" w:color="000000"/>
            </w:tcBorders>
            <w:shd w:val="clear" w:color="auto" w:fill="auto"/>
            <w:noWrap/>
            <w:vAlign w:val="center"/>
            <w:hideMark/>
          </w:tcPr>
          <w:p w14:paraId="2C33072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51C6E80A" w14:textId="77777777" w:rsidTr="00BD03A8">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E5D47AE"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21</w:t>
            </w:r>
          </w:p>
        </w:tc>
        <w:tc>
          <w:tcPr>
            <w:tcW w:w="6173" w:type="dxa"/>
            <w:tcBorders>
              <w:top w:val="nil"/>
              <w:left w:val="nil"/>
              <w:bottom w:val="single" w:sz="8" w:space="0" w:color="000000"/>
              <w:right w:val="single" w:sz="8" w:space="0" w:color="000000"/>
            </w:tcBorders>
            <w:shd w:val="clear" w:color="auto" w:fill="auto"/>
            <w:noWrap/>
            <w:vAlign w:val="center"/>
            <w:hideMark/>
          </w:tcPr>
          <w:p w14:paraId="3B93C46A"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de Solicitud de Empleo</w:t>
            </w:r>
          </w:p>
        </w:tc>
        <w:tc>
          <w:tcPr>
            <w:tcW w:w="1418" w:type="dxa"/>
            <w:tcBorders>
              <w:top w:val="nil"/>
              <w:left w:val="nil"/>
              <w:bottom w:val="single" w:sz="8" w:space="0" w:color="000000"/>
              <w:right w:val="single" w:sz="8" w:space="0" w:color="000000"/>
            </w:tcBorders>
            <w:shd w:val="clear" w:color="auto" w:fill="auto"/>
            <w:noWrap/>
            <w:vAlign w:val="center"/>
            <w:hideMark/>
          </w:tcPr>
          <w:p w14:paraId="2EE2E70F"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C448FD" w14:paraId="02858D4B" w14:textId="77777777" w:rsidTr="00795A10">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E221303" w14:textId="77777777" w:rsidR="00955F96" w:rsidRPr="00C448FD" w:rsidRDefault="00955F96" w:rsidP="00955F96">
            <w:pPr>
              <w:spacing w:after="0" w:line="240" w:lineRule="auto"/>
              <w:jc w:val="center"/>
              <w:rPr>
                <w:rFonts w:eastAsia="Times New Roman"/>
                <w:color w:val="FFFFFF" w:themeColor="background1"/>
                <w:sz w:val="22"/>
                <w:szCs w:val="22"/>
              </w:rPr>
            </w:pPr>
            <w:r w:rsidRPr="00C448FD">
              <w:rPr>
                <w:rFonts w:eastAsia="Times New Roman"/>
                <w:b/>
                <w:bCs/>
                <w:color w:val="FFFFFF" w:themeColor="background1"/>
              </w:rPr>
              <w:t>No.</w:t>
            </w:r>
          </w:p>
        </w:tc>
        <w:tc>
          <w:tcPr>
            <w:tcW w:w="6173"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C405472" w14:textId="77777777" w:rsidR="00955F96" w:rsidRPr="00C448FD" w:rsidRDefault="00955F96" w:rsidP="00955F96">
            <w:pPr>
              <w:spacing w:after="0" w:line="240" w:lineRule="auto"/>
              <w:jc w:val="center"/>
              <w:rPr>
                <w:rFonts w:eastAsia="Times New Roman"/>
                <w:color w:val="FFFFFF" w:themeColor="background1"/>
                <w:sz w:val="22"/>
                <w:szCs w:val="22"/>
              </w:rPr>
            </w:pPr>
            <w:r w:rsidRPr="00C448FD">
              <w:rPr>
                <w:rFonts w:eastAsia="Times New Roman"/>
                <w:b/>
                <w:bCs/>
                <w:color w:val="FFFFFF" w:themeColor="background1"/>
              </w:rPr>
              <w:t>Formularios Aprobados</w:t>
            </w:r>
          </w:p>
        </w:tc>
        <w:tc>
          <w:tcPr>
            <w:tcW w:w="1418"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2AF48B02" w14:textId="77777777" w:rsidR="00955F96" w:rsidRPr="00C448FD" w:rsidRDefault="00955F96" w:rsidP="00955F96">
            <w:pPr>
              <w:spacing w:after="0" w:line="240" w:lineRule="auto"/>
              <w:jc w:val="center"/>
              <w:rPr>
                <w:rFonts w:eastAsia="Times New Roman"/>
                <w:color w:val="FFFFFF" w:themeColor="background1"/>
                <w:sz w:val="22"/>
                <w:szCs w:val="22"/>
              </w:rPr>
            </w:pPr>
            <w:r w:rsidRPr="00C448FD">
              <w:rPr>
                <w:rFonts w:eastAsia="Times New Roman"/>
                <w:b/>
                <w:bCs/>
                <w:color w:val="FFFFFF" w:themeColor="background1"/>
              </w:rPr>
              <w:t>Estado</w:t>
            </w:r>
          </w:p>
        </w:tc>
      </w:tr>
      <w:tr w:rsidR="00955F96" w:rsidRPr="006D0445" w14:paraId="51EB6B00"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6C0AD4F"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22</w:t>
            </w:r>
          </w:p>
        </w:tc>
        <w:tc>
          <w:tcPr>
            <w:tcW w:w="6173" w:type="dxa"/>
            <w:tcBorders>
              <w:top w:val="nil"/>
              <w:left w:val="nil"/>
              <w:bottom w:val="single" w:sz="8" w:space="0" w:color="000000"/>
              <w:right w:val="single" w:sz="8" w:space="0" w:color="000000"/>
            </w:tcBorders>
            <w:shd w:val="clear" w:color="auto" w:fill="auto"/>
            <w:noWrap/>
            <w:vAlign w:val="center"/>
            <w:hideMark/>
          </w:tcPr>
          <w:p w14:paraId="38C59C32"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de Asistencia para Visitante</w:t>
            </w:r>
          </w:p>
        </w:tc>
        <w:tc>
          <w:tcPr>
            <w:tcW w:w="1418" w:type="dxa"/>
            <w:tcBorders>
              <w:top w:val="nil"/>
              <w:left w:val="nil"/>
              <w:bottom w:val="single" w:sz="8" w:space="0" w:color="000000"/>
              <w:right w:val="single" w:sz="8" w:space="0" w:color="000000"/>
            </w:tcBorders>
            <w:shd w:val="clear" w:color="auto" w:fill="auto"/>
            <w:noWrap/>
            <w:vAlign w:val="center"/>
            <w:hideMark/>
          </w:tcPr>
          <w:p w14:paraId="1006049B"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5ABE7D2E"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4F74BDC9"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23</w:t>
            </w:r>
          </w:p>
        </w:tc>
        <w:tc>
          <w:tcPr>
            <w:tcW w:w="6173" w:type="dxa"/>
            <w:tcBorders>
              <w:top w:val="nil"/>
              <w:left w:val="nil"/>
              <w:bottom w:val="single" w:sz="8" w:space="0" w:color="000000"/>
              <w:right w:val="single" w:sz="8" w:space="0" w:color="000000"/>
            </w:tcBorders>
            <w:shd w:val="clear" w:color="auto" w:fill="auto"/>
            <w:noWrap/>
            <w:vAlign w:val="center"/>
            <w:hideMark/>
          </w:tcPr>
          <w:p w14:paraId="4CA1993E"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Minuta de Reuniones</w:t>
            </w:r>
          </w:p>
        </w:tc>
        <w:tc>
          <w:tcPr>
            <w:tcW w:w="1418" w:type="dxa"/>
            <w:tcBorders>
              <w:top w:val="nil"/>
              <w:left w:val="nil"/>
              <w:bottom w:val="single" w:sz="8" w:space="0" w:color="000000"/>
              <w:right w:val="single" w:sz="8" w:space="0" w:color="000000"/>
            </w:tcBorders>
            <w:shd w:val="clear" w:color="auto" w:fill="auto"/>
            <w:noWrap/>
            <w:vAlign w:val="center"/>
            <w:hideMark/>
          </w:tcPr>
          <w:p w14:paraId="6E80B577"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1EB0E560"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58D53DB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24</w:t>
            </w:r>
          </w:p>
        </w:tc>
        <w:tc>
          <w:tcPr>
            <w:tcW w:w="6173" w:type="dxa"/>
            <w:tcBorders>
              <w:top w:val="nil"/>
              <w:left w:val="nil"/>
              <w:bottom w:val="single" w:sz="8" w:space="0" w:color="000000"/>
              <w:right w:val="single" w:sz="8" w:space="0" w:color="000000"/>
            </w:tcBorders>
            <w:shd w:val="clear" w:color="auto" w:fill="auto"/>
            <w:noWrap/>
            <w:vAlign w:val="center"/>
            <w:hideMark/>
          </w:tcPr>
          <w:p w14:paraId="07ADF79E"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Matriz de Riesgos y Controles</w:t>
            </w:r>
          </w:p>
        </w:tc>
        <w:tc>
          <w:tcPr>
            <w:tcW w:w="1418" w:type="dxa"/>
            <w:tcBorders>
              <w:top w:val="nil"/>
              <w:left w:val="nil"/>
              <w:bottom w:val="single" w:sz="8" w:space="0" w:color="000000"/>
              <w:right w:val="single" w:sz="8" w:space="0" w:color="000000"/>
            </w:tcBorders>
            <w:shd w:val="clear" w:color="auto" w:fill="auto"/>
            <w:noWrap/>
            <w:vAlign w:val="center"/>
            <w:hideMark/>
          </w:tcPr>
          <w:p w14:paraId="38012338"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1040E037" w14:textId="77777777" w:rsidTr="00795A10">
        <w:trPr>
          <w:trHeight w:val="300"/>
        </w:trPr>
        <w:tc>
          <w:tcPr>
            <w:tcW w:w="494" w:type="dxa"/>
            <w:tcBorders>
              <w:top w:val="nil"/>
              <w:left w:val="single" w:sz="8" w:space="0" w:color="000000"/>
              <w:bottom w:val="single" w:sz="8" w:space="0" w:color="000000"/>
              <w:right w:val="single" w:sz="8" w:space="0" w:color="000000"/>
            </w:tcBorders>
            <w:shd w:val="clear" w:color="auto" w:fill="auto"/>
            <w:noWrap/>
            <w:vAlign w:val="center"/>
            <w:hideMark/>
          </w:tcPr>
          <w:p w14:paraId="035C590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25</w:t>
            </w:r>
          </w:p>
        </w:tc>
        <w:tc>
          <w:tcPr>
            <w:tcW w:w="6173" w:type="dxa"/>
            <w:tcBorders>
              <w:top w:val="nil"/>
              <w:left w:val="nil"/>
              <w:bottom w:val="single" w:sz="8" w:space="0" w:color="000000"/>
              <w:right w:val="single" w:sz="8" w:space="0" w:color="000000"/>
            </w:tcBorders>
            <w:shd w:val="clear" w:color="auto" w:fill="auto"/>
            <w:noWrap/>
            <w:vAlign w:val="center"/>
            <w:hideMark/>
          </w:tcPr>
          <w:p w14:paraId="08D07ADA"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Formulario Asistencia a Reuniones Internas</w:t>
            </w:r>
          </w:p>
        </w:tc>
        <w:tc>
          <w:tcPr>
            <w:tcW w:w="1418" w:type="dxa"/>
            <w:tcBorders>
              <w:top w:val="nil"/>
              <w:left w:val="nil"/>
              <w:bottom w:val="single" w:sz="8" w:space="0" w:color="000000"/>
              <w:right w:val="single" w:sz="8" w:space="0" w:color="000000"/>
            </w:tcBorders>
            <w:shd w:val="clear" w:color="auto" w:fill="auto"/>
            <w:noWrap/>
            <w:vAlign w:val="center"/>
            <w:hideMark/>
          </w:tcPr>
          <w:p w14:paraId="4105A2BC"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63FA37A4" w14:textId="77777777" w:rsidTr="00795A10">
        <w:trPr>
          <w:trHeight w:val="330"/>
        </w:trPr>
        <w:tc>
          <w:tcPr>
            <w:tcW w:w="494" w:type="dxa"/>
            <w:tcBorders>
              <w:top w:val="nil"/>
              <w:left w:val="single" w:sz="8" w:space="0" w:color="auto"/>
              <w:bottom w:val="single" w:sz="8" w:space="0" w:color="auto"/>
              <w:right w:val="single" w:sz="8" w:space="0" w:color="auto"/>
            </w:tcBorders>
            <w:shd w:val="clear" w:color="000000" w:fill="011C50"/>
            <w:noWrap/>
            <w:vAlign w:val="center"/>
            <w:hideMark/>
          </w:tcPr>
          <w:p w14:paraId="23E65042" w14:textId="77777777" w:rsidR="00955F96" w:rsidRPr="00C448FD" w:rsidRDefault="00955F96" w:rsidP="00955F96">
            <w:pPr>
              <w:spacing w:after="0" w:line="240" w:lineRule="auto"/>
              <w:jc w:val="center"/>
              <w:rPr>
                <w:rFonts w:eastAsia="Times New Roman"/>
                <w:b/>
                <w:bCs/>
                <w:color w:val="FFFFFF" w:themeColor="background1"/>
              </w:rPr>
            </w:pPr>
            <w:r w:rsidRPr="00C448FD">
              <w:rPr>
                <w:rFonts w:eastAsia="Times New Roman"/>
                <w:b/>
                <w:bCs/>
                <w:color w:val="FFFFFF" w:themeColor="background1"/>
              </w:rPr>
              <w:t>No.</w:t>
            </w:r>
          </w:p>
        </w:tc>
        <w:tc>
          <w:tcPr>
            <w:tcW w:w="6173" w:type="dxa"/>
            <w:tcBorders>
              <w:top w:val="nil"/>
              <w:left w:val="nil"/>
              <w:bottom w:val="single" w:sz="8" w:space="0" w:color="auto"/>
              <w:right w:val="single" w:sz="8" w:space="0" w:color="auto"/>
            </w:tcBorders>
            <w:shd w:val="clear" w:color="000000" w:fill="011C50"/>
            <w:noWrap/>
            <w:vAlign w:val="center"/>
            <w:hideMark/>
          </w:tcPr>
          <w:p w14:paraId="55A1C93E" w14:textId="77777777" w:rsidR="00955F96" w:rsidRPr="00C448FD" w:rsidRDefault="00955F96" w:rsidP="00955F96">
            <w:pPr>
              <w:spacing w:after="0" w:line="240" w:lineRule="auto"/>
              <w:jc w:val="center"/>
              <w:rPr>
                <w:rFonts w:eastAsia="Times New Roman"/>
                <w:b/>
                <w:bCs/>
                <w:color w:val="FFFFFF" w:themeColor="background1"/>
              </w:rPr>
            </w:pPr>
            <w:r w:rsidRPr="00C448FD">
              <w:rPr>
                <w:rFonts w:eastAsia="Times New Roman"/>
                <w:b/>
                <w:bCs/>
                <w:color w:val="FFFFFF" w:themeColor="background1"/>
              </w:rPr>
              <w:t>Listados Maestros Aprobados</w:t>
            </w:r>
          </w:p>
        </w:tc>
        <w:tc>
          <w:tcPr>
            <w:tcW w:w="1418" w:type="dxa"/>
            <w:tcBorders>
              <w:top w:val="nil"/>
              <w:left w:val="nil"/>
              <w:bottom w:val="single" w:sz="8" w:space="0" w:color="auto"/>
              <w:right w:val="single" w:sz="8" w:space="0" w:color="auto"/>
            </w:tcBorders>
            <w:shd w:val="clear" w:color="000000" w:fill="011C50"/>
            <w:noWrap/>
            <w:vAlign w:val="center"/>
            <w:hideMark/>
          </w:tcPr>
          <w:p w14:paraId="3AB2447D" w14:textId="77777777" w:rsidR="00955F96" w:rsidRPr="00C448FD" w:rsidRDefault="00955F96" w:rsidP="00955F96">
            <w:pPr>
              <w:spacing w:after="0" w:line="240" w:lineRule="auto"/>
              <w:jc w:val="center"/>
              <w:rPr>
                <w:rFonts w:eastAsia="Times New Roman"/>
                <w:b/>
                <w:bCs/>
                <w:color w:val="FFFFFF" w:themeColor="background1"/>
              </w:rPr>
            </w:pPr>
            <w:r w:rsidRPr="00C448FD">
              <w:rPr>
                <w:rFonts w:eastAsia="Times New Roman"/>
                <w:b/>
                <w:bCs/>
                <w:color w:val="FFFFFF" w:themeColor="background1"/>
              </w:rPr>
              <w:t>Estado</w:t>
            </w:r>
          </w:p>
        </w:tc>
      </w:tr>
      <w:tr w:rsidR="00955F96" w:rsidRPr="006D0445" w14:paraId="257D283C" w14:textId="77777777" w:rsidTr="00795A10">
        <w:trPr>
          <w:trHeight w:val="300"/>
        </w:trPr>
        <w:tc>
          <w:tcPr>
            <w:tcW w:w="494" w:type="dxa"/>
            <w:tcBorders>
              <w:top w:val="nil"/>
              <w:left w:val="single" w:sz="8" w:space="0" w:color="000000"/>
              <w:bottom w:val="nil"/>
              <w:right w:val="single" w:sz="8" w:space="0" w:color="000000"/>
            </w:tcBorders>
            <w:shd w:val="clear" w:color="auto" w:fill="auto"/>
            <w:noWrap/>
            <w:vAlign w:val="center"/>
            <w:hideMark/>
          </w:tcPr>
          <w:p w14:paraId="11356C51"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1</w:t>
            </w:r>
          </w:p>
        </w:tc>
        <w:tc>
          <w:tcPr>
            <w:tcW w:w="6173" w:type="dxa"/>
            <w:tcBorders>
              <w:top w:val="nil"/>
              <w:left w:val="nil"/>
              <w:bottom w:val="nil"/>
              <w:right w:val="single" w:sz="8" w:space="0" w:color="000000"/>
            </w:tcBorders>
            <w:shd w:val="clear" w:color="auto" w:fill="auto"/>
            <w:noWrap/>
            <w:vAlign w:val="center"/>
            <w:hideMark/>
          </w:tcPr>
          <w:p w14:paraId="49891BD1"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Listado Maestro de Documentos Internos del Sistema de Gestión de Calidad (SGC)</w:t>
            </w:r>
          </w:p>
        </w:tc>
        <w:tc>
          <w:tcPr>
            <w:tcW w:w="1418" w:type="dxa"/>
            <w:tcBorders>
              <w:top w:val="nil"/>
              <w:left w:val="nil"/>
              <w:bottom w:val="nil"/>
              <w:right w:val="single" w:sz="8" w:space="0" w:color="000000"/>
            </w:tcBorders>
            <w:shd w:val="clear" w:color="auto" w:fill="auto"/>
            <w:noWrap/>
            <w:vAlign w:val="center"/>
            <w:hideMark/>
          </w:tcPr>
          <w:p w14:paraId="2BFD0A34"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r w:rsidR="00955F96" w:rsidRPr="006D0445" w14:paraId="5639E32F" w14:textId="77777777" w:rsidTr="00795A10">
        <w:trPr>
          <w:trHeight w:val="300"/>
        </w:trPr>
        <w:tc>
          <w:tcPr>
            <w:tcW w:w="49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7D5A3E"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2</w:t>
            </w:r>
          </w:p>
        </w:tc>
        <w:tc>
          <w:tcPr>
            <w:tcW w:w="6173" w:type="dxa"/>
            <w:tcBorders>
              <w:top w:val="single" w:sz="8" w:space="0" w:color="auto"/>
              <w:left w:val="nil"/>
              <w:bottom w:val="single" w:sz="8" w:space="0" w:color="auto"/>
              <w:right w:val="single" w:sz="8" w:space="0" w:color="000000"/>
            </w:tcBorders>
            <w:shd w:val="clear" w:color="auto" w:fill="auto"/>
            <w:noWrap/>
            <w:vAlign w:val="center"/>
            <w:hideMark/>
          </w:tcPr>
          <w:p w14:paraId="5CFBCB32" w14:textId="77777777" w:rsidR="00955F96" w:rsidRPr="006D0445" w:rsidRDefault="00955F96" w:rsidP="00955F96">
            <w:pPr>
              <w:spacing w:after="0" w:line="240" w:lineRule="auto"/>
              <w:jc w:val="left"/>
              <w:rPr>
                <w:rFonts w:eastAsia="Times New Roman"/>
                <w:color w:val="767171"/>
                <w:sz w:val="22"/>
                <w:szCs w:val="22"/>
              </w:rPr>
            </w:pPr>
            <w:r w:rsidRPr="006D0445">
              <w:rPr>
                <w:rFonts w:eastAsia="Times New Roman"/>
                <w:color w:val="767171"/>
                <w:sz w:val="22"/>
                <w:szCs w:val="22"/>
              </w:rPr>
              <w:t xml:space="preserve">Listado Maestro de Documentos Externos del Sistema de Gestión de Calidad (SGC)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42AF32BA" w14:textId="77777777" w:rsidR="00955F96" w:rsidRPr="006D0445" w:rsidRDefault="00955F96" w:rsidP="00955F96">
            <w:pPr>
              <w:spacing w:after="0" w:line="240" w:lineRule="auto"/>
              <w:jc w:val="center"/>
              <w:rPr>
                <w:rFonts w:eastAsia="Times New Roman"/>
                <w:color w:val="767171"/>
                <w:sz w:val="22"/>
                <w:szCs w:val="22"/>
              </w:rPr>
            </w:pPr>
            <w:r w:rsidRPr="006D0445">
              <w:rPr>
                <w:rFonts w:eastAsia="Times New Roman"/>
                <w:color w:val="767171"/>
                <w:sz w:val="22"/>
                <w:szCs w:val="22"/>
              </w:rPr>
              <w:t>Completado</w:t>
            </w:r>
          </w:p>
        </w:tc>
      </w:tr>
    </w:tbl>
    <w:p w14:paraId="17759AC0" w14:textId="32DD8C74" w:rsidR="00921DE8" w:rsidRPr="006D0445" w:rsidRDefault="00D61BD5" w:rsidP="005C6A98">
      <w:pPr>
        <w:rPr>
          <w:rFonts w:eastAsia="Times New Roman"/>
          <w:color w:val="767171"/>
          <w:sz w:val="18"/>
          <w:szCs w:val="18"/>
        </w:rPr>
      </w:pPr>
      <w:r w:rsidRPr="006D0445">
        <w:rPr>
          <w:rFonts w:eastAsia="Times New Roman"/>
          <w:color w:val="767171"/>
          <w:sz w:val="18"/>
          <w:szCs w:val="18"/>
        </w:rPr>
        <w:t>Fuente: Dirección Planificación y Desarrollo</w:t>
      </w:r>
    </w:p>
    <w:p w14:paraId="1DBD442B" w14:textId="77777777" w:rsidR="00B421DC" w:rsidRPr="006D0445" w:rsidRDefault="00B421DC" w:rsidP="004F208D">
      <w:pPr>
        <w:jc w:val="center"/>
        <w:rPr>
          <w:b/>
          <w:bCs/>
          <w:color w:val="767171"/>
          <w:sz w:val="6"/>
          <w:szCs w:val="6"/>
        </w:rPr>
      </w:pPr>
    </w:p>
    <w:p w14:paraId="744C3D48" w14:textId="77777777" w:rsidR="00676259" w:rsidRPr="006D0445" w:rsidRDefault="00676259" w:rsidP="008A1A95">
      <w:pPr>
        <w:rPr>
          <w:b/>
          <w:bCs/>
          <w:color w:val="767171"/>
        </w:rPr>
      </w:pPr>
      <w:r w:rsidRPr="006D0445">
        <w:rPr>
          <w:b/>
          <w:bCs/>
          <w:color w:val="767171"/>
        </w:rPr>
        <w:t>Resultados o Avances en la Implementación de las Políticas Transversales</w:t>
      </w:r>
    </w:p>
    <w:p w14:paraId="6A7D76B9" w14:textId="0B5FC66F" w:rsidR="000D74FE" w:rsidRPr="006D0445" w:rsidRDefault="000D74FE" w:rsidP="008A1A95">
      <w:pPr>
        <w:rPr>
          <w:color w:val="767171"/>
          <w:lang w:val="es-ES"/>
        </w:rPr>
      </w:pPr>
      <w:r w:rsidRPr="006D0445">
        <w:rPr>
          <w:color w:val="767171"/>
        </w:rPr>
        <w:t xml:space="preserve">En </w:t>
      </w:r>
      <w:r w:rsidRPr="006D0445">
        <w:rPr>
          <w:color w:val="767171"/>
          <w:lang w:val="es-ES"/>
        </w:rPr>
        <w:t>Cumplimiento a la Ley de Estrategia Nacional de Desarrollo No. 1-12, que establece la transversalidad de género como un proceso dirigido a valorar las implicaciones que tienen para hombres y mujeres, las acciones públicas, en todas sus fases, con el fin de superar las relaciones de desigualdad y de vulneración de derechos de hombres y mujeres para lograr la equidad de género.</w:t>
      </w:r>
    </w:p>
    <w:p w14:paraId="4596E57C" w14:textId="37CA0E0D" w:rsidR="000D74FE" w:rsidRPr="006D0445" w:rsidRDefault="000D74FE" w:rsidP="008A1A95">
      <w:pPr>
        <w:rPr>
          <w:color w:val="767171"/>
        </w:rPr>
      </w:pPr>
      <w:r w:rsidRPr="006D0445">
        <w:rPr>
          <w:color w:val="767171"/>
          <w:lang w:val="es-ES"/>
        </w:rPr>
        <w:t xml:space="preserve">La SIE mediante la </w:t>
      </w:r>
      <w:r w:rsidR="00194EE2" w:rsidRPr="006D0445">
        <w:rPr>
          <w:color w:val="767171"/>
        </w:rPr>
        <w:t>instrucción administrativa</w:t>
      </w:r>
      <w:r w:rsidRPr="006D0445">
        <w:rPr>
          <w:color w:val="767171"/>
          <w:lang w:val="es-ES"/>
        </w:rPr>
        <w:t xml:space="preserve"> </w:t>
      </w:r>
      <w:r w:rsidR="00CC4BD2" w:rsidRPr="006D0445">
        <w:rPr>
          <w:color w:val="767171"/>
        </w:rPr>
        <w:t>SIE-I-CSIE-C-</w:t>
      </w:r>
      <w:r w:rsidR="00F2650B" w:rsidRPr="006D0445">
        <w:rPr>
          <w:color w:val="767171"/>
        </w:rPr>
        <w:t>2024</w:t>
      </w:r>
      <w:r w:rsidR="00CC4BD2" w:rsidRPr="006D0445">
        <w:rPr>
          <w:color w:val="767171"/>
        </w:rPr>
        <w:t>-0145</w:t>
      </w:r>
      <w:r w:rsidRPr="006D0445">
        <w:rPr>
          <w:color w:val="767171"/>
        </w:rPr>
        <w:t xml:space="preserve"> </w:t>
      </w:r>
      <w:r w:rsidR="00CC4BD2" w:rsidRPr="006D0445">
        <w:rPr>
          <w:color w:val="767171"/>
        </w:rPr>
        <w:t>se</w:t>
      </w:r>
      <w:r w:rsidR="00CC4BD2" w:rsidRPr="006D0445">
        <w:rPr>
          <w:color w:val="767171"/>
          <w:lang w:val="es-ES"/>
        </w:rPr>
        <w:t xml:space="preserve"> creó</w:t>
      </w:r>
      <w:r w:rsidRPr="006D0445">
        <w:rPr>
          <w:color w:val="767171"/>
          <w:lang w:val="es-ES"/>
        </w:rPr>
        <w:t xml:space="preserve"> la unidad de genero institucional, la cual </w:t>
      </w:r>
      <w:r w:rsidR="001D65EC" w:rsidRPr="006D0445">
        <w:rPr>
          <w:color w:val="767171"/>
        </w:rPr>
        <w:t>f</w:t>
      </w:r>
      <w:r w:rsidRPr="006D0445">
        <w:rPr>
          <w:color w:val="767171"/>
        </w:rPr>
        <w:t>ungirá como unidad de asesoramiento a lo interno de la institución para la incorporación y transversalización del enfoque de la igualdad de género en la formulación, ejecución, seguimiento y evaluación de las políticas, planes, programas, proyectos y presupuestos institucionales.</w:t>
      </w:r>
    </w:p>
    <w:p w14:paraId="2AD368AA" w14:textId="301FB0CD" w:rsidR="00245868" w:rsidRPr="006D0445" w:rsidRDefault="00245868" w:rsidP="008A1A95">
      <w:pPr>
        <w:rPr>
          <w:color w:val="767171"/>
        </w:rPr>
      </w:pPr>
      <w:r w:rsidRPr="006D0445">
        <w:rPr>
          <w:color w:val="767171"/>
        </w:rPr>
        <w:t xml:space="preserve">Como resultado del compromiso establecido en el convenio firmado con el </w:t>
      </w:r>
      <w:proofErr w:type="spellStart"/>
      <w:r w:rsidRPr="006D0445">
        <w:rPr>
          <w:color w:val="767171"/>
        </w:rPr>
        <w:t>INTEC</w:t>
      </w:r>
      <w:proofErr w:type="spellEnd"/>
      <w:r w:rsidRPr="006D0445">
        <w:rPr>
          <w:color w:val="767171"/>
        </w:rPr>
        <w:t xml:space="preserve"> (Becas SIE PIES), en este 2024 la SIE entregó a través de su programa de Becas para Mujeres en carreras </w:t>
      </w:r>
      <w:proofErr w:type="spellStart"/>
      <w:r w:rsidRPr="006D0445">
        <w:rPr>
          <w:color w:val="767171"/>
        </w:rPr>
        <w:t>STEM</w:t>
      </w:r>
      <w:proofErr w:type="spellEnd"/>
      <w:r w:rsidRPr="006D0445">
        <w:rPr>
          <w:color w:val="767171"/>
        </w:rPr>
        <w:t>, se otorgaron becas en áreas de licenciatura en Ciencia de Datos, Licenciatura en Economía e Ingeniería Eléctrica a cuatro (4) estudiantes meritorias.</w:t>
      </w:r>
    </w:p>
    <w:p w14:paraId="56CDF0F6" w14:textId="3E403D85" w:rsidR="00BD03A8" w:rsidRDefault="00E64139" w:rsidP="00955F96">
      <w:pPr>
        <w:rPr>
          <w:color w:val="767171"/>
        </w:rPr>
      </w:pPr>
      <w:r w:rsidRPr="006D0445">
        <w:rPr>
          <w:color w:val="767171"/>
        </w:rPr>
        <w:t xml:space="preserve">En esta misma línea con el objetivo de coordinar acciones académicas, se realizó un convenio con </w:t>
      </w:r>
      <w:proofErr w:type="spellStart"/>
      <w:r w:rsidRPr="006D0445">
        <w:rPr>
          <w:color w:val="767171"/>
        </w:rPr>
        <w:t>INPROCA</w:t>
      </w:r>
      <w:proofErr w:type="spellEnd"/>
      <w:r w:rsidRPr="006D0445">
        <w:rPr>
          <w:color w:val="767171"/>
        </w:rPr>
        <w:t xml:space="preserve"> (Ingeniería y Proyectos), para seguir apoyando de manera conjunta el desarrollo a través del otorgamiento de becas para cursos y diplomados.</w:t>
      </w:r>
      <w:r w:rsidR="00BD03A8">
        <w:rPr>
          <w:color w:val="767171"/>
        </w:rPr>
        <w:br w:type="page"/>
      </w:r>
    </w:p>
    <w:p w14:paraId="6FCA5651" w14:textId="793BD9A4" w:rsidR="00E64139" w:rsidRPr="006D0445" w:rsidRDefault="00E64139" w:rsidP="008A1A95">
      <w:pPr>
        <w:rPr>
          <w:color w:val="767171"/>
        </w:rPr>
      </w:pPr>
      <w:r w:rsidRPr="006D0445">
        <w:rPr>
          <w:color w:val="767171"/>
        </w:rPr>
        <w:lastRenderedPageBreak/>
        <w:t>La SIE a finales del 2024 se encuentra en un proceso de preparación para la certificación en Sello de Igualdad de Género para el Sector Público, donde la institución se compromete a establecer en su política organizacional, acciones concretas que busquen cerrar brechas o barreras de género.</w:t>
      </w:r>
    </w:p>
    <w:p w14:paraId="40756D60" w14:textId="0FBCE16A" w:rsidR="00CD5FA0" w:rsidRPr="00C448FD" w:rsidRDefault="00CD5FA0" w:rsidP="008A1A95">
      <w:pPr>
        <w:pStyle w:val="Ttulo2"/>
        <w:rPr>
          <w:sz w:val="28"/>
          <w:szCs w:val="24"/>
        </w:rPr>
      </w:pPr>
      <w:bookmarkStart w:id="74" w:name="_Toc186147725"/>
      <w:r w:rsidRPr="00C448FD">
        <w:rPr>
          <w:sz w:val="28"/>
          <w:szCs w:val="24"/>
        </w:rPr>
        <w:t>Desempeño del Área de Comunicaciones</w:t>
      </w:r>
      <w:bookmarkEnd w:id="74"/>
      <w:r w:rsidRPr="00C448FD">
        <w:rPr>
          <w:sz w:val="28"/>
          <w:szCs w:val="24"/>
        </w:rPr>
        <w:t xml:space="preserve"> </w:t>
      </w:r>
    </w:p>
    <w:p w14:paraId="1A9AA54B" w14:textId="69B68E47" w:rsidR="00883320" w:rsidRPr="006D0445" w:rsidRDefault="004F5D27" w:rsidP="008A1A95">
      <w:pPr>
        <w:rPr>
          <w:color w:val="767171"/>
        </w:rPr>
      </w:pPr>
      <w:r w:rsidRPr="006D0445">
        <w:rPr>
          <w:color w:val="767171"/>
        </w:rPr>
        <w:t xml:space="preserve">En cuanto al desempeño del área de comunicaciones, se desarrollaron las estrategias y planes de comunicación con el objetivo de resaltar a La SIE como el ente regulador del sector eléctrico de la República Dominicana y de orientar a los ciudadanos del servicio eléctrico sobre las funciones de Protecom y sobre sus derechos y deberes como usuarios. En este 2024 se ampliaron estas acciones con diversas campañas de comunicación a través de las redes sociales de la SIE, buscando elevar el conocimiento y reconocimiento de la SIE como el ente regulador del sector eléctrico de la República Dominicana, así como campañas educativas para dar respuesta a las reclamaciones más frecuentes de los usuarios y orientarlos en cuanto a los servicios ofrecidos y sus derechos. Además, se continúa fortaleciendo el programa </w:t>
      </w:r>
      <w:proofErr w:type="spellStart"/>
      <w:r w:rsidRPr="006D0445">
        <w:rPr>
          <w:color w:val="767171"/>
        </w:rPr>
        <w:t>SIEduca</w:t>
      </w:r>
      <w:proofErr w:type="spellEnd"/>
      <w:r w:rsidRPr="006D0445">
        <w:rPr>
          <w:color w:val="767171"/>
        </w:rPr>
        <w:t>, con el objetivo de promover el uso responsable de la energía y concientizar a las futuras generaciones sobre el impacto ambiental.</w:t>
      </w:r>
    </w:p>
    <w:p w14:paraId="0F2507BD" w14:textId="77777777" w:rsidR="00685C7D" w:rsidRPr="006D0445" w:rsidRDefault="00685C7D" w:rsidP="008A1A95">
      <w:pPr>
        <w:shd w:val="clear" w:color="auto" w:fill="FFFFFF"/>
        <w:rPr>
          <w:color w:val="767171"/>
        </w:rPr>
      </w:pPr>
      <w:r w:rsidRPr="006D0445">
        <w:rPr>
          <w:color w:val="767171"/>
        </w:rPr>
        <w:t xml:space="preserve">Se compartieron a través de los canales de comunicación institucionales portal web y redes sociales) un informe mensual correspondiente a los indicadores de calidad del servicio eléctrico ofrecido por las empresas distribuidoras </w:t>
      </w:r>
      <w:proofErr w:type="spellStart"/>
      <w:r w:rsidRPr="006D0445">
        <w:rPr>
          <w:color w:val="767171"/>
        </w:rPr>
        <w:t>EDENORTE</w:t>
      </w:r>
      <w:proofErr w:type="spellEnd"/>
      <w:r w:rsidRPr="006D0445">
        <w:rPr>
          <w:color w:val="767171"/>
        </w:rPr>
        <w:t xml:space="preserve">, EDESUR y </w:t>
      </w:r>
      <w:proofErr w:type="spellStart"/>
      <w:r w:rsidRPr="006D0445">
        <w:rPr>
          <w:color w:val="767171"/>
        </w:rPr>
        <w:t>EDEESTE</w:t>
      </w:r>
      <w:proofErr w:type="spellEnd"/>
      <w:r w:rsidRPr="006D0445">
        <w:rPr>
          <w:color w:val="767171"/>
        </w:rPr>
        <w:t>.</w:t>
      </w:r>
    </w:p>
    <w:p w14:paraId="1AA691D0" w14:textId="77777777" w:rsidR="00685C7D" w:rsidRPr="006D0445" w:rsidRDefault="00685C7D" w:rsidP="00685C7D">
      <w:pPr>
        <w:shd w:val="clear" w:color="auto" w:fill="FFFFFF"/>
        <w:rPr>
          <w:color w:val="767171"/>
        </w:rPr>
      </w:pPr>
      <w:r w:rsidRPr="006D0445">
        <w:rPr>
          <w:color w:val="767171"/>
        </w:rPr>
        <w:t>En estos se especificaron los siguientes índices:</w:t>
      </w:r>
    </w:p>
    <w:p w14:paraId="03349C3A" w14:textId="77777777" w:rsidR="00685C7D" w:rsidRPr="006D0445" w:rsidRDefault="00685C7D" w:rsidP="00AE6336">
      <w:pPr>
        <w:pStyle w:val="Prrafodelista"/>
        <w:numPr>
          <w:ilvl w:val="0"/>
          <w:numId w:val="15"/>
        </w:numPr>
        <w:shd w:val="clear" w:color="auto" w:fill="FFFFFF"/>
        <w:spacing w:after="0"/>
        <w:ind w:left="1077" w:hanging="357"/>
        <w:jc w:val="left"/>
        <w:rPr>
          <w:color w:val="767171"/>
        </w:rPr>
      </w:pPr>
      <w:proofErr w:type="spellStart"/>
      <w:r w:rsidRPr="006D0445">
        <w:rPr>
          <w:color w:val="767171"/>
        </w:rPr>
        <w:t>SAIFI</w:t>
      </w:r>
      <w:proofErr w:type="spellEnd"/>
      <w:r w:rsidRPr="006D0445">
        <w:rPr>
          <w:color w:val="767171"/>
        </w:rPr>
        <w:t xml:space="preserve"> – Promedio mensual de la frecuencia de interrupciones en el servicio eléctrico, por cliente.</w:t>
      </w:r>
    </w:p>
    <w:p w14:paraId="145A1160" w14:textId="77777777" w:rsidR="00685C7D" w:rsidRPr="006D0445" w:rsidRDefault="00685C7D" w:rsidP="00AE6336">
      <w:pPr>
        <w:pStyle w:val="Prrafodelista"/>
        <w:numPr>
          <w:ilvl w:val="0"/>
          <w:numId w:val="15"/>
        </w:numPr>
        <w:shd w:val="clear" w:color="auto" w:fill="FFFFFF"/>
        <w:spacing w:after="0"/>
        <w:ind w:left="1077" w:hanging="357"/>
        <w:jc w:val="left"/>
        <w:rPr>
          <w:color w:val="767171"/>
        </w:rPr>
      </w:pPr>
      <w:proofErr w:type="spellStart"/>
      <w:r w:rsidRPr="006D0445">
        <w:rPr>
          <w:color w:val="767171"/>
        </w:rPr>
        <w:t>SAIDI</w:t>
      </w:r>
      <w:proofErr w:type="spellEnd"/>
      <w:r w:rsidRPr="006D0445">
        <w:rPr>
          <w:color w:val="767171"/>
        </w:rPr>
        <w:t xml:space="preserve"> – Promedio mensual de la duración de las interrupciones en el servicio eléctrico, por cliente.</w:t>
      </w:r>
    </w:p>
    <w:p w14:paraId="5E593B1C" w14:textId="77777777" w:rsidR="00685C7D" w:rsidRPr="006D0445" w:rsidRDefault="00685C7D" w:rsidP="00AE6336">
      <w:pPr>
        <w:pStyle w:val="Prrafodelista"/>
        <w:numPr>
          <w:ilvl w:val="0"/>
          <w:numId w:val="15"/>
        </w:numPr>
        <w:shd w:val="clear" w:color="auto" w:fill="FFFFFF"/>
        <w:jc w:val="left"/>
        <w:rPr>
          <w:color w:val="767171"/>
        </w:rPr>
      </w:pPr>
      <w:proofErr w:type="spellStart"/>
      <w:r w:rsidRPr="006D0445">
        <w:rPr>
          <w:color w:val="767171"/>
        </w:rPr>
        <w:t>CAIDI</w:t>
      </w:r>
      <w:proofErr w:type="spellEnd"/>
      <w:r w:rsidRPr="006D0445">
        <w:rPr>
          <w:color w:val="767171"/>
        </w:rPr>
        <w:t xml:space="preserve"> – Cada interrupción en el servicio eléctrico durante el mes tuvo una duración promedio, por cliente.</w:t>
      </w:r>
    </w:p>
    <w:p w14:paraId="203D8A99" w14:textId="77777777" w:rsidR="00685C7D" w:rsidRPr="006D0445" w:rsidRDefault="00685C7D" w:rsidP="00AE6336">
      <w:pPr>
        <w:pStyle w:val="Prrafodelista"/>
        <w:numPr>
          <w:ilvl w:val="0"/>
          <w:numId w:val="15"/>
        </w:numPr>
        <w:shd w:val="clear" w:color="auto" w:fill="FFFFFF"/>
        <w:jc w:val="left"/>
        <w:rPr>
          <w:color w:val="767171"/>
        </w:rPr>
      </w:pPr>
      <w:proofErr w:type="spellStart"/>
      <w:r w:rsidRPr="006D0445">
        <w:rPr>
          <w:color w:val="767171"/>
        </w:rPr>
        <w:t>ASAI</w:t>
      </w:r>
      <w:proofErr w:type="spellEnd"/>
      <w:r w:rsidRPr="006D0445">
        <w:rPr>
          <w:color w:val="767171"/>
        </w:rPr>
        <w:t xml:space="preserve"> – Promedio de disponibilidad del servicio eléctrico.</w:t>
      </w:r>
    </w:p>
    <w:p w14:paraId="73FAD8DC" w14:textId="77777777" w:rsidR="00685C7D" w:rsidRPr="006D0445" w:rsidRDefault="00685C7D" w:rsidP="00AE6336">
      <w:pPr>
        <w:pStyle w:val="Prrafodelista"/>
        <w:numPr>
          <w:ilvl w:val="0"/>
          <w:numId w:val="15"/>
        </w:numPr>
        <w:shd w:val="clear" w:color="auto" w:fill="FFFFFF"/>
        <w:jc w:val="left"/>
        <w:rPr>
          <w:color w:val="767171"/>
        </w:rPr>
      </w:pPr>
      <w:proofErr w:type="spellStart"/>
      <w:r w:rsidRPr="006D0445">
        <w:rPr>
          <w:color w:val="767171"/>
        </w:rPr>
        <w:t>ASUI</w:t>
      </w:r>
      <w:proofErr w:type="spellEnd"/>
      <w:r w:rsidRPr="006D0445">
        <w:rPr>
          <w:color w:val="767171"/>
        </w:rPr>
        <w:t xml:space="preserve"> – Promedio de indisponibilidad del servicio eléctrico.</w:t>
      </w:r>
    </w:p>
    <w:p w14:paraId="7949F694" w14:textId="4D894A6F" w:rsidR="00921DE8" w:rsidRPr="006D0445" w:rsidRDefault="00921DE8">
      <w:pPr>
        <w:spacing w:line="259" w:lineRule="auto"/>
        <w:jc w:val="left"/>
        <w:rPr>
          <w:color w:val="767171"/>
        </w:rPr>
      </w:pPr>
      <w:r w:rsidRPr="006D0445">
        <w:rPr>
          <w:color w:val="767171"/>
        </w:rPr>
        <w:br w:type="page"/>
      </w:r>
    </w:p>
    <w:p w14:paraId="4A8D2DB8" w14:textId="0488F0EC" w:rsidR="00883320" w:rsidRPr="006D0445" w:rsidRDefault="004F5D27" w:rsidP="008A1A95">
      <w:pPr>
        <w:rPr>
          <w:b/>
          <w:bCs/>
          <w:color w:val="767171"/>
        </w:rPr>
      </w:pPr>
      <w:r w:rsidRPr="006D0445">
        <w:rPr>
          <w:b/>
          <w:bCs/>
          <w:color w:val="767171"/>
        </w:rPr>
        <w:lastRenderedPageBreak/>
        <w:t>Campañas</w:t>
      </w:r>
    </w:p>
    <w:p w14:paraId="037FB7A1" w14:textId="77777777" w:rsidR="0009316A" w:rsidRPr="006D0445" w:rsidRDefault="0009316A" w:rsidP="008A1A95">
      <w:pPr>
        <w:shd w:val="clear" w:color="auto" w:fill="FFFFFF"/>
        <w:spacing w:after="120"/>
        <w:rPr>
          <w:rFonts w:eastAsia="Times New Roman"/>
          <w:color w:val="767171"/>
        </w:rPr>
      </w:pPr>
      <w:r w:rsidRPr="006D0445">
        <w:rPr>
          <w:rFonts w:eastAsia="Times New Roman"/>
          <w:color w:val="767171"/>
        </w:rPr>
        <w:t>Se realizó la Campaña de educación al usuario del servicio público de electricidad a través de las redes sociales de la SIE y PROTECOM. En esta campaña se compartieron los aspectos claves que los usuarios deben conocer, tales como:</w:t>
      </w:r>
    </w:p>
    <w:p w14:paraId="4AC6F891" w14:textId="54A4FA4E" w:rsidR="004F5D27" w:rsidRPr="006D0445" w:rsidRDefault="004F5D27" w:rsidP="008A1A95">
      <w:pPr>
        <w:spacing w:before="240" w:after="240"/>
        <w:rPr>
          <w:rFonts w:eastAsia="Times New Roman"/>
          <w:color w:val="767171"/>
        </w:rPr>
      </w:pPr>
      <w:r w:rsidRPr="006D0445">
        <w:rPr>
          <w:rFonts w:eastAsia="Times New Roman"/>
          <w:b/>
          <w:bCs/>
          <w:color w:val="767171"/>
        </w:rPr>
        <w:t xml:space="preserve">Campaña educativa </w:t>
      </w:r>
      <w:proofErr w:type="spellStart"/>
      <w:r w:rsidRPr="006D0445">
        <w:rPr>
          <w:rFonts w:eastAsia="Times New Roman"/>
          <w:b/>
          <w:bCs/>
          <w:color w:val="767171"/>
        </w:rPr>
        <w:t>SIEduca</w:t>
      </w:r>
      <w:proofErr w:type="spellEnd"/>
      <w:r w:rsidRPr="006D0445">
        <w:rPr>
          <w:rFonts w:eastAsia="Times New Roman"/>
          <w:color w:val="767171"/>
        </w:rPr>
        <w:t>, tiene como objetivo sensibilizar sobre los desafíos energéticos y su impacto en el medio ambiente, proporcionando espacios y oportunidades para que las personas puedan aprender sobre estos temas de manera efectiva a través de diferentes formas de aprendizaje.</w:t>
      </w:r>
    </w:p>
    <w:p w14:paraId="3751EA6C" w14:textId="0ECD0F2C" w:rsidR="004F5D27" w:rsidRPr="006D0445" w:rsidRDefault="004F5D27" w:rsidP="008A1A95">
      <w:pPr>
        <w:spacing w:before="240" w:after="240"/>
        <w:rPr>
          <w:rFonts w:eastAsia="Times New Roman"/>
          <w:color w:val="767171"/>
        </w:rPr>
      </w:pPr>
      <w:r w:rsidRPr="006D0445">
        <w:rPr>
          <w:rFonts w:eastAsia="Times New Roman"/>
          <w:b/>
          <w:bCs/>
          <w:color w:val="767171"/>
        </w:rPr>
        <w:t>Campaña de educación al usuario del servicio público de electricidad</w:t>
      </w:r>
      <w:r w:rsidR="00C84E4C" w:rsidRPr="006D0445">
        <w:rPr>
          <w:rFonts w:eastAsia="Times New Roman"/>
          <w:b/>
          <w:bCs/>
          <w:color w:val="767171"/>
        </w:rPr>
        <w:t>,</w:t>
      </w:r>
      <w:r w:rsidRPr="006D0445">
        <w:rPr>
          <w:rFonts w:eastAsia="Times New Roman"/>
          <w:color w:val="767171"/>
        </w:rPr>
        <w:t xml:space="preserve"> a través de las redes sociales de la SIE y PROTECOM, en la cual se dio a conocer los aspectos claves que los usuarios deben conocer, tales como:</w:t>
      </w:r>
    </w:p>
    <w:p w14:paraId="43A5A255" w14:textId="77777777" w:rsidR="004F5D27" w:rsidRPr="006D0445" w:rsidRDefault="004F5D27" w:rsidP="008A1A95">
      <w:pPr>
        <w:pStyle w:val="Prrafodelista"/>
        <w:numPr>
          <w:ilvl w:val="0"/>
          <w:numId w:val="29"/>
        </w:numPr>
        <w:shd w:val="clear" w:color="auto" w:fill="FFFFFF"/>
        <w:spacing w:after="0"/>
        <w:ind w:left="709"/>
        <w:jc w:val="left"/>
        <w:rPr>
          <w:rFonts w:eastAsia="Times New Roman"/>
          <w:color w:val="767171"/>
        </w:rPr>
      </w:pPr>
      <w:r w:rsidRPr="006D0445">
        <w:rPr>
          <w:rFonts w:eastAsia="Times New Roman"/>
          <w:color w:val="767171"/>
        </w:rPr>
        <w:t>Conoce tus servicios como usuario del servicio público de electricidad</w:t>
      </w:r>
    </w:p>
    <w:p w14:paraId="44516FAB" w14:textId="77777777" w:rsidR="004F5D27" w:rsidRPr="006D0445" w:rsidRDefault="004F5D27" w:rsidP="008A1A95">
      <w:pPr>
        <w:pStyle w:val="Prrafodelista"/>
        <w:numPr>
          <w:ilvl w:val="0"/>
          <w:numId w:val="29"/>
        </w:numPr>
        <w:shd w:val="clear" w:color="auto" w:fill="FFFFFF"/>
        <w:spacing w:after="0"/>
        <w:ind w:left="709"/>
        <w:jc w:val="left"/>
        <w:rPr>
          <w:rFonts w:eastAsia="Times New Roman"/>
          <w:color w:val="767171"/>
        </w:rPr>
      </w:pPr>
      <w:r w:rsidRPr="006D0445">
        <w:rPr>
          <w:rFonts w:eastAsia="Times New Roman"/>
          <w:color w:val="767171"/>
        </w:rPr>
        <w:t>Como ahorrar energía en verano</w:t>
      </w:r>
    </w:p>
    <w:p w14:paraId="63BDB6E9" w14:textId="77777777" w:rsidR="004F5D27" w:rsidRPr="006D0445" w:rsidRDefault="004F5D27" w:rsidP="008A1A95">
      <w:pPr>
        <w:pStyle w:val="Prrafodelista"/>
        <w:numPr>
          <w:ilvl w:val="0"/>
          <w:numId w:val="29"/>
        </w:numPr>
        <w:shd w:val="clear" w:color="auto" w:fill="FFFFFF"/>
        <w:spacing w:after="0"/>
        <w:ind w:left="709"/>
        <w:jc w:val="left"/>
        <w:rPr>
          <w:rFonts w:eastAsia="Times New Roman"/>
          <w:color w:val="767171"/>
        </w:rPr>
      </w:pPr>
      <w:r w:rsidRPr="006D0445">
        <w:rPr>
          <w:rFonts w:eastAsia="Times New Roman"/>
          <w:color w:val="767171"/>
        </w:rPr>
        <w:t>Servicios y reclamaciones en línea.</w:t>
      </w:r>
    </w:p>
    <w:p w14:paraId="4C9F76E3" w14:textId="001EE736" w:rsidR="00883320" w:rsidRPr="006D0445" w:rsidRDefault="004F5D27" w:rsidP="008A1A95">
      <w:pPr>
        <w:pStyle w:val="Prrafodelista"/>
        <w:numPr>
          <w:ilvl w:val="0"/>
          <w:numId w:val="29"/>
        </w:numPr>
        <w:shd w:val="clear" w:color="auto" w:fill="FFFFFF"/>
        <w:spacing w:after="0"/>
        <w:ind w:left="709"/>
        <w:jc w:val="left"/>
        <w:rPr>
          <w:rFonts w:eastAsia="Times New Roman"/>
          <w:color w:val="767171"/>
        </w:rPr>
      </w:pPr>
      <w:r w:rsidRPr="006D0445">
        <w:rPr>
          <w:rFonts w:eastAsia="Times New Roman"/>
          <w:color w:val="767171"/>
        </w:rPr>
        <w:t>Uso de códigos QR para acceder fácilmente al estado de reclamaciones y decisiones de Protecom de manera más ágil</w:t>
      </w:r>
    </w:p>
    <w:p w14:paraId="5E11463F" w14:textId="25857B30" w:rsidR="00883320" w:rsidRPr="006D0445" w:rsidRDefault="004F5D27" w:rsidP="008A1A95">
      <w:pPr>
        <w:jc w:val="left"/>
        <w:rPr>
          <w:color w:val="767171"/>
        </w:rPr>
      </w:pPr>
      <w:proofErr w:type="gramStart"/>
      <w:r w:rsidRPr="006D0445">
        <w:rPr>
          <w:rFonts w:eastAsia="Times New Roman"/>
          <w:b/>
          <w:bCs/>
          <w:color w:val="767171"/>
        </w:rPr>
        <w:t>Campaña Derecho a Saber</w:t>
      </w:r>
      <w:proofErr w:type="gramEnd"/>
      <w:r w:rsidR="00C84E4C" w:rsidRPr="006D0445">
        <w:rPr>
          <w:rFonts w:eastAsia="Times New Roman"/>
          <w:b/>
          <w:bCs/>
          <w:color w:val="767171"/>
        </w:rPr>
        <w:t>:</w:t>
      </w:r>
      <w:r w:rsidRPr="006D0445">
        <w:rPr>
          <w:rFonts w:eastAsia="Times New Roman"/>
          <w:color w:val="767171"/>
        </w:rPr>
        <w:t xml:space="preserve"> En</w:t>
      </w:r>
      <w:r w:rsidRPr="006D0445">
        <w:rPr>
          <w:color w:val="767171"/>
        </w:rPr>
        <w:t xml:space="preserve"> conmemoración de la Semana del Derecho a Saber 2024, bajo el lema “Un derecho de todos”, y en el marco del Día Internacional del Derecho a Saber, nos unimos a la Dirección General de Ética e Integridad Gubernamental (</w:t>
      </w:r>
      <w:proofErr w:type="spellStart"/>
      <w:r w:rsidRPr="006D0445">
        <w:rPr>
          <w:color w:val="767171"/>
        </w:rPr>
        <w:t>DIGEIG</w:t>
      </w:r>
      <w:proofErr w:type="spellEnd"/>
      <w:r w:rsidRPr="006D0445">
        <w:rPr>
          <w:color w:val="767171"/>
        </w:rPr>
        <w:t>) para realizar una campaña durante toda la semana, enfocada en promover la transparencia y el acceso a la información pública.</w:t>
      </w:r>
      <w:r w:rsidR="009721F4" w:rsidRPr="006D0445">
        <w:rPr>
          <w:color w:val="767171"/>
        </w:rPr>
        <w:t xml:space="preserve"> </w:t>
      </w:r>
      <w:r w:rsidRPr="006D0445">
        <w:rPr>
          <w:color w:val="767171"/>
        </w:rPr>
        <w:t>Gracias a la Ley No. 200-04, todos los ciudadanos en nuestro país tienen el derecho de solicitar y recibir información de las instituciones públicas, una herramienta fundamental para fortalecer la democracia y garantizar una gestión pública abierta y responsable.</w:t>
      </w:r>
    </w:p>
    <w:p w14:paraId="57930E8C" w14:textId="2A46F962" w:rsidR="009721F4" w:rsidRPr="006D0445" w:rsidRDefault="009721F4" w:rsidP="008A1A95">
      <w:pPr>
        <w:rPr>
          <w:color w:val="767171"/>
        </w:rPr>
      </w:pPr>
      <w:r w:rsidRPr="006D0445">
        <w:rPr>
          <w:b/>
          <w:bCs/>
          <w:color w:val="767171"/>
        </w:rPr>
        <w:t>Campaña Funciones de la SIE</w:t>
      </w:r>
      <w:r w:rsidR="00C84E4C" w:rsidRPr="006D0445">
        <w:rPr>
          <w:b/>
          <w:bCs/>
          <w:color w:val="767171"/>
        </w:rPr>
        <w:t>:</w:t>
      </w:r>
      <w:r w:rsidR="00C84E4C" w:rsidRPr="006D0445">
        <w:rPr>
          <w:color w:val="767171"/>
        </w:rPr>
        <w:t xml:space="preserve"> </w:t>
      </w:r>
      <w:r w:rsidRPr="006D0445">
        <w:rPr>
          <w:color w:val="767171"/>
        </w:rPr>
        <w:t>A través de esta campaña, realizamos un despliegue con una serie de publicaciones para informar a la ciudadanía sobre nuestra función, en específico, sobre como trabajamos para asegurar un suministro eléctrico seguro y, además, como ente regular del subsector eléctrico.</w:t>
      </w:r>
    </w:p>
    <w:p w14:paraId="3FA1E468" w14:textId="2EF7E873" w:rsidR="009721F4" w:rsidRPr="006D0445" w:rsidRDefault="009721F4" w:rsidP="008A1A95">
      <w:pPr>
        <w:rPr>
          <w:color w:val="767171"/>
        </w:rPr>
      </w:pPr>
      <w:r w:rsidRPr="006D0445">
        <w:rPr>
          <w:color w:val="767171"/>
        </w:rPr>
        <w:t>Explicamos, obligación de fiscalizar y supervisar el cumplimiento de las disposiciones legales, reglamentarias y la normativa técnica aplicable, en relación con el desarrollo de las actividades de generación, transmisión, distribución y comercialización de electricidad.</w:t>
      </w:r>
    </w:p>
    <w:p w14:paraId="34D401EC" w14:textId="57C0CE57" w:rsidR="00C84E4C" w:rsidRPr="006D0445" w:rsidRDefault="00C84E4C" w:rsidP="008A1A95">
      <w:pPr>
        <w:rPr>
          <w:color w:val="767171"/>
        </w:rPr>
      </w:pPr>
      <w:r w:rsidRPr="006D0445">
        <w:rPr>
          <w:b/>
          <w:bCs/>
          <w:color w:val="767171"/>
        </w:rPr>
        <w:t>Campaña Dominicana Eficiente:</w:t>
      </w:r>
      <w:r w:rsidRPr="006D0445">
        <w:rPr>
          <w:b/>
          <w:bCs/>
          <w:color w:val="767171"/>
          <w:sz w:val="28"/>
          <w:szCs w:val="28"/>
        </w:rPr>
        <w:t xml:space="preserve"> </w:t>
      </w:r>
      <w:r w:rsidRPr="006D0445">
        <w:rPr>
          <w:color w:val="767171"/>
        </w:rPr>
        <w:t>Con esta iniciativa, buscamos concientizar a la ciudadanía sobre la importancia de realizar pequeños cambios tanto en el hogar como en la oficina para reducir el consumo eléctrico. A través de esta campaña, se invitó a todos los dominicanos a formar parte del cambio hacia un país más eficiente y sostenible.</w:t>
      </w:r>
    </w:p>
    <w:p w14:paraId="67779026" w14:textId="445A88BC" w:rsidR="009721F4" w:rsidRPr="006D0445" w:rsidRDefault="00C84E4C" w:rsidP="008A1A95">
      <w:pPr>
        <w:rPr>
          <w:color w:val="767171"/>
        </w:rPr>
      </w:pPr>
      <w:r w:rsidRPr="006D0445">
        <w:rPr>
          <w:rFonts w:eastAsia="Times New Roman"/>
          <w:bCs/>
          <w:color w:val="767171"/>
        </w:rPr>
        <w:lastRenderedPageBreak/>
        <w:t>Adicionalmente, esta campaña busca educar a los usuarios sobre la importancia de adoptar prácticas de ahorro energético y valorar los recursos eléctricos, ya que no solo ayuda a proteger nuestro medio ambiente, sino que también reduce los gastos de energía en los hogares, lo cual se reflejará en una factura eléctrica más baja.</w:t>
      </w:r>
    </w:p>
    <w:p w14:paraId="13FF521D" w14:textId="0E411011" w:rsidR="00C84E4C" w:rsidRPr="006D0445" w:rsidRDefault="00C84E4C" w:rsidP="008A1A95">
      <w:pPr>
        <w:spacing w:before="240" w:after="240"/>
        <w:rPr>
          <w:rFonts w:eastAsia="Times New Roman"/>
          <w:bCs/>
          <w:color w:val="767171"/>
        </w:rPr>
      </w:pPr>
      <w:r w:rsidRPr="006D0445">
        <w:rPr>
          <w:b/>
          <w:bCs/>
          <w:color w:val="767171"/>
        </w:rPr>
        <w:t>Campaña de verano y aumento del consumo eléctrico:</w:t>
      </w:r>
      <w:r w:rsidRPr="006D0445">
        <w:rPr>
          <w:rFonts w:eastAsia="Times New Roman"/>
          <w:b/>
          <w:color w:val="767171"/>
          <w:sz w:val="28"/>
          <w:szCs w:val="28"/>
        </w:rPr>
        <w:t xml:space="preserve"> </w:t>
      </w:r>
      <w:r w:rsidRPr="006D0445">
        <w:rPr>
          <w:rFonts w:eastAsia="Times New Roman"/>
          <w:bCs/>
          <w:color w:val="767171"/>
        </w:rPr>
        <w:t>Realizamos, a través de nuestras redes sociales, una campaña de comunicación explicándoles a la población dominicana el aumento de su factura eléctrica durante el verano. Explicamos cómo, en esta temporada, además de enfrentarnos a temperaturas más altas, las facturas eléctricas tienden a ser más elevadas.</w:t>
      </w:r>
    </w:p>
    <w:p w14:paraId="34618250" w14:textId="3ECFF737" w:rsidR="00921DE8" w:rsidRPr="006D0445" w:rsidRDefault="00C84E4C" w:rsidP="008A1A95">
      <w:pPr>
        <w:rPr>
          <w:rFonts w:eastAsia="Times New Roman"/>
          <w:bCs/>
          <w:color w:val="767171"/>
        </w:rPr>
      </w:pPr>
      <w:r w:rsidRPr="006D0445">
        <w:rPr>
          <w:rFonts w:eastAsia="Times New Roman"/>
          <w:bCs/>
          <w:color w:val="767171"/>
        </w:rPr>
        <w:t>Contextualizamos que, con días más largos y las vacaciones escolares, el hogar suele estar más activo. Esto se traduce en un mayor uso de abanicos, bombillos y electrodomésticos, que trabajan más para compensar el calor adicional del ambiente.</w:t>
      </w:r>
    </w:p>
    <w:p w14:paraId="46B9836C" w14:textId="2EA96889" w:rsidR="00C36C40" w:rsidRPr="006D0445" w:rsidRDefault="00C36C40" w:rsidP="008A1A95">
      <w:pPr>
        <w:jc w:val="left"/>
        <w:rPr>
          <w:color w:val="767171"/>
        </w:rPr>
      </w:pPr>
      <w:r w:rsidRPr="006D0445">
        <w:rPr>
          <w:b/>
          <w:bCs/>
          <w:color w:val="767171"/>
        </w:rPr>
        <w:t>Reproducciones, me gusta, suscripciones</w:t>
      </w:r>
      <w:r w:rsidRPr="006D0445">
        <w:rPr>
          <w:color w:val="767171"/>
        </w:rPr>
        <w:t xml:space="preserve"> </w:t>
      </w:r>
    </w:p>
    <w:p w14:paraId="7CBE4F1D" w14:textId="397AE30F" w:rsidR="00C36C40" w:rsidRPr="006D0445" w:rsidRDefault="00C36C40" w:rsidP="008A1A95">
      <w:pPr>
        <w:rPr>
          <w:color w:val="767171"/>
        </w:rPr>
      </w:pPr>
      <w:r w:rsidRPr="006D0445">
        <w:rPr>
          <w:color w:val="767171"/>
        </w:rPr>
        <w:t>Meta: Aumentar el total de seguidores en un 5% en Instagram, tomando como referencia el total de 11,442 seguidores al 1 de enero de 2024.</w:t>
      </w:r>
      <w:r w:rsidRPr="006D0445">
        <w:rPr>
          <w:color w:val="767171"/>
        </w:rPr>
        <w:br/>
        <w:t>Meta Anual en Número de Seguidores: Incremento de 573 seguidores, para alcanzar 12,015 seguidores al cierre de 2024.</w:t>
      </w:r>
    </w:p>
    <w:p w14:paraId="31F01D05" w14:textId="69A86883" w:rsidR="00C36C40" w:rsidRPr="006D0445" w:rsidRDefault="00C36C40" w:rsidP="008A1A95">
      <w:pPr>
        <w:rPr>
          <w:color w:val="767171"/>
        </w:rPr>
      </w:pPr>
      <w:r w:rsidRPr="006D0445">
        <w:rPr>
          <w:color w:val="767171"/>
        </w:rPr>
        <w:t xml:space="preserve">Reporte de Seguimiento (1 de </w:t>
      </w:r>
      <w:proofErr w:type="gramStart"/>
      <w:r w:rsidRPr="006D0445">
        <w:rPr>
          <w:color w:val="767171"/>
        </w:rPr>
        <w:t>Enero</w:t>
      </w:r>
      <w:proofErr w:type="gramEnd"/>
      <w:r w:rsidRPr="006D0445">
        <w:rPr>
          <w:color w:val="767171"/>
        </w:rPr>
        <w:t xml:space="preserve"> - 25 de Noviembre 2024)</w:t>
      </w:r>
    </w:p>
    <w:p w14:paraId="2FAEDAA1" w14:textId="165A7C96" w:rsidR="00C36C40" w:rsidRPr="006D0445" w:rsidRDefault="00C36C40" w:rsidP="008A1A95">
      <w:pPr>
        <w:pStyle w:val="Prrafodelista"/>
        <w:numPr>
          <w:ilvl w:val="0"/>
          <w:numId w:val="25"/>
        </w:numPr>
        <w:jc w:val="left"/>
        <w:rPr>
          <w:color w:val="767171"/>
        </w:rPr>
      </w:pPr>
      <w:r w:rsidRPr="006D0445">
        <w:rPr>
          <w:color w:val="767171"/>
        </w:rPr>
        <w:t xml:space="preserve">Seguidores Iniciales al 1 de </w:t>
      </w:r>
      <w:proofErr w:type="gramStart"/>
      <w:r w:rsidRPr="006D0445">
        <w:rPr>
          <w:color w:val="767171"/>
        </w:rPr>
        <w:t>Enero</w:t>
      </w:r>
      <w:proofErr w:type="gramEnd"/>
      <w:r w:rsidRPr="006D0445">
        <w:rPr>
          <w:color w:val="767171"/>
        </w:rPr>
        <w:t>: 11,442</w:t>
      </w:r>
    </w:p>
    <w:p w14:paraId="26FFA450" w14:textId="77777777" w:rsidR="00C36C40" w:rsidRPr="006D0445" w:rsidRDefault="00C36C40" w:rsidP="008A1A95">
      <w:pPr>
        <w:pStyle w:val="Prrafodelista"/>
        <w:numPr>
          <w:ilvl w:val="0"/>
          <w:numId w:val="25"/>
        </w:numPr>
        <w:jc w:val="left"/>
        <w:rPr>
          <w:color w:val="767171"/>
        </w:rPr>
      </w:pPr>
      <w:r w:rsidRPr="006D0445">
        <w:rPr>
          <w:color w:val="767171"/>
        </w:rPr>
        <w:t xml:space="preserve">Seguidores al 25 de </w:t>
      </w:r>
      <w:proofErr w:type="gramStart"/>
      <w:r w:rsidRPr="006D0445">
        <w:rPr>
          <w:color w:val="767171"/>
        </w:rPr>
        <w:t>Noviembre</w:t>
      </w:r>
      <w:proofErr w:type="gramEnd"/>
      <w:r w:rsidRPr="006D0445">
        <w:rPr>
          <w:color w:val="767171"/>
        </w:rPr>
        <w:t>: 12,600</w:t>
      </w:r>
    </w:p>
    <w:p w14:paraId="5A9C554E" w14:textId="77777777" w:rsidR="00C36C40" w:rsidRPr="006D0445" w:rsidRDefault="00C36C40" w:rsidP="008A1A95">
      <w:pPr>
        <w:pStyle w:val="Prrafodelista"/>
        <w:numPr>
          <w:ilvl w:val="0"/>
          <w:numId w:val="25"/>
        </w:numPr>
        <w:jc w:val="left"/>
        <w:rPr>
          <w:color w:val="767171"/>
        </w:rPr>
      </w:pPr>
      <w:r w:rsidRPr="006D0445">
        <w:rPr>
          <w:color w:val="767171"/>
        </w:rPr>
        <w:t>Crecimiento Total en el Periodo: 1,158 nuevos seguidores</w:t>
      </w:r>
    </w:p>
    <w:p w14:paraId="05EE0757" w14:textId="77777777" w:rsidR="00C36C40" w:rsidRPr="006D0445" w:rsidRDefault="00C36C40" w:rsidP="008A1A95">
      <w:pPr>
        <w:rPr>
          <w:color w:val="767171"/>
        </w:rPr>
      </w:pPr>
      <w:r w:rsidRPr="006D0445">
        <w:rPr>
          <w:color w:val="767171"/>
        </w:rPr>
        <w:t>Análisis:</w:t>
      </w:r>
      <w:r w:rsidRPr="006D0445">
        <w:rPr>
          <w:color w:val="767171"/>
        </w:rPr>
        <w:br/>
        <w:t>El rendimiento en Instagram ha superado con creces la meta establecida para el año 2024. Se logró duplicar el objetivo planteado, reflejando el impacto de las estrategias implementadas en las publicaciones, el aumento de interacción, y el enfoque en contenido relevante.</w:t>
      </w:r>
    </w:p>
    <w:p w14:paraId="179C42C4" w14:textId="32C8E0DA" w:rsidR="00C36C40" w:rsidRPr="006D0445" w:rsidRDefault="00C36C40" w:rsidP="008A1A95">
      <w:pPr>
        <w:jc w:val="left"/>
        <w:rPr>
          <w:b/>
          <w:bCs/>
          <w:color w:val="767171"/>
        </w:rPr>
      </w:pPr>
      <w:r w:rsidRPr="006D0445">
        <w:rPr>
          <w:b/>
          <w:bCs/>
          <w:color w:val="767171"/>
        </w:rPr>
        <w:t>Impacto en Twitter (X)</w:t>
      </w:r>
    </w:p>
    <w:p w14:paraId="1C7FA2C5" w14:textId="77777777" w:rsidR="00BD03A8" w:rsidRDefault="00C36C40" w:rsidP="00BD03A8">
      <w:pPr>
        <w:jc w:val="left"/>
        <w:rPr>
          <w:color w:val="767171"/>
        </w:rPr>
      </w:pPr>
      <w:r w:rsidRPr="006D0445">
        <w:rPr>
          <w:color w:val="767171"/>
        </w:rPr>
        <w:t>Resumen de Actividad:</w:t>
      </w:r>
    </w:p>
    <w:p w14:paraId="60BA087B" w14:textId="44994999" w:rsidR="00BD03A8" w:rsidRDefault="00C36C40" w:rsidP="00BD03A8">
      <w:pPr>
        <w:rPr>
          <w:color w:val="767171"/>
        </w:rPr>
      </w:pPr>
      <w:r w:rsidRPr="006D0445">
        <w:rPr>
          <w:color w:val="767171"/>
        </w:rPr>
        <w:t>En la red social X, observamos un crecimiento notable en la actividad de la cuenta, con un incremento del 35.98% en el número de tweets, alcanzando un total de 223 tweets en lo que va del año. Este desempeño supera las métricas de años anteriores y resalta el compromiso del equipo en expandir la presencia y alcance de nuestras publicaciones en esta plataforma.</w:t>
      </w:r>
    </w:p>
    <w:p w14:paraId="47A9599C" w14:textId="77777777" w:rsidR="00BD03A8" w:rsidRDefault="00BD03A8">
      <w:pPr>
        <w:spacing w:line="259" w:lineRule="auto"/>
        <w:jc w:val="left"/>
        <w:rPr>
          <w:color w:val="767171"/>
        </w:rPr>
      </w:pPr>
      <w:r>
        <w:rPr>
          <w:color w:val="767171"/>
        </w:rPr>
        <w:br w:type="page"/>
      </w:r>
    </w:p>
    <w:p w14:paraId="5BE44820" w14:textId="193FC023" w:rsidR="00C36C40" w:rsidRPr="006D0445" w:rsidRDefault="00C36C40" w:rsidP="008A1A95">
      <w:pPr>
        <w:jc w:val="left"/>
        <w:rPr>
          <w:b/>
          <w:bCs/>
          <w:color w:val="767171"/>
        </w:rPr>
      </w:pPr>
      <w:r w:rsidRPr="006D0445">
        <w:rPr>
          <w:b/>
          <w:bCs/>
          <w:color w:val="767171"/>
        </w:rPr>
        <w:lastRenderedPageBreak/>
        <w:t>Impacto en LinkedIn</w:t>
      </w:r>
    </w:p>
    <w:p w14:paraId="2009AA3A" w14:textId="46DF8625" w:rsidR="00446417" w:rsidRPr="006D0445" w:rsidRDefault="00C36C40" w:rsidP="008A1A95">
      <w:pPr>
        <w:jc w:val="left"/>
        <w:rPr>
          <w:color w:val="767171"/>
        </w:rPr>
      </w:pPr>
      <w:r w:rsidRPr="006D0445">
        <w:rPr>
          <w:color w:val="767171"/>
        </w:rPr>
        <w:t>Verificación de la Cuenta:</w:t>
      </w:r>
      <w:r w:rsidR="00446417" w:rsidRPr="006D0445">
        <w:rPr>
          <w:color w:val="767171"/>
        </w:rPr>
        <w:t xml:space="preserve"> </w:t>
      </w:r>
      <w:r w:rsidRPr="006D0445">
        <w:rPr>
          <w:color w:val="767171"/>
        </w:rPr>
        <w:t>LinkedIn se mantiene como nuestra primera red social verificada, consolidando nuestra imagen de credibilidad y autoridad.</w:t>
      </w:r>
      <w:r w:rsidRPr="006D0445">
        <w:rPr>
          <w:color w:val="767171"/>
        </w:rPr>
        <w:br/>
        <w:t>Seguidores Totales:</w:t>
      </w:r>
      <w:r w:rsidR="00446417" w:rsidRPr="006D0445">
        <w:rPr>
          <w:color w:val="767171"/>
        </w:rPr>
        <w:t xml:space="preserve"> </w:t>
      </w:r>
      <w:r w:rsidRPr="006D0445">
        <w:rPr>
          <w:color w:val="767171"/>
        </w:rPr>
        <w:t xml:space="preserve">Al corte del 25 de noviembre de 2024, la cuenta </w:t>
      </w:r>
      <w:proofErr w:type="spellStart"/>
      <w:r w:rsidRPr="006D0445">
        <w:rPr>
          <w:color w:val="767171"/>
        </w:rPr>
        <w:t>cuenta</w:t>
      </w:r>
      <w:proofErr w:type="spellEnd"/>
      <w:r w:rsidRPr="006D0445">
        <w:rPr>
          <w:color w:val="767171"/>
        </w:rPr>
        <w:t xml:space="preserve"> con 3,818 seguidores, reflejando el interés y confianza generados en esta red profesional.</w:t>
      </w:r>
    </w:p>
    <w:p w14:paraId="748003A3" w14:textId="77777777" w:rsidR="00031512" w:rsidRPr="00C448FD" w:rsidRDefault="00031512">
      <w:pPr>
        <w:spacing w:line="259" w:lineRule="auto"/>
        <w:jc w:val="left"/>
        <w:rPr>
          <w:color w:val="767171"/>
        </w:rPr>
      </w:pPr>
      <w:r w:rsidRPr="00C448FD">
        <w:rPr>
          <w:b/>
          <w:bCs/>
          <w:color w:val="767171"/>
        </w:rPr>
        <w:t>Responsabilidad Social Corporativa</w:t>
      </w:r>
      <w:r w:rsidRPr="00C448FD">
        <w:rPr>
          <w:color w:val="767171"/>
        </w:rPr>
        <w:t xml:space="preserve"> </w:t>
      </w:r>
    </w:p>
    <w:p w14:paraId="74446D4F" w14:textId="77C0DE74" w:rsidR="00022306" w:rsidRPr="006D0445" w:rsidRDefault="00F23EE0" w:rsidP="00022306">
      <w:pPr>
        <w:shd w:val="clear" w:color="auto" w:fill="FFFFFF"/>
        <w:rPr>
          <w:rFonts w:eastAsia="Times New Roman"/>
          <w:color w:val="767171"/>
        </w:rPr>
      </w:pPr>
      <w:r w:rsidRPr="006D0445">
        <w:rPr>
          <w:color w:val="767171"/>
        </w:rPr>
        <w:t>La SIE a través del</w:t>
      </w:r>
      <w:r w:rsidR="00022306" w:rsidRPr="006D0445">
        <w:rPr>
          <w:rFonts w:eastAsia="Times New Roman"/>
          <w:color w:val="767171"/>
        </w:rPr>
        <w:t xml:space="preserve"> taller educativo interactivo "Yo Soy Energía"</w:t>
      </w:r>
      <w:r w:rsidRPr="006D0445">
        <w:rPr>
          <w:rFonts w:eastAsia="Times New Roman"/>
          <w:color w:val="767171"/>
        </w:rPr>
        <w:t>, una de las</w:t>
      </w:r>
      <w:r w:rsidR="00022306" w:rsidRPr="006D0445">
        <w:rPr>
          <w:rFonts w:eastAsia="Times New Roman"/>
          <w:color w:val="767171"/>
        </w:rPr>
        <w:t xml:space="preserve"> iniciativas destacadas de </w:t>
      </w:r>
      <w:proofErr w:type="spellStart"/>
      <w:r w:rsidR="00022306" w:rsidRPr="006D0445">
        <w:rPr>
          <w:rFonts w:eastAsia="Times New Roman"/>
          <w:color w:val="767171"/>
        </w:rPr>
        <w:t>SIEduca</w:t>
      </w:r>
      <w:proofErr w:type="spellEnd"/>
      <w:r w:rsidR="00022306" w:rsidRPr="006D0445">
        <w:rPr>
          <w:rFonts w:eastAsia="Times New Roman"/>
          <w:color w:val="767171"/>
        </w:rPr>
        <w:t>, en el cual se abordan aspectos relacionados con la electricidad, desde su historia hasta la importancia del uso eficiente. Los estudiantes participan activamente en trivias y preguntas, creando un ambiente de aprendizaje dinámico y divertido. Este taller ha sido fundamental para despertar el interés de los estudiantes en temas de eficiencia energética y sostenibilidad.</w:t>
      </w:r>
    </w:p>
    <w:p w14:paraId="571C21EA" w14:textId="65127082" w:rsidR="00022306" w:rsidRPr="006D0445" w:rsidRDefault="00022306" w:rsidP="00022306">
      <w:pPr>
        <w:shd w:val="clear" w:color="auto" w:fill="FFFFFF"/>
        <w:rPr>
          <w:rFonts w:eastAsia="Times New Roman"/>
          <w:color w:val="767171"/>
        </w:rPr>
      </w:pPr>
      <w:r w:rsidRPr="006D0445">
        <w:rPr>
          <w:rFonts w:eastAsia="Times New Roman"/>
          <w:color w:val="767171"/>
        </w:rPr>
        <w:t>El programa tiene un enfoque integral y la capacidad para adaptarse a diferentes niveles educativos y formas de aprendizaje, debido a que la iniciativa no solo proporciona conocimientos técnicos sobre energía, sino que también promueve una cultura de sostenibilidad y responsabilidad ambiental.</w:t>
      </w:r>
      <w:r w:rsidR="00F23EE0" w:rsidRPr="006D0445">
        <w:rPr>
          <w:rFonts w:eastAsia="Times New Roman"/>
          <w:color w:val="767171"/>
        </w:rPr>
        <w:t xml:space="preserve"> </w:t>
      </w:r>
      <w:r w:rsidRPr="006D0445">
        <w:rPr>
          <w:rFonts w:eastAsia="Times New Roman"/>
          <w:color w:val="767171"/>
        </w:rPr>
        <w:t xml:space="preserve">A la fecha, </w:t>
      </w:r>
      <w:r w:rsidR="00F23EE0" w:rsidRPr="006D0445">
        <w:rPr>
          <w:rFonts w:eastAsia="Times New Roman"/>
          <w:color w:val="767171"/>
        </w:rPr>
        <w:t>se han</w:t>
      </w:r>
      <w:r w:rsidRPr="006D0445">
        <w:rPr>
          <w:rFonts w:eastAsia="Times New Roman"/>
          <w:color w:val="767171"/>
        </w:rPr>
        <w:t xml:space="preserve"> impactado más de </w:t>
      </w:r>
      <w:r w:rsidR="00F23EE0" w:rsidRPr="006D0445">
        <w:rPr>
          <w:rFonts w:eastAsia="Times New Roman"/>
          <w:color w:val="767171"/>
        </w:rPr>
        <w:t>cinco mil (5,000) estudiantes</w:t>
      </w:r>
      <w:r w:rsidRPr="006D0445">
        <w:rPr>
          <w:rFonts w:eastAsia="Times New Roman"/>
          <w:color w:val="767171"/>
        </w:rPr>
        <w:t xml:space="preserve"> a nivel nacional. </w:t>
      </w:r>
    </w:p>
    <w:p w14:paraId="1373842A" w14:textId="218E4FA1" w:rsidR="001A00FC" w:rsidRPr="006D0445" w:rsidRDefault="002D72F8" w:rsidP="001A00FC">
      <w:pPr>
        <w:pStyle w:val="Descripcin"/>
        <w:keepNext/>
        <w:rPr>
          <w:color w:val="767171"/>
        </w:rPr>
      </w:pPr>
      <w:r w:rsidRPr="006D0445">
        <w:rPr>
          <w:color w:val="767171"/>
        </w:rPr>
        <w:t>T</w:t>
      </w:r>
      <w:r w:rsidR="001A00FC" w:rsidRPr="006D0445">
        <w:rPr>
          <w:color w:val="767171"/>
        </w:rPr>
        <w:t xml:space="preserve">abla </w:t>
      </w:r>
      <w:r w:rsidR="001A00FC" w:rsidRPr="006D0445">
        <w:rPr>
          <w:color w:val="767171"/>
        </w:rPr>
        <w:fldChar w:fldCharType="begin"/>
      </w:r>
      <w:r w:rsidR="001A00FC" w:rsidRPr="006D0445">
        <w:rPr>
          <w:color w:val="767171"/>
        </w:rPr>
        <w:instrText xml:space="preserve"> SEQ Tabla \* ARABIC </w:instrText>
      </w:r>
      <w:r w:rsidR="001A00FC" w:rsidRPr="006D0445">
        <w:rPr>
          <w:color w:val="767171"/>
        </w:rPr>
        <w:fldChar w:fldCharType="separate"/>
      </w:r>
      <w:r w:rsidR="002F127B">
        <w:rPr>
          <w:noProof/>
          <w:color w:val="767171"/>
        </w:rPr>
        <w:t>13</w:t>
      </w:r>
      <w:r w:rsidR="001A00FC" w:rsidRPr="006D0445">
        <w:rPr>
          <w:color w:val="767171"/>
        </w:rPr>
        <w:fldChar w:fldCharType="end"/>
      </w:r>
      <w:r w:rsidR="001A00FC" w:rsidRPr="006D0445">
        <w:rPr>
          <w:color w:val="767171"/>
        </w:rPr>
        <w:t xml:space="preserve"> Visitantes Exposición “Yo Soy Energía”</w:t>
      </w:r>
    </w:p>
    <w:tbl>
      <w:tblPr>
        <w:tblStyle w:val="Tablaconcuadrcula4-nfasis5"/>
        <w:tblW w:w="8075" w:type="dxa"/>
        <w:tblLook w:val="04A0" w:firstRow="1" w:lastRow="0" w:firstColumn="1" w:lastColumn="0" w:noHBand="0" w:noVBand="1"/>
      </w:tblPr>
      <w:tblGrid>
        <w:gridCol w:w="570"/>
        <w:gridCol w:w="7505"/>
      </w:tblGrid>
      <w:tr w:rsidR="006D0445" w:rsidRPr="006D0445" w14:paraId="079FD0EF" w14:textId="77777777" w:rsidTr="002D72F8">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011C50"/>
            <w:vAlign w:val="center"/>
          </w:tcPr>
          <w:p w14:paraId="6FB04CA2" w14:textId="77777777" w:rsidR="00F23EE0" w:rsidRPr="00C448FD" w:rsidRDefault="00F23EE0" w:rsidP="00936436">
            <w:pPr>
              <w:spacing w:line="276" w:lineRule="auto"/>
              <w:jc w:val="center"/>
              <w:rPr>
                <w:rFonts w:eastAsia="Calibri"/>
                <w:b w:val="0"/>
                <w:bCs w:val="0"/>
                <w:noProof/>
                <w:color w:val="FFFFFF" w:themeColor="background1"/>
              </w:rPr>
            </w:pPr>
            <w:r w:rsidRPr="00C448FD">
              <w:rPr>
                <w:rFonts w:eastAsia="Calibri"/>
                <w:b w:val="0"/>
                <w:bCs w:val="0"/>
                <w:noProof/>
                <w:color w:val="FFFFFF" w:themeColor="background1"/>
              </w:rPr>
              <w:t>No.</w:t>
            </w:r>
          </w:p>
        </w:tc>
        <w:tc>
          <w:tcPr>
            <w:tcW w:w="7505" w:type="dxa"/>
            <w:tcBorders>
              <w:top w:val="single" w:sz="4" w:space="0" w:color="auto"/>
              <w:left w:val="single" w:sz="4" w:space="0" w:color="auto"/>
              <w:bottom w:val="single" w:sz="4" w:space="0" w:color="auto"/>
              <w:right w:val="single" w:sz="4" w:space="0" w:color="auto"/>
            </w:tcBorders>
            <w:shd w:val="clear" w:color="auto" w:fill="011C50"/>
            <w:vAlign w:val="center"/>
          </w:tcPr>
          <w:p w14:paraId="5978E78C" w14:textId="5C4B93B8" w:rsidR="00F23EE0" w:rsidRPr="00C448FD" w:rsidRDefault="00F23EE0" w:rsidP="00936436">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noProof/>
                <w:color w:val="FFFFFF" w:themeColor="background1"/>
              </w:rPr>
            </w:pPr>
            <w:r w:rsidRPr="00C448FD">
              <w:rPr>
                <w:rFonts w:eastAsia="Calibri"/>
                <w:b w:val="0"/>
                <w:bCs w:val="0"/>
                <w:noProof/>
                <w:color w:val="FFFFFF" w:themeColor="background1"/>
              </w:rPr>
              <w:t>Centro Educativo/ Institución</w:t>
            </w:r>
          </w:p>
        </w:tc>
      </w:tr>
      <w:tr w:rsidR="006D0445" w:rsidRPr="006D0445" w14:paraId="4EF054D5" w14:textId="77777777" w:rsidTr="002D7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F1979" w14:textId="77777777" w:rsidR="00F23EE0" w:rsidRPr="006D0445" w:rsidRDefault="00F23EE0" w:rsidP="00AE6336">
            <w:pPr>
              <w:pStyle w:val="Prrafodelista"/>
              <w:numPr>
                <w:ilvl w:val="0"/>
                <w:numId w:val="16"/>
              </w:numPr>
              <w:ind w:left="0" w:firstLine="0"/>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F6B8" w14:textId="0C16F4A7" w:rsidR="00F23EE0" w:rsidRPr="006D0445" w:rsidRDefault="00F23EE0" w:rsidP="00F23EE0">
            <w:pPr>
              <w:spacing w:line="276"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Colegio Santa Valentina, y a los liceos Juan Pablo Duarte y Francisco del Rosario Sánchez.</w:t>
            </w:r>
          </w:p>
        </w:tc>
      </w:tr>
      <w:tr w:rsidR="006D0445" w:rsidRPr="006D0445" w14:paraId="427D1CBC" w14:textId="77777777" w:rsidTr="002D72F8">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35E6B"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366B" w14:textId="0E6CB907"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rPr>
              <w:t>Centros educativos Emma Balaguer (Santo Domingo Oeste) y San Miguel Arcángel (Santo Domingo Norte).</w:t>
            </w:r>
          </w:p>
        </w:tc>
      </w:tr>
      <w:tr w:rsidR="006D0445" w:rsidRPr="006D0445" w14:paraId="32D50C7C" w14:textId="77777777" w:rsidTr="00BA3C8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42493"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BF1CC" w14:textId="1BFF6A24" w:rsidR="00F23EE0" w:rsidRPr="006D0445" w:rsidRDefault="00F23EE0" w:rsidP="00F23EE0">
            <w:pPr>
              <w:spacing w:line="276"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Centro Educativo Cometas de Esperanza.</w:t>
            </w:r>
          </w:p>
        </w:tc>
      </w:tr>
      <w:tr w:rsidR="006D0445" w:rsidRPr="006D0445" w14:paraId="420905DE" w14:textId="77777777" w:rsidTr="002D72F8">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CC558"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B81B5" w14:textId="45CE6BB4"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rPr>
              <w:t xml:space="preserve">Centro Educativo Aníbal Ponce en </w:t>
            </w:r>
            <w:proofErr w:type="spellStart"/>
            <w:r w:rsidRPr="006D0445">
              <w:rPr>
                <w:color w:val="767171"/>
              </w:rPr>
              <w:t>Manganagua</w:t>
            </w:r>
            <w:proofErr w:type="spellEnd"/>
            <w:r w:rsidRPr="006D0445">
              <w:rPr>
                <w:color w:val="767171"/>
              </w:rPr>
              <w:t>.</w:t>
            </w:r>
          </w:p>
        </w:tc>
      </w:tr>
      <w:tr w:rsidR="006D0445" w:rsidRPr="006D0445" w14:paraId="649F0209" w14:textId="77777777" w:rsidTr="002D7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E5D2"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790C5" w14:textId="69A8A1D9" w:rsidR="00F23EE0" w:rsidRPr="006D0445" w:rsidRDefault="00F23EE0" w:rsidP="00F23EE0">
            <w:pPr>
              <w:spacing w:line="276"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 xml:space="preserve">Colegio Taller Victoria </w:t>
            </w:r>
            <w:proofErr w:type="spellStart"/>
            <w:r w:rsidRPr="006D0445">
              <w:rPr>
                <w:color w:val="767171"/>
              </w:rPr>
              <w:t>Montás</w:t>
            </w:r>
            <w:proofErr w:type="spellEnd"/>
            <w:r w:rsidRPr="006D0445">
              <w:rPr>
                <w:color w:val="767171"/>
              </w:rPr>
              <w:t xml:space="preserve"> en San Cristóbal</w:t>
            </w:r>
          </w:p>
        </w:tc>
      </w:tr>
      <w:tr w:rsidR="006D0445" w:rsidRPr="006D0445" w14:paraId="2E9C204F" w14:textId="77777777" w:rsidTr="00BA3C83">
        <w:trPr>
          <w:trHeight w:val="367"/>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E1100"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EFEE5" w14:textId="4B3217A3"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lang w:val="en-US"/>
              </w:rPr>
              <w:t xml:space="preserve">Colegio </w:t>
            </w:r>
            <w:proofErr w:type="spellStart"/>
            <w:r w:rsidRPr="006D0445">
              <w:rPr>
                <w:color w:val="767171"/>
                <w:lang w:val="en-US"/>
              </w:rPr>
              <w:t>Adventista</w:t>
            </w:r>
            <w:proofErr w:type="spellEnd"/>
            <w:r w:rsidRPr="006D0445">
              <w:rPr>
                <w:color w:val="767171"/>
                <w:lang w:val="en-US"/>
              </w:rPr>
              <w:t xml:space="preserve"> Metropolitano</w:t>
            </w:r>
          </w:p>
        </w:tc>
      </w:tr>
      <w:tr w:rsidR="006D0445" w:rsidRPr="006D0445" w14:paraId="1F3D01CF" w14:textId="77777777" w:rsidTr="002D7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3843"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B39B5" w14:textId="2F027E4B" w:rsidR="00F23EE0" w:rsidRPr="006D0445" w:rsidRDefault="00F23EE0" w:rsidP="00F23EE0">
            <w:pPr>
              <w:spacing w:line="276"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Colegio Santa Rosa de Lima en Santo Domingo</w:t>
            </w:r>
          </w:p>
        </w:tc>
      </w:tr>
      <w:tr w:rsidR="006D0445" w:rsidRPr="006D0445" w14:paraId="3B194653" w14:textId="77777777" w:rsidTr="002D72F8">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B2F14"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9D3AD" w14:textId="46020003"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rPr>
              <w:t>Colegio Divina Pastora en Barahona</w:t>
            </w:r>
          </w:p>
        </w:tc>
      </w:tr>
      <w:tr w:rsidR="006D0445" w:rsidRPr="006D0445" w14:paraId="443D968C" w14:textId="77777777" w:rsidTr="002D72F8">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BA7E2"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458BF" w14:textId="5A1E5549" w:rsidR="00F23EE0" w:rsidRPr="006D0445" w:rsidRDefault="00F23EE0" w:rsidP="00F23EE0">
            <w:pPr>
              <w:spacing w:line="276"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Instituto Politécnico de Loyola (</w:t>
            </w:r>
            <w:proofErr w:type="spellStart"/>
            <w:r w:rsidRPr="006D0445">
              <w:rPr>
                <w:color w:val="767171"/>
              </w:rPr>
              <w:t>IPL</w:t>
            </w:r>
            <w:proofErr w:type="spellEnd"/>
            <w:r w:rsidRPr="006D0445">
              <w:rPr>
                <w:color w:val="767171"/>
              </w:rPr>
              <w:t>) en San Cristóbal</w:t>
            </w:r>
          </w:p>
        </w:tc>
      </w:tr>
      <w:tr w:rsidR="006D0445" w:rsidRPr="006D0445" w14:paraId="139704B4" w14:textId="77777777" w:rsidTr="002D72F8">
        <w:trPr>
          <w:trHeight w:val="219"/>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555ED"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E0923" w14:textId="0FE490B6"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rPr>
              <w:t>Centro Pedagógico Gabriela Mistral en Santo Domingo Norte.</w:t>
            </w:r>
          </w:p>
        </w:tc>
      </w:tr>
      <w:tr w:rsidR="006D0445" w:rsidRPr="006D0445" w14:paraId="50FA1285" w14:textId="77777777" w:rsidTr="002D7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C35B3"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4D25E" w14:textId="13EAB549" w:rsidR="00F23EE0" w:rsidRPr="006D0445" w:rsidRDefault="00F23EE0" w:rsidP="00F23EE0">
            <w:pPr>
              <w:spacing w:line="240" w:lineRule="auto"/>
              <w:jc w:val="left"/>
              <w:cnfStyle w:val="000000100000" w:firstRow="0" w:lastRow="0" w:firstColumn="0" w:lastColumn="0" w:oddVBand="0" w:evenVBand="0" w:oddHBand="1" w:evenHBand="0" w:firstRowFirstColumn="0" w:firstRowLastColumn="0" w:lastRowFirstColumn="0" w:lastRowLastColumn="0"/>
              <w:rPr>
                <w:color w:val="767171"/>
                <w:sz w:val="22"/>
                <w:szCs w:val="22"/>
              </w:rPr>
            </w:pPr>
            <w:r w:rsidRPr="006D0445">
              <w:rPr>
                <w:color w:val="767171"/>
              </w:rPr>
              <w:t xml:space="preserve">Escuela Emiliano Espaillat en Fantino, provincia Sanchez Ramirez </w:t>
            </w:r>
          </w:p>
        </w:tc>
      </w:tr>
      <w:tr w:rsidR="006D0445" w:rsidRPr="006D0445" w14:paraId="72750777" w14:textId="77777777" w:rsidTr="002D72F8">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548DE" w14:textId="77777777" w:rsidR="00F23EE0" w:rsidRPr="006D0445" w:rsidRDefault="00F23EE0" w:rsidP="00AE6336">
            <w:pPr>
              <w:pStyle w:val="Prrafodelista"/>
              <w:numPr>
                <w:ilvl w:val="0"/>
                <w:numId w:val="16"/>
              </w:numPr>
              <w:jc w:val="center"/>
              <w:rPr>
                <w:b w:val="0"/>
                <w:bCs w:val="0"/>
                <w:color w:val="767171"/>
                <w:sz w:val="22"/>
                <w:szCs w:val="22"/>
              </w:rPr>
            </w:pPr>
          </w:p>
        </w:tc>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92A3D" w14:textId="6C5FCB3C" w:rsidR="00F23EE0" w:rsidRPr="006D0445" w:rsidRDefault="00F23EE0" w:rsidP="00F23EE0">
            <w:pPr>
              <w:spacing w:line="276" w:lineRule="auto"/>
              <w:jc w:val="left"/>
              <w:cnfStyle w:val="000000000000" w:firstRow="0" w:lastRow="0" w:firstColumn="0" w:lastColumn="0" w:oddVBand="0" w:evenVBand="0" w:oddHBand="0" w:evenHBand="0" w:firstRowFirstColumn="0" w:firstRowLastColumn="0" w:lastRowFirstColumn="0" w:lastRowLastColumn="0"/>
              <w:rPr>
                <w:color w:val="767171"/>
                <w:sz w:val="22"/>
                <w:szCs w:val="22"/>
              </w:rPr>
            </w:pPr>
            <w:r w:rsidRPr="006D0445">
              <w:rPr>
                <w:color w:val="767171"/>
              </w:rPr>
              <w:t xml:space="preserve">Centro Comunitario ERA de Fundación La Merced en la comunidad de Bienvenido, </w:t>
            </w:r>
            <w:proofErr w:type="spellStart"/>
            <w:r w:rsidRPr="006D0445">
              <w:rPr>
                <w:color w:val="767171"/>
              </w:rPr>
              <w:t>Manoguayabo</w:t>
            </w:r>
            <w:proofErr w:type="spellEnd"/>
            <w:r w:rsidRPr="006D0445">
              <w:rPr>
                <w:color w:val="767171"/>
              </w:rPr>
              <w:t>, Santo Domingo Este.</w:t>
            </w:r>
          </w:p>
        </w:tc>
      </w:tr>
    </w:tbl>
    <w:p w14:paraId="69492ED0" w14:textId="120A1035" w:rsidR="00446417" w:rsidRPr="00832511" w:rsidRDefault="00B24D3D" w:rsidP="00B82605">
      <w:pPr>
        <w:rPr>
          <w:rFonts w:eastAsia="Times New Roman"/>
          <w:color w:val="767171"/>
          <w:sz w:val="18"/>
          <w:szCs w:val="18"/>
        </w:rPr>
      </w:pPr>
      <w:r w:rsidRPr="00832511">
        <w:rPr>
          <w:rFonts w:eastAsia="Times New Roman"/>
          <w:color w:val="767171"/>
          <w:sz w:val="18"/>
          <w:szCs w:val="18"/>
        </w:rPr>
        <w:t>Fuente: Dirección de Comunicaciones</w:t>
      </w:r>
    </w:p>
    <w:p w14:paraId="271C8D28" w14:textId="77777777" w:rsidR="00446417" w:rsidRPr="006D0445" w:rsidRDefault="00446417">
      <w:pPr>
        <w:spacing w:line="259" w:lineRule="auto"/>
        <w:jc w:val="left"/>
        <w:rPr>
          <w:rFonts w:eastAsia="Times New Roman"/>
          <w:color w:val="767171"/>
          <w:sz w:val="16"/>
          <w:szCs w:val="16"/>
        </w:rPr>
      </w:pPr>
      <w:r w:rsidRPr="006D0445">
        <w:rPr>
          <w:rFonts w:eastAsia="Times New Roman"/>
          <w:color w:val="767171"/>
          <w:sz w:val="16"/>
          <w:szCs w:val="16"/>
        </w:rPr>
        <w:br w:type="page"/>
      </w:r>
    </w:p>
    <w:p w14:paraId="5387B91F" w14:textId="554A3190" w:rsidR="009C2845" w:rsidRPr="006D0445" w:rsidRDefault="00A37ECF" w:rsidP="006B3671">
      <w:pPr>
        <w:pStyle w:val="Ttulo1"/>
        <w:rPr>
          <w:lang w:eastAsia="es-ES"/>
        </w:rPr>
      </w:pPr>
      <w:bookmarkStart w:id="75" w:name="_Toc78552005"/>
      <w:bookmarkStart w:id="76" w:name="_Toc186147726"/>
      <w:r w:rsidRPr="006D0445">
        <w:rPr>
          <w:lang w:eastAsia="es-ES"/>
        </w:rPr>
        <w:lastRenderedPageBreak/>
        <w:t>SERVICIO AL CIUDADANO Y TRANSPARENCIA INSTITUCIONAL</w:t>
      </w:r>
      <w:bookmarkEnd w:id="75"/>
      <w:bookmarkEnd w:id="76"/>
    </w:p>
    <w:p w14:paraId="6BD22CD5" w14:textId="2E831101" w:rsidR="00582F88" w:rsidRPr="006D0445" w:rsidRDefault="00582F88" w:rsidP="006B3671">
      <w:pPr>
        <w:pStyle w:val="Ttulo2"/>
      </w:pPr>
      <w:bookmarkStart w:id="77" w:name="_Toc78552006"/>
      <w:bookmarkStart w:id="78" w:name="_Hlk77674436"/>
      <w:bookmarkStart w:id="79" w:name="_Toc186147727"/>
      <w:r w:rsidRPr="006D0445">
        <w:t>Nivel de la satisfacción con el servicio</w:t>
      </w:r>
      <w:bookmarkEnd w:id="77"/>
      <w:bookmarkEnd w:id="79"/>
    </w:p>
    <w:p w14:paraId="6B08F4B5" w14:textId="6D38EC9F" w:rsidR="007D5D5F" w:rsidRPr="006D0445" w:rsidRDefault="00947D6F" w:rsidP="00947D6F">
      <w:pPr>
        <w:rPr>
          <w:color w:val="767171"/>
          <w:lang w:val="es-ES"/>
        </w:rPr>
      </w:pPr>
      <w:r w:rsidRPr="006D0445">
        <w:rPr>
          <w:color w:val="767171"/>
          <w:lang w:val="es-ES"/>
        </w:rPr>
        <w:t>La Superintendencia de Electricidad realiza una encuesta para medir el nivel satisfacción en los puntos de atención al usuario en las oficinas de Protecom en base a cinco (5) criterios, los cuales son: amabilidad, tiempo de espera, horario de atención, accesibilidad a la institución, y comodidad de las instalaciones. A continuación, se muestran los resultados obtenidos hasta la fecha en el año 2024</w:t>
      </w:r>
    </w:p>
    <w:p w14:paraId="1CFD21E3" w14:textId="0C1F2DCC" w:rsidR="00A32195" w:rsidRPr="006D0445" w:rsidRDefault="00A32195" w:rsidP="00A32195">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14</w:t>
      </w:r>
      <w:r w:rsidRPr="006D0445">
        <w:rPr>
          <w:color w:val="767171"/>
        </w:rPr>
        <w:fldChar w:fldCharType="end"/>
      </w:r>
      <w:r w:rsidRPr="006D0445">
        <w:rPr>
          <w:color w:val="767171"/>
        </w:rPr>
        <w:t>Encuesta Satisfacción Usuario Protecom</w:t>
      </w:r>
    </w:p>
    <w:tbl>
      <w:tblPr>
        <w:tblStyle w:val="Tablaconcuadrcula"/>
        <w:tblpPr w:leftFromText="141" w:rightFromText="141" w:vertAnchor="text" w:horzAnchor="margin" w:tblpXSpec="center" w:tblpY="436"/>
        <w:tblW w:w="0" w:type="auto"/>
        <w:tblLook w:val="04A0" w:firstRow="1" w:lastRow="0" w:firstColumn="1" w:lastColumn="0" w:noHBand="0" w:noVBand="1"/>
      </w:tblPr>
      <w:tblGrid>
        <w:gridCol w:w="2945"/>
        <w:gridCol w:w="2835"/>
      </w:tblGrid>
      <w:tr w:rsidR="006D0445" w:rsidRPr="006D0445" w14:paraId="2710D477" w14:textId="77777777" w:rsidTr="00BD03A8">
        <w:trPr>
          <w:trHeight w:val="588"/>
        </w:trPr>
        <w:tc>
          <w:tcPr>
            <w:tcW w:w="5780" w:type="dxa"/>
            <w:gridSpan w:val="2"/>
            <w:shd w:val="clear" w:color="auto" w:fill="011C50"/>
            <w:vAlign w:val="center"/>
          </w:tcPr>
          <w:p w14:paraId="63149123" w14:textId="77777777" w:rsidR="00947D6F" w:rsidRPr="00C448FD" w:rsidRDefault="00947D6F" w:rsidP="00B74283">
            <w:pPr>
              <w:spacing w:line="240" w:lineRule="auto"/>
              <w:jc w:val="center"/>
              <w:rPr>
                <w:rFonts w:eastAsia="Calibri"/>
                <w:b/>
                <w:bCs/>
                <w:noProof/>
                <w:color w:val="FFFFFF" w:themeColor="background1"/>
              </w:rPr>
            </w:pPr>
            <w:r w:rsidRPr="00C448FD">
              <w:rPr>
                <w:rFonts w:eastAsia="Calibri"/>
                <w:b/>
                <w:bCs/>
                <w:noProof/>
                <w:color w:val="FFFFFF" w:themeColor="background1"/>
              </w:rPr>
              <w:t>Encuesta de satisfaccion al usuario</w:t>
            </w:r>
          </w:p>
        </w:tc>
      </w:tr>
      <w:tr w:rsidR="006D0445" w:rsidRPr="006D0445" w14:paraId="40345FB9" w14:textId="77777777" w:rsidTr="00BD03A8">
        <w:trPr>
          <w:trHeight w:val="568"/>
        </w:trPr>
        <w:tc>
          <w:tcPr>
            <w:tcW w:w="2945" w:type="dxa"/>
            <w:shd w:val="clear" w:color="auto" w:fill="011C50"/>
            <w:vAlign w:val="center"/>
          </w:tcPr>
          <w:p w14:paraId="4BB3B086" w14:textId="77777777" w:rsidR="00947D6F" w:rsidRPr="00C448FD" w:rsidRDefault="00947D6F" w:rsidP="00B74283">
            <w:pPr>
              <w:spacing w:line="240" w:lineRule="auto"/>
              <w:jc w:val="center"/>
              <w:rPr>
                <w:rFonts w:eastAsia="Calibri"/>
                <w:b/>
                <w:bCs/>
                <w:noProof/>
                <w:color w:val="FFFFFF" w:themeColor="background1"/>
              </w:rPr>
            </w:pPr>
            <w:r w:rsidRPr="00C448FD">
              <w:rPr>
                <w:rFonts w:eastAsia="Calibri"/>
                <w:b/>
                <w:bCs/>
                <w:noProof/>
                <w:color w:val="FFFFFF" w:themeColor="background1"/>
              </w:rPr>
              <w:t>Mes</w:t>
            </w:r>
          </w:p>
        </w:tc>
        <w:tc>
          <w:tcPr>
            <w:tcW w:w="2835" w:type="dxa"/>
            <w:shd w:val="clear" w:color="auto" w:fill="011C50"/>
            <w:vAlign w:val="center"/>
          </w:tcPr>
          <w:p w14:paraId="4787CF9C" w14:textId="77777777" w:rsidR="00947D6F" w:rsidRPr="00C448FD" w:rsidRDefault="00947D6F" w:rsidP="00B74283">
            <w:pPr>
              <w:spacing w:line="240" w:lineRule="auto"/>
              <w:jc w:val="center"/>
              <w:rPr>
                <w:rFonts w:eastAsia="Calibri"/>
                <w:b/>
                <w:bCs/>
                <w:noProof/>
                <w:color w:val="FFFFFF" w:themeColor="background1"/>
              </w:rPr>
            </w:pPr>
            <w:r w:rsidRPr="00C448FD">
              <w:rPr>
                <w:rFonts w:eastAsia="Calibri"/>
                <w:b/>
                <w:bCs/>
                <w:noProof/>
                <w:color w:val="FFFFFF" w:themeColor="background1"/>
              </w:rPr>
              <w:t>Indice General de Satisfacción</w:t>
            </w:r>
          </w:p>
        </w:tc>
      </w:tr>
      <w:tr w:rsidR="006D0445" w:rsidRPr="006D0445" w14:paraId="14E111DA" w14:textId="77777777" w:rsidTr="00BD03A8">
        <w:trPr>
          <w:trHeight w:val="371"/>
        </w:trPr>
        <w:tc>
          <w:tcPr>
            <w:tcW w:w="2945" w:type="dxa"/>
            <w:vAlign w:val="center"/>
          </w:tcPr>
          <w:p w14:paraId="3449240F"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Enero</w:t>
            </w:r>
          </w:p>
        </w:tc>
        <w:tc>
          <w:tcPr>
            <w:tcW w:w="2835" w:type="dxa"/>
            <w:vAlign w:val="center"/>
          </w:tcPr>
          <w:p w14:paraId="74F923D8" w14:textId="0FCF149C"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93%</w:t>
            </w:r>
          </w:p>
        </w:tc>
      </w:tr>
      <w:tr w:rsidR="006D0445" w:rsidRPr="006D0445" w14:paraId="5C110D9E" w14:textId="77777777" w:rsidTr="00BD03A8">
        <w:trPr>
          <w:trHeight w:val="113"/>
        </w:trPr>
        <w:tc>
          <w:tcPr>
            <w:tcW w:w="2945" w:type="dxa"/>
            <w:vAlign w:val="center"/>
          </w:tcPr>
          <w:p w14:paraId="19769FC1"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Febrero</w:t>
            </w:r>
          </w:p>
        </w:tc>
        <w:tc>
          <w:tcPr>
            <w:tcW w:w="2835" w:type="dxa"/>
            <w:vAlign w:val="center"/>
          </w:tcPr>
          <w:p w14:paraId="76DB747E"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52EA080E" w14:textId="77777777" w:rsidTr="00BD03A8">
        <w:trPr>
          <w:trHeight w:val="113"/>
        </w:trPr>
        <w:tc>
          <w:tcPr>
            <w:tcW w:w="2945" w:type="dxa"/>
            <w:vAlign w:val="center"/>
          </w:tcPr>
          <w:p w14:paraId="15444C61"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Marzo</w:t>
            </w:r>
          </w:p>
        </w:tc>
        <w:tc>
          <w:tcPr>
            <w:tcW w:w="2835" w:type="dxa"/>
            <w:vAlign w:val="center"/>
          </w:tcPr>
          <w:p w14:paraId="7832E0E1"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122AFA5D" w14:textId="77777777" w:rsidTr="00BD03A8">
        <w:trPr>
          <w:trHeight w:val="113"/>
        </w:trPr>
        <w:tc>
          <w:tcPr>
            <w:tcW w:w="2945" w:type="dxa"/>
            <w:vAlign w:val="center"/>
          </w:tcPr>
          <w:p w14:paraId="7743E5B6"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Abril</w:t>
            </w:r>
          </w:p>
        </w:tc>
        <w:tc>
          <w:tcPr>
            <w:tcW w:w="2835" w:type="dxa"/>
            <w:vAlign w:val="center"/>
          </w:tcPr>
          <w:p w14:paraId="02D07527"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98%</w:t>
            </w:r>
          </w:p>
        </w:tc>
      </w:tr>
      <w:tr w:rsidR="006D0445" w:rsidRPr="006D0445" w14:paraId="599A69A5" w14:textId="77777777" w:rsidTr="00BD03A8">
        <w:trPr>
          <w:trHeight w:val="113"/>
        </w:trPr>
        <w:tc>
          <w:tcPr>
            <w:tcW w:w="2945" w:type="dxa"/>
            <w:vAlign w:val="center"/>
          </w:tcPr>
          <w:p w14:paraId="15D3872D"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Mayo</w:t>
            </w:r>
          </w:p>
        </w:tc>
        <w:tc>
          <w:tcPr>
            <w:tcW w:w="2835" w:type="dxa"/>
            <w:vAlign w:val="center"/>
          </w:tcPr>
          <w:p w14:paraId="6EF5751A"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0B67DED9" w14:textId="77777777" w:rsidTr="00BD03A8">
        <w:trPr>
          <w:trHeight w:val="113"/>
        </w:trPr>
        <w:tc>
          <w:tcPr>
            <w:tcW w:w="2945" w:type="dxa"/>
            <w:vAlign w:val="center"/>
          </w:tcPr>
          <w:p w14:paraId="13D3BAE2"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Junio</w:t>
            </w:r>
          </w:p>
        </w:tc>
        <w:tc>
          <w:tcPr>
            <w:tcW w:w="2835" w:type="dxa"/>
            <w:vAlign w:val="center"/>
          </w:tcPr>
          <w:p w14:paraId="3CB51EB5"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7F30378A" w14:textId="77777777" w:rsidTr="00BD03A8">
        <w:trPr>
          <w:trHeight w:val="113"/>
        </w:trPr>
        <w:tc>
          <w:tcPr>
            <w:tcW w:w="2945" w:type="dxa"/>
            <w:vAlign w:val="center"/>
          </w:tcPr>
          <w:p w14:paraId="2ADCDD2F"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Julio</w:t>
            </w:r>
          </w:p>
        </w:tc>
        <w:tc>
          <w:tcPr>
            <w:tcW w:w="2835" w:type="dxa"/>
            <w:vAlign w:val="center"/>
          </w:tcPr>
          <w:p w14:paraId="761E304F"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065B9047" w14:textId="77777777" w:rsidTr="00BD03A8">
        <w:trPr>
          <w:trHeight w:val="113"/>
        </w:trPr>
        <w:tc>
          <w:tcPr>
            <w:tcW w:w="2945" w:type="dxa"/>
            <w:vAlign w:val="center"/>
          </w:tcPr>
          <w:p w14:paraId="77CF9840"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Agosto</w:t>
            </w:r>
          </w:p>
        </w:tc>
        <w:tc>
          <w:tcPr>
            <w:tcW w:w="2835" w:type="dxa"/>
            <w:vAlign w:val="center"/>
          </w:tcPr>
          <w:p w14:paraId="7210B779"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348ADC6B" w14:textId="77777777" w:rsidTr="00BD03A8">
        <w:trPr>
          <w:trHeight w:val="113"/>
        </w:trPr>
        <w:tc>
          <w:tcPr>
            <w:tcW w:w="2945" w:type="dxa"/>
            <w:vAlign w:val="center"/>
          </w:tcPr>
          <w:p w14:paraId="01BA95E4"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Septiembre</w:t>
            </w:r>
          </w:p>
        </w:tc>
        <w:tc>
          <w:tcPr>
            <w:tcW w:w="2835" w:type="dxa"/>
            <w:vAlign w:val="center"/>
          </w:tcPr>
          <w:p w14:paraId="6E14F1BD"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97%</w:t>
            </w:r>
          </w:p>
        </w:tc>
      </w:tr>
      <w:tr w:rsidR="006D0445" w:rsidRPr="006D0445" w14:paraId="61A9D605" w14:textId="77777777" w:rsidTr="00BD03A8">
        <w:trPr>
          <w:trHeight w:val="113"/>
        </w:trPr>
        <w:tc>
          <w:tcPr>
            <w:tcW w:w="2945" w:type="dxa"/>
            <w:vAlign w:val="center"/>
          </w:tcPr>
          <w:p w14:paraId="4E36CFE9"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Octubre</w:t>
            </w:r>
          </w:p>
        </w:tc>
        <w:tc>
          <w:tcPr>
            <w:tcW w:w="2835" w:type="dxa"/>
            <w:vAlign w:val="center"/>
          </w:tcPr>
          <w:p w14:paraId="27D2EBB9" w14:textId="77777777" w:rsidR="00947D6F" w:rsidRPr="006D0445" w:rsidRDefault="00947D6F" w:rsidP="00B74283">
            <w:pPr>
              <w:jc w:val="center"/>
              <w:rPr>
                <w:rFonts w:eastAsia="Calibri"/>
                <w:noProof/>
                <w:color w:val="767171"/>
                <w:sz w:val="22"/>
                <w:szCs w:val="22"/>
              </w:rPr>
            </w:pPr>
            <w:r w:rsidRPr="006D0445">
              <w:rPr>
                <w:rFonts w:eastAsia="Calibri"/>
                <w:noProof/>
                <w:color w:val="767171"/>
                <w:sz w:val="22"/>
                <w:szCs w:val="22"/>
              </w:rPr>
              <w:t>98%</w:t>
            </w:r>
          </w:p>
        </w:tc>
      </w:tr>
      <w:tr w:rsidR="00161EEC" w:rsidRPr="006D0445" w14:paraId="7C260C87" w14:textId="77777777" w:rsidTr="00BD03A8">
        <w:trPr>
          <w:trHeight w:val="113"/>
        </w:trPr>
        <w:tc>
          <w:tcPr>
            <w:tcW w:w="2945" w:type="dxa"/>
            <w:vAlign w:val="center"/>
          </w:tcPr>
          <w:p w14:paraId="2D7D96A9" w14:textId="0502C4AF" w:rsidR="00161EEC" w:rsidRPr="006D0445" w:rsidRDefault="00161EEC" w:rsidP="00B74283">
            <w:pPr>
              <w:jc w:val="center"/>
              <w:rPr>
                <w:rFonts w:eastAsia="Calibri"/>
                <w:noProof/>
                <w:color w:val="767171"/>
                <w:sz w:val="22"/>
                <w:szCs w:val="22"/>
              </w:rPr>
            </w:pPr>
            <w:r>
              <w:rPr>
                <w:rFonts w:eastAsia="Calibri"/>
                <w:noProof/>
                <w:color w:val="767171"/>
                <w:sz w:val="22"/>
                <w:szCs w:val="22"/>
              </w:rPr>
              <w:t>Noviembre</w:t>
            </w:r>
          </w:p>
        </w:tc>
        <w:tc>
          <w:tcPr>
            <w:tcW w:w="2835" w:type="dxa"/>
            <w:vAlign w:val="center"/>
          </w:tcPr>
          <w:p w14:paraId="4609AC5C" w14:textId="761A6850" w:rsidR="00161EEC" w:rsidRPr="006D0445" w:rsidRDefault="00161EEC" w:rsidP="00B74283">
            <w:pPr>
              <w:jc w:val="center"/>
              <w:rPr>
                <w:rFonts w:eastAsia="Calibri"/>
                <w:noProof/>
                <w:color w:val="767171"/>
                <w:sz w:val="22"/>
                <w:szCs w:val="22"/>
              </w:rPr>
            </w:pPr>
            <w:r>
              <w:rPr>
                <w:rFonts w:eastAsia="Calibri"/>
                <w:noProof/>
                <w:color w:val="767171"/>
                <w:sz w:val="22"/>
                <w:szCs w:val="22"/>
              </w:rPr>
              <w:t>97%</w:t>
            </w:r>
          </w:p>
        </w:tc>
      </w:tr>
      <w:tr w:rsidR="00161EEC" w:rsidRPr="006D0445" w14:paraId="2495CAC9" w14:textId="77777777" w:rsidTr="00BD03A8">
        <w:trPr>
          <w:trHeight w:val="113"/>
        </w:trPr>
        <w:tc>
          <w:tcPr>
            <w:tcW w:w="2945" w:type="dxa"/>
            <w:vAlign w:val="center"/>
          </w:tcPr>
          <w:p w14:paraId="5CF78C1A" w14:textId="273BEA26" w:rsidR="00161EEC" w:rsidRPr="006D0445" w:rsidRDefault="00161EEC" w:rsidP="00B74283">
            <w:pPr>
              <w:jc w:val="center"/>
              <w:rPr>
                <w:rFonts w:eastAsia="Calibri"/>
                <w:noProof/>
                <w:color w:val="767171"/>
                <w:sz w:val="22"/>
                <w:szCs w:val="22"/>
              </w:rPr>
            </w:pPr>
            <w:r>
              <w:rPr>
                <w:rFonts w:eastAsia="Calibri"/>
                <w:noProof/>
                <w:color w:val="767171"/>
                <w:sz w:val="22"/>
                <w:szCs w:val="22"/>
              </w:rPr>
              <w:t>Diciembre</w:t>
            </w:r>
          </w:p>
        </w:tc>
        <w:tc>
          <w:tcPr>
            <w:tcW w:w="2835" w:type="dxa"/>
            <w:vAlign w:val="center"/>
          </w:tcPr>
          <w:p w14:paraId="1FC6B18A" w14:textId="1143898F" w:rsidR="00161EEC" w:rsidRPr="006D0445" w:rsidRDefault="00161EEC" w:rsidP="00B74283">
            <w:pPr>
              <w:jc w:val="center"/>
              <w:rPr>
                <w:rFonts w:eastAsia="Calibri"/>
                <w:noProof/>
                <w:color w:val="767171"/>
                <w:sz w:val="22"/>
                <w:szCs w:val="22"/>
              </w:rPr>
            </w:pPr>
            <w:r>
              <w:rPr>
                <w:rFonts w:eastAsia="Calibri"/>
                <w:noProof/>
                <w:color w:val="767171"/>
                <w:sz w:val="22"/>
                <w:szCs w:val="22"/>
              </w:rPr>
              <w:t>97%</w:t>
            </w:r>
          </w:p>
        </w:tc>
      </w:tr>
    </w:tbl>
    <w:p w14:paraId="1C2EB885" w14:textId="77777777" w:rsidR="00161EEC" w:rsidRDefault="00161EEC" w:rsidP="00947D6F">
      <w:pPr>
        <w:pStyle w:val="Prrafodelista"/>
        <w:spacing w:after="0" w:line="240" w:lineRule="auto"/>
        <w:ind w:left="1134"/>
        <w:rPr>
          <w:rFonts w:eastAsia="Times New Roman"/>
          <w:color w:val="767171"/>
          <w:sz w:val="18"/>
          <w:szCs w:val="18"/>
        </w:rPr>
      </w:pPr>
    </w:p>
    <w:p w14:paraId="18184E25" w14:textId="77777777" w:rsidR="00BD03A8" w:rsidRDefault="00BD03A8" w:rsidP="00947D6F">
      <w:pPr>
        <w:pStyle w:val="Prrafodelista"/>
        <w:spacing w:after="0" w:line="240" w:lineRule="auto"/>
        <w:ind w:left="1134"/>
        <w:rPr>
          <w:rFonts w:eastAsia="Times New Roman"/>
          <w:color w:val="767171"/>
          <w:sz w:val="18"/>
          <w:szCs w:val="18"/>
        </w:rPr>
      </w:pPr>
    </w:p>
    <w:p w14:paraId="2BA53391" w14:textId="77777777" w:rsidR="00BD03A8" w:rsidRDefault="00BD03A8" w:rsidP="00947D6F">
      <w:pPr>
        <w:pStyle w:val="Prrafodelista"/>
        <w:spacing w:after="0" w:line="240" w:lineRule="auto"/>
        <w:ind w:left="1134"/>
        <w:rPr>
          <w:rFonts w:eastAsia="Times New Roman"/>
          <w:color w:val="767171"/>
          <w:sz w:val="18"/>
          <w:szCs w:val="18"/>
        </w:rPr>
      </w:pPr>
    </w:p>
    <w:p w14:paraId="5C02624E" w14:textId="77777777" w:rsidR="00BD03A8" w:rsidRDefault="00BD03A8" w:rsidP="00947D6F">
      <w:pPr>
        <w:pStyle w:val="Prrafodelista"/>
        <w:spacing w:after="0" w:line="240" w:lineRule="auto"/>
        <w:ind w:left="1134"/>
        <w:rPr>
          <w:rFonts w:eastAsia="Times New Roman"/>
          <w:color w:val="767171"/>
          <w:sz w:val="18"/>
          <w:szCs w:val="18"/>
        </w:rPr>
      </w:pPr>
    </w:p>
    <w:p w14:paraId="351D2ABF" w14:textId="77777777" w:rsidR="00BD03A8" w:rsidRDefault="00BD03A8" w:rsidP="00947D6F">
      <w:pPr>
        <w:pStyle w:val="Prrafodelista"/>
        <w:spacing w:after="0" w:line="240" w:lineRule="auto"/>
        <w:ind w:left="1134"/>
        <w:rPr>
          <w:rFonts w:eastAsia="Times New Roman"/>
          <w:color w:val="767171"/>
          <w:sz w:val="18"/>
          <w:szCs w:val="18"/>
        </w:rPr>
      </w:pPr>
    </w:p>
    <w:p w14:paraId="3091CDF0" w14:textId="77777777" w:rsidR="00BD03A8" w:rsidRDefault="00BD03A8" w:rsidP="00947D6F">
      <w:pPr>
        <w:pStyle w:val="Prrafodelista"/>
        <w:spacing w:after="0" w:line="240" w:lineRule="auto"/>
        <w:ind w:left="1134"/>
        <w:rPr>
          <w:rFonts w:eastAsia="Times New Roman"/>
          <w:color w:val="767171"/>
          <w:sz w:val="18"/>
          <w:szCs w:val="18"/>
        </w:rPr>
      </w:pPr>
    </w:p>
    <w:p w14:paraId="7138E787" w14:textId="77777777" w:rsidR="00BD03A8" w:rsidRDefault="00BD03A8" w:rsidP="00947D6F">
      <w:pPr>
        <w:pStyle w:val="Prrafodelista"/>
        <w:spacing w:after="0" w:line="240" w:lineRule="auto"/>
        <w:ind w:left="1134"/>
        <w:rPr>
          <w:rFonts w:eastAsia="Times New Roman"/>
          <w:color w:val="767171"/>
          <w:sz w:val="18"/>
          <w:szCs w:val="18"/>
        </w:rPr>
      </w:pPr>
    </w:p>
    <w:p w14:paraId="2417E82C" w14:textId="77777777" w:rsidR="00BD03A8" w:rsidRDefault="00BD03A8" w:rsidP="00947D6F">
      <w:pPr>
        <w:pStyle w:val="Prrafodelista"/>
        <w:spacing w:after="0" w:line="240" w:lineRule="auto"/>
        <w:ind w:left="1134"/>
        <w:rPr>
          <w:rFonts w:eastAsia="Times New Roman"/>
          <w:color w:val="767171"/>
          <w:sz w:val="18"/>
          <w:szCs w:val="18"/>
        </w:rPr>
      </w:pPr>
    </w:p>
    <w:p w14:paraId="677497D1" w14:textId="77777777" w:rsidR="00BD03A8" w:rsidRDefault="00BD03A8" w:rsidP="00947D6F">
      <w:pPr>
        <w:pStyle w:val="Prrafodelista"/>
        <w:spacing w:after="0" w:line="240" w:lineRule="auto"/>
        <w:ind w:left="1134"/>
        <w:rPr>
          <w:rFonts w:eastAsia="Times New Roman"/>
          <w:color w:val="767171"/>
          <w:sz w:val="18"/>
          <w:szCs w:val="18"/>
        </w:rPr>
      </w:pPr>
    </w:p>
    <w:p w14:paraId="019FE7BB" w14:textId="77777777" w:rsidR="00BD03A8" w:rsidRDefault="00BD03A8" w:rsidP="00947D6F">
      <w:pPr>
        <w:pStyle w:val="Prrafodelista"/>
        <w:spacing w:after="0" w:line="240" w:lineRule="auto"/>
        <w:ind w:left="1134"/>
        <w:rPr>
          <w:rFonts w:eastAsia="Times New Roman"/>
          <w:color w:val="767171"/>
          <w:sz w:val="18"/>
          <w:szCs w:val="18"/>
        </w:rPr>
      </w:pPr>
    </w:p>
    <w:p w14:paraId="30167199" w14:textId="77777777" w:rsidR="00BD03A8" w:rsidRDefault="00BD03A8" w:rsidP="00947D6F">
      <w:pPr>
        <w:pStyle w:val="Prrafodelista"/>
        <w:spacing w:after="0" w:line="240" w:lineRule="auto"/>
        <w:ind w:left="1134"/>
        <w:rPr>
          <w:rFonts w:eastAsia="Times New Roman"/>
          <w:color w:val="767171"/>
          <w:sz w:val="18"/>
          <w:szCs w:val="18"/>
        </w:rPr>
      </w:pPr>
    </w:p>
    <w:p w14:paraId="6536ECFF" w14:textId="77777777" w:rsidR="00BD03A8" w:rsidRDefault="00BD03A8" w:rsidP="00947D6F">
      <w:pPr>
        <w:pStyle w:val="Prrafodelista"/>
        <w:spacing w:after="0" w:line="240" w:lineRule="auto"/>
        <w:ind w:left="1134"/>
        <w:rPr>
          <w:rFonts w:eastAsia="Times New Roman"/>
          <w:color w:val="767171"/>
          <w:sz w:val="18"/>
          <w:szCs w:val="18"/>
        </w:rPr>
      </w:pPr>
    </w:p>
    <w:p w14:paraId="2B10A2DB" w14:textId="77777777" w:rsidR="00BD03A8" w:rsidRDefault="00BD03A8" w:rsidP="00947D6F">
      <w:pPr>
        <w:pStyle w:val="Prrafodelista"/>
        <w:spacing w:after="0" w:line="240" w:lineRule="auto"/>
        <w:ind w:left="1134"/>
        <w:rPr>
          <w:rFonts w:eastAsia="Times New Roman"/>
          <w:color w:val="767171"/>
          <w:sz w:val="18"/>
          <w:szCs w:val="18"/>
        </w:rPr>
      </w:pPr>
    </w:p>
    <w:p w14:paraId="3282E7FE" w14:textId="77777777" w:rsidR="00BD03A8" w:rsidRDefault="00BD03A8" w:rsidP="00947D6F">
      <w:pPr>
        <w:pStyle w:val="Prrafodelista"/>
        <w:spacing w:after="0" w:line="240" w:lineRule="auto"/>
        <w:ind w:left="1134"/>
        <w:rPr>
          <w:rFonts w:eastAsia="Times New Roman"/>
          <w:color w:val="767171"/>
          <w:sz w:val="18"/>
          <w:szCs w:val="18"/>
        </w:rPr>
      </w:pPr>
    </w:p>
    <w:p w14:paraId="31E3881B" w14:textId="77777777" w:rsidR="00BD03A8" w:rsidRDefault="00BD03A8" w:rsidP="00947D6F">
      <w:pPr>
        <w:pStyle w:val="Prrafodelista"/>
        <w:spacing w:after="0" w:line="240" w:lineRule="auto"/>
        <w:ind w:left="1134"/>
        <w:rPr>
          <w:rFonts w:eastAsia="Times New Roman"/>
          <w:color w:val="767171"/>
          <w:sz w:val="18"/>
          <w:szCs w:val="18"/>
        </w:rPr>
      </w:pPr>
    </w:p>
    <w:p w14:paraId="0DF09209" w14:textId="77777777" w:rsidR="00BD03A8" w:rsidRDefault="00BD03A8" w:rsidP="00947D6F">
      <w:pPr>
        <w:pStyle w:val="Prrafodelista"/>
        <w:spacing w:after="0" w:line="240" w:lineRule="auto"/>
        <w:ind w:left="1134"/>
        <w:rPr>
          <w:rFonts w:eastAsia="Times New Roman"/>
          <w:color w:val="767171"/>
          <w:sz w:val="18"/>
          <w:szCs w:val="18"/>
        </w:rPr>
      </w:pPr>
    </w:p>
    <w:p w14:paraId="0330DE1D" w14:textId="77777777" w:rsidR="00BD03A8" w:rsidRDefault="00BD03A8" w:rsidP="00947D6F">
      <w:pPr>
        <w:pStyle w:val="Prrafodelista"/>
        <w:spacing w:after="0" w:line="240" w:lineRule="auto"/>
        <w:ind w:left="1134"/>
        <w:rPr>
          <w:rFonts w:eastAsia="Times New Roman"/>
          <w:color w:val="767171"/>
          <w:sz w:val="18"/>
          <w:szCs w:val="18"/>
        </w:rPr>
      </w:pPr>
    </w:p>
    <w:p w14:paraId="2DC6E039" w14:textId="77777777" w:rsidR="00BD03A8" w:rsidRDefault="00BD03A8" w:rsidP="00947D6F">
      <w:pPr>
        <w:pStyle w:val="Prrafodelista"/>
        <w:spacing w:after="0" w:line="240" w:lineRule="auto"/>
        <w:ind w:left="1134"/>
        <w:rPr>
          <w:rFonts w:eastAsia="Times New Roman"/>
          <w:color w:val="767171"/>
          <w:sz w:val="18"/>
          <w:szCs w:val="18"/>
        </w:rPr>
      </w:pPr>
    </w:p>
    <w:p w14:paraId="03C8DE9D" w14:textId="77777777" w:rsidR="00BD03A8" w:rsidRDefault="00BD03A8" w:rsidP="00947D6F">
      <w:pPr>
        <w:pStyle w:val="Prrafodelista"/>
        <w:spacing w:after="0" w:line="240" w:lineRule="auto"/>
        <w:ind w:left="1134"/>
        <w:rPr>
          <w:rFonts w:eastAsia="Times New Roman"/>
          <w:color w:val="767171"/>
          <w:sz w:val="18"/>
          <w:szCs w:val="18"/>
        </w:rPr>
      </w:pPr>
    </w:p>
    <w:p w14:paraId="3C1D8ECF" w14:textId="77777777" w:rsidR="00BD03A8" w:rsidRDefault="00BD03A8" w:rsidP="00947D6F">
      <w:pPr>
        <w:pStyle w:val="Prrafodelista"/>
        <w:spacing w:after="0" w:line="240" w:lineRule="auto"/>
        <w:ind w:left="1134"/>
        <w:rPr>
          <w:rFonts w:eastAsia="Times New Roman"/>
          <w:color w:val="767171"/>
          <w:sz w:val="18"/>
          <w:szCs w:val="18"/>
        </w:rPr>
      </w:pPr>
    </w:p>
    <w:p w14:paraId="73623AF7" w14:textId="77777777" w:rsidR="00BD03A8" w:rsidRDefault="00BD03A8" w:rsidP="00947D6F">
      <w:pPr>
        <w:pStyle w:val="Prrafodelista"/>
        <w:spacing w:after="0" w:line="240" w:lineRule="auto"/>
        <w:ind w:left="1134"/>
        <w:rPr>
          <w:rFonts w:eastAsia="Times New Roman"/>
          <w:color w:val="767171"/>
          <w:sz w:val="18"/>
          <w:szCs w:val="18"/>
        </w:rPr>
      </w:pPr>
    </w:p>
    <w:p w14:paraId="4CD0575C" w14:textId="77777777" w:rsidR="00BD03A8" w:rsidRDefault="00BD03A8" w:rsidP="00947D6F">
      <w:pPr>
        <w:pStyle w:val="Prrafodelista"/>
        <w:spacing w:after="0" w:line="240" w:lineRule="auto"/>
        <w:ind w:left="1134"/>
        <w:rPr>
          <w:rFonts w:eastAsia="Times New Roman"/>
          <w:color w:val="767171"/>
          <w:sz w:val="18"/>
          <w:szCs w:val="18"/>
        </w:rPr>
      </w:pPr>
    </w:p>
    <w:p w14:paraId="719CF84F" w14:textId="77777777" w:rsidR="00BD03A8" w:rsidRDefault="00BD03A8" w:rsidP="00947D6F">
      <w:pPr>
        <w:pStyle w:val="Prrafodelista"/>
        <w:spacing w:after="0" w:line="240" w:lineRule="auto"/>
        <w:ind w:left="1134"/>
        <w:rPr>
          <w:rFonts w:eastAsia="Times New Roman"/>
          <w:color w:val="767171"/>
          <w:sz w:val="18"/>
          <w:szCs w:val="18"/>
        </w:rPr>
      </w:pPr>
    </w:p>
    <w:p w14:paraId="41EE2A10" w14:textId="77777777" w:rsidR="00BD03A8" w:rsidRDefault="00BD03A8" w:rsidP="00947D6F">
      <w:pPr>
        <w:pStyle w:val="Prrafodelista"/>
        <w:spacing w:after="0" w:line="240" w:lineRule="auto"/>
        <w:ind w:left="1134"/>
        <w:rPr>
          <w:rFonts w:eastAsia="Times New Roman"/>
          <w:color w:val="767171"/>
          <w:sz w:val="18"/>
          <w:szCs w:val="18"/>
        </w:rPr>
      </w:pPr>
    </w:p>
    <w:p w14:paraId="2105211C" w14:textId="77777777" w:rsidR="00BD03A8" w:rsidRDefault="00BD03A8" w:rsidP="00947D6F">
      <w:pPr>
        <w:pStyle w:val="Prrafodelista"/>
        <w:spacing w:after="0" w:line="240" w:lineRule="auto"/>
        <w:ind w:left="1134"/>
        <w:rPr>
          <w:rFonts w:eastAsia="Times New Roman"/>
          <w:color w:val="767171"/>
          <w:sz w:val="18"/>
          <w:szCs w:val="18"/>
        </w:rPr>
      </w:pPr>
    </w:p>
    <w:p w14:paraId="4C0EB969" w14:textId="77777777" w:rsidR="00BD03A8" w:rsidRDefault="00BD03A8" w:rsidP="00947D6F">
      <w:pPr>
        <w:pStyle w:val="Prrafodelista"/>
        <w:spacing w:after="0" w:line="240" w:lineRule="auto"/>
        <w:ind w:left="1134"/>
        <w:rPr>
          <w:rFonts w:eastAsia="Times New Roman"/>
          <w:color w:val="767171"/>
          <w:sz w:val="18"/>
          <w:szCs w:val="18"/>
        </w:rPr>
      </w:pPr>
    </w:p>
    <w:p w14:paraId="4FC2D820" w14:textId="77777777" w:rsidR="00BD03A8" w:rsidRDefault="00BD03A8" w:rsidP="00947D6F">
      <w:pPr>
        <w:pStyle w:val="Prrafodelista"/>
        <w:spacing w:after="0" w:line="240" w:lineRule="auto"/>
        <w:ind w:left="1134"/>
        <w:rPr>
          <w:rFonts w:eastAsia="Times New Roman"/>
          <w:color w:val="767171"/>
          <w:sz w:val="18"/>
          <w:szCs w:val="18"/>
        </w:rPr>
      </w:pPr>
    </w:p>
    <w:p w14:paraId="2EFDC0FA" w14:textId="77777777" w:rsidR="00BD03A8" w:rsidRDefault="00BD03A8" w:rsidP="00947D6F">
      <w:pPr>
        <w:pStyle w:val="Prrafodelista"/>
        <w:spacing w:after="0" w:line="240" w:lineRule="auto"/>
        <w:ind w:left="1134"/>
        <w:rPr>
          <w:rFonts w:eastAsia="Times New Roman"/>
          <w:color w:val="767171"/>
          <w:sz w:val="18"/>
          <w:szCs w:val="18"/>
        </w:rPr>
      </w:pPr>
    </w:p>
    <w:p w14:paraId="6B8077A9" w14:textId="77777777" w:rsidR="00BD03A8" w:rsidRDefault="00BD03A8" w:rsidP="00947D6F">
      <w:pPr>
        <w:pStyle w:val="Prrafodelista"/>
        <w:spacing w:after="0" w:line="240" w:lineRule="auto"/>
        <w:ind w:left="1134"/>
        <w:rPr>
          <w:rFonts w:eastAsia="Times New Roman"/>
          <w:color w:val="767171"/>
          <w:sz w:val="18"/>
          <w:szCs w:val="18"/>
        </w:rPr>
      </w:pPr>
    </w:p>
    <w:p w14:paraId="2C1B2EF5" w14:textId="77777777" w:rsidR="00BD03A8" w:rsidRDefault="00BD03A8" w:rsidP="00947D6F">
      <w:pPr>
        <w:pStyle w:val="Prrafodelista"/>
        <w:spacing w:after="0" w:line="240" w:lineRule="auto"/>
        <w:ind w:left="1134"/>
        <w:rPr>
          <w:rFonts w:eastAsia="Times New Roman"/>
          <w:color w:val="767171"/>
          <w:sz w:val="18"/>
          <w:szCs w:val="18"/>
        </w:rPr>
      </w:pPr>
    </w:p>
    <w:p w14:paraId="56FEF623" w14:textId="77777777" w:rsidR="00BD03A8" w:rsidRDefault="00BD03A8" w:rsidP="00947D6F">
      <w:pPr>
        <w:pStyle w:val="Prrafodelista"/>
        <w:spacing w:after="0" w:line="240" w:lineRule="auto"/>
        <w:ind w:left="1134"/>
        <w:rPr>
          <w:rFonts w:eastAsia="Times New Roman"/>
          <w:color w:val="767171"/>
          <w:sz w:val="18"/>
          <w:szCs w:val="18"/>
        </w:rPr>
      </w:pPr>
    </w:p>
    <w:p w14:paraId="2D66D91D" w14:textId="29E52667" w:rsidR="00947D6F" w:rsidRPr="006D0445" w:rsidRDefault="00947D6F" w:rsidP="00947D6F">
      <w:pPr>
        <w:pStyle w:val="Prrafodelista"/>
        <w:spacing w:after="0" w:line="240" w:lineRule="auto"/>
        <w:ind w:left="1134"/>
        <w:rPr>
          <w:rFonts w:eastAsia="Times New Roman"/>
          <w:color w:val="767171"/>
          <w:sz w:val="18"/>
          <w:szCs w:val="18"/>
        </w:rPr>
      </w:pPr>
      <w:r w:rsidRPr="006D0445">
        <w:rPr>
          <w:rFonts w:eastAsia="Times New Roman"/>
          <w:color w:val="767171"/>
          <w:sz w:val="18"/>
          <w:szCs w:val="18"/>
        </w:rPr>
        <w:t>Fuente: Dirección Planificación y Desarrollo</w:t>
      </w:r>
    </w:p>
    <w:p w14:paraId="62E13F1F" w14:textId="082A166E" w:rsidR="00A32195" w:rsidRDefault="00A32195">
      <w:pPr>
        <w:spacing w:line="259" w:lineRule="auto"/>
        <w:jc w:val="left"/>
        <w:rPr>
          <w:color w:val="767171"/>
        </w:rPr>
      </w:pPr>
    </w:p>
    <w:p w14:paraId="351A2842" w14:textId="0E3589D0" w:rsidR="00BD03A8" w:rsidRDefault="00BD03A8">
      <w:pPr>
        <w:spacing w:line="259" w:lineRule="auto"/>
        <w:jc w:val="left"/>
        <w:rPr>
          <w:color w:val="767171"/>
        </w:rPr>
      </w:pPr>
      <w:r>
        <w:rPr>
          <w:color w:val="767171"/>
        </w:rPr>
        <w:br w:type="page"/>
      </w:r>
    </w:p>
    <w:p w14:paraId="47061C5D" w14:textId="759C20AE" w:rsidR="00582F88" w:rsidRPr="006D0445" w:rsidRDefault="00582F88" w:rsidP="006B3671">
      <w:pPr>
        <w:pStyle w:val="Ttulo2"/>
      </w:pPr>
      <w:bookmarkStart w:id="80" w:name="_Toc78552007"/>
      <w:bookmarkStart w:id="81" w:name="_Toc186147728"/>
      <w:r w:rsidRPr="006D0445">
        <w:lastRenderedPageBreak/>
        <w:t>Nivel de cumplimiento acceso a la información</w:t>
      </w:r>
      <w:bookmarkEnd w:id="80"/>
      <w:bookmarkEnd w:id="81"/>
      <w:r w:rsidRPr="006D0445">
        <w:t xml:space="preserve"> </w:t>
      </w:r>
    </w:p>
    <w:p w14:paraId="2D7FA7BF" w14:textId="22B3882A" w:rsidR="00E55D67" w:rsidRPr="006D0445" w:rsidRDefault="001C62F2" w:rsidP="001C62F2">
      <w:pPr>
        <w:rPr>
          <w:noProof/>
          <w:color w:val="767171"/>
        </w:rPr>
      </w:pPr>
      <w:r w:rsidRPr="006D0445">
        <w:rPr>
          <w:noProof/>
          <w:color w:val="767171"/>
        </w:rPr>
        <w:t xml:space="preserve">El flujo de gestión de solicitudes recibidas por la Oficina de Libre Acceso a la Información de la SIE, durante el </w:t>
      </w:r>
      <w:r w:rsidR="00F2650B" w:rsidRPr="006D0445">
        <w:rPr>
          <w:noProof/>
          <w:color w:val="767171"/>
        </w:rPr>
        <w:t>2024</w:t>
      </w:r>
      <w:r w:rsidRPr="006D0445">
        <w:rPr>
          <w:noProof/>
          <w:color w:val="767171"/>
        </w:rPr>
        <w:t>, comprende un total general de 1</w:t>
      </w:r>
      <w:r w:rsidR="00DD5ECC">
        <w:rPr>
          <w:noProof/>
          <w:color w:val="767171"/>
        </w:rPr>
        <w:t>4</w:t>
      </w:r>
      <w:r w:rsidR="00F80152" w:rsidRPr="006D0445">
        <w:rPr>
          <w:noProof/>
          <w:color w:val="767171"/>
        </w:rPr>
        <w:t>9</w:t>
      </w:r>
      <w:r w:rsidRPr="006D0445">
        <w:rPr>
          <w:noProof/>
          <w:color w:val="767171"/>
        </w:rPr>
        <w:t xml:space="preserve"> solicitudes recibidas por diversas vías, las cuales fueron respondidas en su totalidad y donde los canales más frecuentes fueron:</w:t>
      </w:r>
    </w:p>
    <w:p w14:paraId="20B37428" w14:textId="5F08E8F4" w:rsidR="00A32195" w:rsidRPr="006D0445" w:rsidRDefault="00A32195" w:rsidP="00A32195">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15</w:t>
      </w:r>
      <w:r w:rsidRPr="006D0445">
        <w:rPr>
          <w:color w:val="767171"/>
        </w:rPr>
        <w:fldChar w:fldCharType="end"/>
      </w:r>
      <w:r w:rsidRPr="006D0445">
        <w:rPr>
          <w:color w:val="767171"/>
        </w:rPr>
        <w:t xml:space="preserve">Solicitudes Recibidas </w:t>
      </w:r>
      <w:proofErr w:type="spellStart"/>
      <w:r w:rsidRPr="006D0445">
        <w:rPr>
          <w:color w:val="767171"/>
        </w:rPr>
        <w:t>OAI</w:t>
      </w:r>
      <w:proofErr w:type="spellEnd"/>
    </w:p>
    <w:tbl>
      <w:tblPr>
        <w:tblW w:w="7938" w:type="dxa"/>
        <w:tblInd w:w="-10" w:type="dxa"/>
        <w:tblCellMar>
          <w:left w:w="70" w:type="dxa"/>
          <w:right w:w="70" w:type="dxa"/>
        </w:tblCellMar>
        <w:tblLook w:val="04A0" w:firstRow="1" w:lastRow="0" w:firstColumn="1" w:lastColumn="0" w:noHBand="0" w:noVBand="1"/>
      </w:tblPr>
      <w:tblGrid>
        <w:gridCol w:w="1843"/>
        <w:gridCol w:w="1559"/>
        <w:gridCol w:w="1326"/>
        <w:gridCol w:w="1651"/>
        <w:gridCol w:w="1559"/>
      </w:tblGrid>
      <w:tr w:rsidR="00DD5ECC" w:rsidRPr="006D0445" w14:paraId="309A716B" w14:textId="77777777" w:rsidTr="00446417">
        <w:trPr>
          <w:trHeight w:val="288"/>
          <w:tblHeader/>
        </w:trPr>
        <w:tc>
          <w:tcPr>
            <w:tcW w:w="1843" w:type="dxa"/>
            <w:vMerge w:val="restart"/>
            <w:tcBorders>
              <w:top w:val="single" w:sz="8" w:space="0" w:color="000000"/>
              <w:left w:val="single" w:sz="8" w:space="0" w:color="000000"/>
              <w:bottom w:val="single" w:sz="8" w:space="0" w:color="000000"/>
              <w:right w:val="single" w:sz="8" w:space="0" w:color="auto"/>
            </w:tcBorders>
            <w:shd w:val="clear" w:color="auto" w:fill="011C50"/>
            <w:vAlign w:val="center"/>
            <w:hideMark/>
          </w:tcPr>
          <w:p w14:paraId="4CC75DAB" w14:textId="77777777" w:rsidR="00DD5ECC" w:rsidRPr="00C448FD" w:rsidRDefault="00DD5ECC" w:rsidP="00DD5ECC">
            <w:pPr>
              <w:spacing w:after="0" w:line="240" w:lineRule="auto"/>
              <w:jc w:val="center"/>
              <w:rPr>
                <w:b/>
                <w:bCs/>
                <w:color w:val="FFFFFF" w:themeColor="background1"/>
              </w:rPr>
            </w:pPr>
            <w:r w:rsidRPr="00C448FD">
              <w:rPr>
                <w:b/>
                <w:bCs/>
                <w:color w:val="FFFFFF" w:themeColor="background1"/>
              </w:rPr>
              <w:t>Vías de Solicitud</w:t>
            </w:r>
          </w:p>
        </w:tc>
        <w:tc>
          <w:tcPr>
            <w:tcW w:w="1559" w:type="dxa"/>
            <w:tcBorders>
              <w:top w:val="single" w:sz="8" w:space="0" w:color="000000"/>
              <w:left w:val="nil"/>
              <w:bottom w:val="nil"/>
              <w:right w:val="single" w:sz="8" w:space="0" w:color="auto"/>
            </w:tcBorders>
            <w:shd w:val="clear" w:color="auto" w:fill="011C50"/>
            <w:vAlign w:val="center"/>
            <w:hideMark/>
          </w:tcPr>
          <w:p w14:paraId="17614151" w14:textId="112B6B00" w:rsidR="00DD5ECC" w:rsidRPr="00C448FD" w:rsidRDefault="00DD5ECC" w:rsidP="00DD5ECC">
            <w:pPr>
              <w:spacing w:after="0" w:line="240" w:lineRule="auto"/>
              <w:jc w:val="center"/>
              <w:rPr>
                <w:b/>
                <w:bCs/>
                <w:color w:val="FFFFFF" w:themeColor="background1"/>
                <w:sz w:val="22"/>
                <w:szCs w:val="22"/>
              </w:rPr>
            </w:pPr>
            <w:r w:rsidRPr="00C448FD">
              <w:rPr>
                <w:b/>
                <w:bCs/>
                <w:color w:val="FFFFFF" w:themeColor="background1"/>
                <w:sz w:val="22"/>
                <w:szCs w:val="22"/>
              </w:rPr>
              <w:t>Trimestre</w:t>
            </w:r>
          </w:p>
        </w:tc>
        <w:tc>
          <w:tcPr>
            <w:tcW w:w="1326" w:type="dxa"/>
            <w:tcBorders>
              <w:top w:val="single" w:sz="8" w:space="0" w:color="000000"/>
              <w:left w:val="nil"/>
              <w:bottom w:val="nil"/>
              <w:right w:val="single" w:sz="8" w:space="0" w:color="000000"/>
            </w:tcBorders>
            <w:shd w:val="clear" w:color="auto" w:fill="011C50"/>
            <w:vAlign w:val="center"/>
            <w:hideMark/>
          </w:tcPr>
          <w:p w14:paraId="09136BE3" w14:textId="77777777" w:rsidR="00DD5ECC" w:rsidRPr="00C448FD" w:rsidRDefault="00DD5ECC" w:rsidP="00DD5ECC">
            <w:pPr>
              <w:spacing w:after="0" w:line="240" w:lineRule="auto"/>
              <w:jc w:val="center"/>
              <w:rPr>
                <w:b/>
                <w:bCs/>
                <w:color w:val="FFFFFF" w:themeColor="background1"/>
                <w:sz w:val="22"/>
                <w:szCs w:val="22"/>
              </w:rPr>
            </w:pPr>
            <w:r w:rsidRPr="00C448FD">
              <w:rPr>
                <w:b/>
                <w:bCs/>
                <w:color w:val="FFFFFF" w:themeColor="background1"/>
                <w:sz w:val="22"/>
                <w:szCs w:val="22"/>
              </w:rPr>
              <w:t>Trimestre</w:t>
            </w:r>
          </w:p>
        </w:tc>
        <w:tc>
          <w:tcPr>
            <w:tcW w:w="1651" w:type="dxa"/>
            <w:tcBorders>
              <w:top w:val="single" w:sz="8" w:space="0" w:color="000000"/>
              <w:left w:val="nil"/>
              <w:bottom w:val="nil"/>
              <w:right w:val="single" w:sz="8" w:space="0" w:color="000000"/>
            </w:tcBorders>
            <w:shd w:val="clear" w:color="auto" w:fill="011C50"/>
            <w:vAlign w:val="center"/>
            <w:hideMark/>
          </w:tcPr>
          <w:p w14:paraId="491EA46D" w14:textId="77777777" w:rsidR="00DD5ECC" w:rsidRPr="00C448FD" w:rsidRDefault="00DD5ECC" w:rsidP="00DD5ECC">
            <w:pPr>
              <w:spacing w:after="0" w:line="240" w:lineRule="auto"/>
              <w:jc w:val="center"/>
              <w:rPr>
                <w:b/>
                <w:bCs/>
                <w:color w:val="FFFFFF" w:themeColor="background1"/>
                <w:sz w:val="22"/>
                <w:szCs w:val="22"/>
              </w:rPr>
            </w:pPr>
            <w:r w:rsidRPr="00C448FD">
              <w:rPr>
                <w:b/>
                <w:bCs/>
                <w:color w:val="FFFFFF" w:themeColor="background1"/>
                <w:sz w:val="22"/>
                <w:szCs w:val="22"/>
              </w:rPr>
              <w:t>Trimestre</w:t>
            </w:r>
          </w:p>
        </w:tc>
        <w:tc>
          <w:tcPr>
            <w:tcW w:w="1559" w:type="dxa"/>
            <w:tcBorders>
              <w:top w:val="nil"/>
              <w:left w:val="nil"/>
              <w:bottom w:val="nil"/>
              <w:right w:val="nil"/>
            </w:tcBorders>
            <w:shd w:val="clear" w:color="auto" w:fill="011C50"/>
            <w:vAlign w:val="center"/>
            <w:hideMark/>
          </w:tcPr>
          <w:p w14:paraId="3796D5F2" w14:textId="5950EFC9" w:rsidR="00DD5ECC" w:rsidRPr="00C448FD" w:rsidRDefault="00DD5ECC" w:rsidP="00DD5ECC">
            <w:pPr>
              <w:spacing w:after="0" w:line="240" w:lineRule="auto"/>
              <w:jc w:val="center"/>
              <w:rPr>
                <w:b/>
                <w:bCs/>
                <w:color w:val="FFFFFF" w:themeColor="background1"/>
                <w:sz w:val="22"/>
                <w:szCs w:val="22"/>
              </w:rPr>
            </w:pPr>
            <w:r w:rsidRPr="00C448FD">
              <w:rPr>
                <w:b/>
                <w:bCs/>
                <w:color w:val="FFFFFF" w:themeColor="background1"/>
                <w:sz w:val="22"/>
                <w:szCs w:val="22"/>
              </w:rPr>
              <w:t>Trimestre</w:t>
            </w:r>
          </w:p>
        </w:tc>
      </w:tr>
      <w:tr w:rsidR="006D0445" w:rsidRPr="006D0445" w14:paraId="03BD9D9B" w14:textId="77777777" w:rsidTr="00446417">
        <w:trPr>
          <w:trHeight w:val="265"/>
        </w:trPr>
        <w:tc>
          <w:tcPr>
            <w:tcW w:w="1843" w:type="dxa"/>
            <w:vMerge/>
            <w:tcBorders>
              <w:top w:val="single" w:sz="8" w:space="0" w:color="000000"/>
              <w:left w:val="single" w:sz="8" w:space="0" w:color="000000"/>
              <w:bottom w:val="single" w:sz="8" w:space="0" w:color="000000"/>
              <w:right w:val="single" w:sz="8" w:space="0" w:color="auto"/>
            </w:tcBorders>
            <w:shd w:val="clear" w:color="auto" w:fill="011C50"/>
            <w:vAlign w:val="center"/>
            <w:hideMark/>
          </w:tcPr>
          <w:p w14:paraId="2FFDDACE" w14:textId="77777777" w:rsidR="006A3759" w:rsidRPr="00C448FD" w:rsidRDefault="006A3759" w:rsidP="009A3E30">
            <w:pPr>
              <w:spacing w:after="0" w:line="240" w:lineRule="auto"/>
              <w:rPr>
                <w:b/>
                <w:bCs/>
                <w:color w:val="FFFFFF" w:themeColor="background1"/>
              </w:rPr>
            </w:pPr>
          </w:p>
        </w:tc>
        <w:tc>
          <w:tcPr>
            <w:tcW w:w="1559" w:type="dxa"/>
            <w:tcBorders>
              <w:top w:val="nil"/>
              <w:left w:val="nil"/>
              <w:bottom w:val="single" w:sz="8" w:space="0" w:color="auto"/>
              <w:right w:val="single" w:sz="8" w:space="0" w:color="auto"/>
            </w:tcBorders>
            <w:shd w:val="clear" w:color="auto" w:fill="011C50"/>
            <w:vAlign w:val="center"/>
            <w:hideMark/>
          </w:tcPr>
          <w:p w14:paraId="38BFEEDF" w14:textId="77777777" w:rsidR="006A3759" w:rsidRPr="00C448FD" w:rsidRDefault="006A3759" w:rsidP="008735D6">
            <w:pPr>
              <w:spacing w:after="0" w:line="240" w:lineRule="auto"/>
              <w:jc w:val="center"/>
              <w:rPr>
                <w:b/>
                <w:bCs/>
                <w:color w:val="FFFFFF" w:themeColor="background1"/>
                <w:sz w:val="22"/>
                <w:szCs w:val="22"/>
              </w:rPr>
            </w:pPr>
            <w:r w:rsidRPr="00C448FD">
              <w:rPr>
                <w:b/>
                <w:bCs/>
                <w:color w:val="FFFFFF" w:themeColor="background1"/>
                <w:sz w:val="22"/>
                <w:szCs w:val="22"/>
              </w:rPr>
              <w:t>Enero-Marzo</w:t>
            </w:r>
          </w:p>
        </w:tc>
        <w:tc>
          <w:tcPr>
            <w:tcW w:w="1326" w:type="dxa"/>
            <w:tcBorders>
              <w:top w:val="nil"/>
              <w:left w:val="nil"/>
              <w:bottom w:val="single" w:sz="8" w:space="0" w:color="auto"/>
              <w:right w:val="single" w:sz="8" w:space="0" w:color="000000"/>
            </w:tcBorders>
            <w:shd w:val="clear" w:color="auto" w:fill="011C50"/>
            <w:vAlign w:val="center"/>
            <w:hideMark/>
          </w:tcPr>
          <w:p w14:paraId="363BB947" w14:textId="77777777" w:rsidR="006A3759" w:rsidRPr="00C448FD" w:rsidRDefault="006A3759" w:rsidP="008735D6">
            <w:pPr>
              <w:spacing w:after="0" w:line="240" w:lineRule="auto"/>
              <w:jc w:val="center"/>
              <w:rPr>
                <w:b/>
                <w:bCs/>
                <w:color w:val="FFFFFF" w:themeColor="background1"/>
                <w:sz w:val="22"/>
                <w:szCs w:val="22"/>
              </w:rPr>
            </w:pPr>
            <w:r w:rsidRPr="00C448FD">
              <w:rPr>
                <w:b/>
                <w:bCs/>
                <w:color w:val="FFFFFF" w:themeColor="background1"/>
                <w:sz w:val="22"/>
                <w:szCs w:val="22"/>
              </w:rPr>
              <w:t>Abr-Jun</w:t>
            </w:r>
          </w:p>
        </w:tc>
        <w:tc>
          <w:tcPr>
            <w:tcW w:w="1651" w:type="dxa"/>
            <w:tcBorders>
              <w:top w:val="nil"/>
              <w:left w:val="nil"/>
              <w:bottom w:val="single" w:sz="8" w:space="0" w:color="auto"/>
              <w:right w:val="single" w:sz="8" w:space="0" w:color="000000"/>
            </w:tcBorders>
            <w:shd w:val="clear" w:color="auto" w:fill="011C50"/>
            <w:vAlign w:val="center"/>
            <w:hideMark/>
          </w:tcPr>
          <w:p w14:paraId="2C3FB196" w14:textId="77777777" w:rsidR="006A3759" w:rsidRPr="00C448FD" w:rsidRDefault="006A3759" w:rsidP="008735D6">
            <w:pPr>
              <w:spacing w:after="0" w:line="240" w:lineRule="auto"/>
              <w:jc w:val="center"/>
              <w:rPr>
                <w:b/>
                <w:bCs/>
                <w:color w:val="FFFFFF" w:themeColor="background1"/>
                <w:sz w:val="22"/>
                <w:szCs w:val="22"/>
              </w:rPr>
            </w:pPr>
            <w:r w:rsidRPr="00C448FD">
              <w:rPr>
                <w:b/>
                <w:bCs/>
                <w:color w:val="FFFFFF" w:themeColor="background1"/>
                <w:sz w:val="22"/>
                <w:szCs w:val="22"/>
              </w:rPr>
              <w:t>Jul-Agosto</w:t>
            </w:r>
          </w:p>
        </w:tc>
        <w:tc>
          <w:tcPr>
            <w:tcW w:w="1559" w:type="dxa"/>
            <w:tcBorders>
              <w:top w:val="nil"/>
              <w:left w:val="nil"/>
              <w:bottom w:val="nil"/>
              <w:right w:val="nil"/>
            </w:tcBorders>
            <w:shd w:val="clear" w:color="auto" w:fill="011C50"/>
            <w:vAlign w:val="center"/>
            <w:hideMark/>
          </w:tcPr>
          <w:p w14:paraId="228C8456" w14:textId="5090FFC1" w:rsidR="006A3759" w:rsidRPr="00C448FD" w:rsidRDefault="006A3759" w:rsidP="008735D6">
            <w:pPr>
              <w:spacing w:after="0" w:line="240" w:lineRule="auto"/>
              <w:jc w:val="center"/>
              <w:rPr>
                <w:b/>
                <w:bCs/>
                <w:color w:val="FFFFFF" w:themeColor="background1"/>
                <w:sz w:val="22"/>
                <w:szCs w:val="22"/>
              </w:rPr>
            </w:pPr>
            <w:r w:rsidRPr="00C448FD">
              <w:rPr>
                <w:b/>
                <w:bCs/>
                <w:color w:val="FFFFFF" w:themeColor="background1"/>
                <w:sz w:val="22"/>
                <w:szCs w:val="22"/>
              </w:rPr>
              <w:t>Oct-</w:t>
            </w:r>
            <w:r w:rsidR="00DD5ECC">
              <w:rPr>
                <w:b/>
                <w:bCs/>
                <w:color w:val="FFFFFF" w:themeColor="background1"/>
                <w:sz w:val="22"/>
                <w:szCs w:val="22"/>
              </w:rPr>
              <w:t>Dic</w:t>
            </w:r>
          </w:p>
        </w:tc>
      </w:tr>
      <w:tr w:rsidR="006D0445" w:rsidRPr="006D0445" w14:paraId="64103B23" w14:textId="77777777" w:rsidTr="00446417">
        <w:trPr>
          <w:trHeight w:val="400"/>
        </w:trPr>
        <w:tc>
          <w:tcPr>
            <w:tcW w:w="1843" w:type="dxa"/>
            <w:tcBorders>
              <w:top w:val="nil"/>
              <w:left w:val="single" w:sz="8" w:space="0" w:color="000000"/>
              <w:bottom w:val="single" w:sz="8" w:space="0" w:color="auto"/>
              <w:right w:val="single" w:sz="8" w:space="0" w:color="auto"/>
            </w:tcBorders>
            <w:shd w:val="clear" w:color="auto" w:fill="D9D9D9"/>
            <w:vAlign w:val="center"/>
            <w:hideMark/>
          </w:tcPr>
          <w:p w14:paraId="1C53E5EE" w14:textId="77777777" w:rsidR="006A3759" w:rsidRPr="006D0445" w:rsidRDefault="006A3759" w:rsidP="009C423D">
            <w:pPr>
              <w:spacing w:after="0" w:line="240" w:lineRule="auto"/>
              <w:rPr>
                <w:rFonts w:eastAsia="Calibri"/>
                <w:b/>
                <w:bCs/>
                <w:noProof/>
                <w:color w:val="767171"/>
              </w:rPr>
            </w:pPr>
            <w:r w:rsidRPr="006D0445">
              <w:rPr>
                <w:rFonts w:eastAsia="Calibri"/>
                <w:b/>
                <w:bCs/>
                <w:noProof/>
                <w:color w:val="767171"/>
              </w:rPr>
              <w:t>Personal</w:t>
            </w:r>
          </w:p>
        </w:tc>
        <w:tc>
          <w:tcPr>
            <w:tcW w:w="1559" w:type="dxa"/>
            <w:tcBorders>
              <w:top w:val="nil"/>
              <w:left w:val="nil"/>
              <w:bottom w:val="single" w:sz="8" w:space="0" w:color="auto"/>
              <w:right w:val="single" w:sz="8" w:space="0" w:color="auto"/>
            </w:tcBorders>
            <w:shd w:val="clear" w:color="auto" w:fill="auto"/>
            <w:vAlign w:val="center"/>
            <w:hideMark/>
          </w:tcPr>
          <w:p w14:paraId="59A88BCA"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0</w:t>
            </w:r>
          </w:p>
        </w:tc>
        <w:tc>
          <w:tcPr>
            <w:tcW w:w="1326" w:type="dxa"/>
            <w:tcBorders>
              <w:top w:val="nil"/>
              <w:left w:val="nil"/>
              <w:bottom w:val="single" w:sz="8" w:space="0" w:color="auto"/>
              <w:right w:val="single" w:sz="8" w:space="0" w:color="000000"/>
            </w:tcBorders>
            <w:shd w:val="clear" w:color="auto" w:fill="auto"/>
            <w:vAlign w:val="center"/>
            <w:hideMark/>
          </w:tcPr>
          <w:p w14:paraId="3207A44B" w14:textId="5F7DFBFB" w:rsidR="006A3759" w:rsidRPr="006D0445" w:rsidRDefault="00F80152" w:rsidP="009C423D">
            <w:pPr>
              <w:spacing w:after="0" w:line="240" w:lineRule="auto"/>
              <w:jc w:val="center"/>
              <w:rPr>
                <w:rFonts w:eastAsia="Times New Roman"/>
                <w:color w:val="767171"/>
              </w:rPr>
            </w:pPr>
            <w:r w:rsidRPr="006D0445">
              <w:rPr>
                <w:rFonts w:eastAsia="Times New Roman"/>
                <w:color w:val="767171"/>
              </w:rPr>
              <w:t>0</w:t>
            </w:r>
          </w:p>
        </w:tc>
        <w:tc>
          <w:tcPr>
            <w:tcW w:w="1651" w:type="dxa"/>
            <w:tcBorders>
              <w:top w:val="nil"/>
              <w:left w:val="nil"/>
              <w:bottom w:val="single" w:sz="8" w:space="0" w:color="auto"/>
              <w:right w:val="single" w:sz="8" w:space="0" w:color="000000"/>
            </w:tcBorders>
            <w:shd w:val="clear" w:color="auto" w:fill="auto"/>
            <w:vAlign w:val="center"/>
            <w:hideMark/>
          </w:tcPr>
          <w:p w14:paraId="6A3697E7" w14:textId="3B62688C" w:rsidR="006A3759" w:rsidRPr="006D0445" w:rsidRDefault="00F80152" w:rsidP="009C423D">
            <w:pPr>
              <w:spacing w:after="0" w:line="240" w:lineRule="auto"/>
              <w:jc w:val="center"/>
              <w:rPr>
                <w:rFonts w:eastAsia="Times New Roman"/>
                <w:color w:val="767171"/>
              </w:rPr>
            </w:pPr>
            <w:r w:rsidRPr="006D0445">
              <w:rPr>
                <w:rFonts w:eastAsia="Times New Roman"/>
                <w:color w:val="767171"/>
              </w:rPr>
              <w:t>2</w:t>
            </w:r>
          </w:p>
        </w:tc>
        <w:tc>
          <w:tcPr>
            <w:tcW w:w="1559" w:type="dxa"/>
            <w:tcBorders>
              <w:top w:val="nil"/>
              <w:left w:val="nil"/>
              <w:bottom w:val="single" w:sz="8" w:space="0" w:color="auto"/>
              <w:right w:val="single" w:sz="8" w:space="0" w:color="000000"/>
            </w:tcBorders>
            <w:shd w:val="clear" w:color="auto" w:fill="auto"/>
            <w:vAlign w:val="center"/>
            <w:hideMark/>
          </w:tcPr>
          <w:p w14:paraId="4B6E5DC5"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1</w:t>
            </w:r>
          </w:p>
        </w:tc>
      </w:tr>
      <w:tr w:rsidR="006D0445" w:rsidRPr="006D0445" w14:paraId="22872105" w14:textId="77777777" w:rsidTr="00446417">
        <w:trPr>
          <w:trHeight w:val="559"/>
        </w:trPr>
        <w:tc>
          <w:tcPr>
            <w:tcW w:w="1843" w:type="dxa"/>
            <w:tcBorders>
              <w:top w:val="nil"/>
              <w:left w:val="single" w:sz="8" w:space="0" w:color="000000"/>
              <w:bottom w:val="single" w:sz="8" w:space="0" w:color="auto"/>
              <w:right w:val="single" w:sz="8" w:space="0" w:color="auto"/>
            </w:tcBorders>
            <w:shd w:val="clear" w:color="auto" w:fill="D9D9D9"/>
            <w:vAlign w:val="center"/>
            <w:hideMark/>
          </w:tcPr>
          <w:p w14:paraId="5DB98F1F" w14:textId="77777777" w:rsidR="006A3759" w:rsidRPr="006D0445" w:rsidRDefault="006A3759" w:rsidP="009C423D">
            <w:pPr>
              <w:spacing w:after="0" w:line="240" w:lineRule="auto"/>
              <w:rPr>
                <w:rFonts w:eastAsia="Calibri"/>
                <w:b/>
                <w:bCs/>
                <w:noProof/>
                <w:color w:val="767171"/>
              </w:rPr>
            </w:pPr>
            <w:r w:rsidRPr="006D0445">
              <w:rPr>
                <w:rFonts w:eastAsia="Calibri"/>
                <w:b/>
                <w:bCs/>
                <w:noProof/>
                <w:color w:val="767171"/>
              </w:rPr>
              <w:t>Correo Electrónico</w:t>
            </w:r>
          </w:p>
        </w:tc>
        <w:tc>
          <w:tcPr>
            <w:tcW w:w="1559" w:type="dxa"/>
            <w:tcBorders>
              <w:top w:val="nil"/>
              <w:left w:val="nil"/>
              <w:bottom w:val="single" w:sz="8" w:space="0" w:color="auto"/>
              <w:right w:val="single" w:sz="8" w:space="0" w:color="auto"/>
            </w:tcBorders>
            <w:shd w:val="clear" w:color="auto" w:fill="auto"/>
            <w:vAlign w:val="center"/>
            <w:hideMark/>
          </w:tcPr>
          <w:p w14:paraId="32B47732"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9</w:t>
            </w:r>
          </w:p>
        </w:tc>
        <w:tc>
          <w:tcPr>
            <w:tcW w:w="1326" w:type="dxa"/>
            <w:tcBorders>
              <w:top w:val="nil"/>
              <w:left w:val="nil"/>
              <w:bottom w:val="single" w:sz="8" w:space="0" w:color="auto"/>
              <w:right w:val="single" w:sz="8" w:space="0" w:color="000000"/>
            </w:tcBorders>
            <w:shd w:val="clear" w:color="auto" w:fill="auto"/>
            <w:vAlign w:val="center"/>
            <w:hideMark/>
          </w:tcPr>
          <w:p w14:paraId="504D9853" w14:textId="5A265A02" w:rsidR="006A3759" w:rsidRPr="006D0445" w:rsidRDefault="00F80152" w:rsidP="009C423D">
            <w:pPr>
              <w:spacing w:after="0" w:line="240" w:lineRule="auto"/>
              <w:jc w:val="center"/>
              <w:rPr>
                <w:rFonts w:eastAsia="Times New Roman"/>
                <w:color w:val="767171"/>
              </w:rPr>
            </w:pPr>
            <w:r w:rsidRPr="006D0445">
              <w:rPr>
                <w:rFonts w:eastAsia="Times New Roman"/>
                <w:color w:val="767171"/>
              </w:rPr>
              <w:t>8</w:t>
            </w:r>
          </w:p>
        </w:tc>
        <w:tc>
          <w:tcPr>
            <w:tcW w:w="1651" w:type="dxa"/>
            <w:tcBorders>
              <w:top w:val="nil"/>
              <w:left w:val="nil"/>
              <w:bottom w:val="single" w:sz="8" w:space="0" w:color="auto"/>
              <w:right w:val="single" w:sz="8" w:space="0" w:color="000000"/>
            </w:tcBorders>
            <w:shd w:val="clear" w:color="auto" w:fill="auto"/>
            <w:vAlign w:val="center"/>
            <w:hideMark/>
          </w:tcPr>
          <w:p w14:paraId="4BD975DA" w14:textId="2CA4AF45" w:rsidR="006A3759" w:rsidRPr="006D0445" w:rsidRDefault="00F80152" w:rsidP="009C423D">
            <w:pPr>
              <w:spacing w:after="0" w:line="240" w:lineRule="auto"/>
              <w:jc w:val="center"/>
              <w:rPr>
                <w:rFonts w:eastAsia="Times New Roman"/>
                <w:color w:val="767171"/>
              </w:rPr>
            </w:pPr>
            <w:r w:rsidRPr="006D0445">
              <w:rPr>
                <w:rFonts w:eastAsia="Times New Roman"/>
                <w:color w:val="767171"/>
              </w:rPr>
              <w:t>23</w:t>
            </w:r>
          </w:p>
        </w:tc>
        <w:tc>
          <w:tcPr>
            <w:tcW w:w="1559" w:type="dxa"/>
            <w:tcBorders>
              <w:top w:val="nil"/>
              <w:left w:val="nil"/>
              <w:bottom w:val="single" w:sz="8" w:space="0" w:color="auto"/>
              <w:right w:val="single" w:sz="8" w:space="0" w:color="000000"/>
            </w:tcBorders>
            <w:shd w:val="clear" w:color="auto" w:fill="auto"/>
            <w:vAlign w:val="center"/>
            <w:hideMark/>
          </w:tcPr>
          <w:p w14:paraId="708B13E5" w14:textId="3B6F4D8C" w:rsidR="006A3759" w:rsidRPr="006D0445" w:rsidRDefault="00F80152" w:rsidP="009C423D">
            <w:pPr>
              <w:spacing w:after="0" w:line="240" w:lineRule="auto"/>
              <w:jc w:val="center"/>
              <w:rPr>
                <w:rFonts w:eastAsia="Times New Roman"/>
                <w:color w:val="767171"/>
              </w:rPr>
            </w:pPr>
            <w:r w:rsidRPr="006D0445">
              <w:rPr>
                <w:rFonts w:eastAsia="Times New Roman"/>
                <w:color w:val="767171"/>
              </w:rPr>
              <w:t>1</w:t>
            </w:r>
            <w:r w:rsidR="00DD5ECC">
              <w:rPr>
                <w:rFonts w:eastAsia="Times New Roman"/>
                <w:color w:val="767171"/>
              </w:rPr>
              <w:t>5</w:t>
            </w:r>
          </w:p>
        </w:tc>
      </w:tr>
      <w:tr w:rsidR="006D0445" w:rsidRPr="006D0445" w14:paraId="66B516B7" w14:textId="77777777" w:rsidTr="002F0DF0">
        <w:trPr>
          <w:trHeight w:val="411"/>
        </w:trPr>
        <w:tc>
          <w:tcPr>
            <w:tcW w:w="1843" w:type="dxa"/>
            <w:tcBorders>
              <w:top w:val="nil"/>
              <w:left w:val="single" w:sz="8" w:space="0" w:color="000000"/>
              <w:bottom w:val="single" w:sz="8" w:space="0" w:color="auto"/>
              <w:right w:val="single" w:sz="8" w:space="0" w:color="auto"/>
            </w:tcBorders>
            <w:shd w:val="clear" w:color="auto" w:fill="D9D9D9"/>
            <w:vAlign w:val="center"/>
            <w:hideMark/>
          </w:tcPr>
          <w:p w14:paraId="350A74CA" w14:textId="77777777" w:rsidR="006A3759" w:rsidRPr="006D0445" w:rsidRDefault="006A3759" w:rsidP="009C423D">
            <w:pPr>
              <w:spacing w:after="0" w:line="240" w:lineRule="auto"/>
              <w:rPr>
                <w:rFonts w:eastAsia="Calibri"/>
                <w:b/>
                <w:bCs/>
                <w:noProof/>
                <w:color w:val="767171"/>
              </w:rPr>
            </w:pPr>
            <w:r w:rsidRPr="006D0445">
              <w:rPr>
                <w:rFonts w:eastAsia="Calibri"/>
                <w:b/>
                <w:bCs/>
                <w:noProof/>
                <w:color w:val="767171"/>
              </w:rPr>
              <w:t>SAIP</w:t>
            </w:r>
          </w:p>
        </w:tc>
        <w:tc>
          <w:tcPr>
            <w:tcW w:w="1559" w:type="dxa"/>
            <w:tcBorders>
              <w:top w:val="nil"/>
              <w:left w:val="nil"/>
              <w:bottom w:val="single" w:sz="8" w:space="0" w:color="auto"/>
              <w:right w:val="single" w:sz="8" w:space="0" w:color="auto"/>
            </w:tcBorders>
            <w:shd w:val="clear" w:color="auto" w:fill="auto"/>
            <w:vAlign w:val="center"/>
            <w:hideMark/>
          </w:tcPr>
          <w:p w14:paraId="6D2F3728" w14:textId="77219DEC" w:rsidR="006A3759" w:rsidRPr="006D0445" w:rsidRDefault="006A3759" w:rsidP="009C423D">
            <w:pPr>
              <w:spacing w:after="0" w:line="240" w:lineRule="auto"/>
              <w:jc w:val="center"/>
              <w:rPr>
                <w:rFonts w:eastAsia="Times New Roman"/>
                <w:color w:val="767171"/>
              </w:rPr>
            </w:pPr>
            <w:r w:rsidRPr="006D0445">
              <w:rPr>
                <w:rFonts w:eastAsia="Times New Roman"/>
                <w:color w:val="767171"/>
              </w:rPr>
              <w:t>1</w:t>
            </w:r>
            <w:r w:rsidR="00F80152" w:rsidRPr="006D0445">
              <w:rPr>
                <w:rFonts w:eastAsia="Times New Roman"/>
                <w:color w:val="767171"/>
              </w:rPr>
              <w:t>4</w:t>
            </w:r>
          </w:p>
        </w:tc>
        <w:tc>
          <w:tcPr>
            <w:tcW w:w="1326" w:type="dxa"/>
            <w:tcBorders>
              <w:top w:val="nil"/>
              <w:left w:val="nil"/>
              <w:bottom w:val="single" w:sz="8" w:space="0" w:color="auto"/>
              <w:right w:val="single" w:sz="8" w:space="0" w:color="000000"/>
            </w:tcBorders>
            <w:shd w:val="clear" w:color="auto" w:fill="auto"/>
            <w:vAlign w:val="center"/>
            <w:hideMark/>
          </w:tcPr>
          <w:p w14:paraId="4763E833" w14:textId="37DD7587" w:rsidR="006A3759" w:rsidRPr="006D0445" w:rsidRDefault="00F80152" w:rsidP="009C423D">
            <w:pPr>
              <w:spacing w:after="0" w:line="240" w:lineRule="auto"/>
              <w:jc w:val="center"/>
              <w:rPr>
                <w:rFonts w:eastAsia="Times New Roman"/>
                <w:color w:val="767171"/>
              </w:rPr>
            </w:pPr>
            <w:r w:rsidRPr="006D0445">
              <w:rPr>
                <w:rFonts w:eastAsia="Times New Roman"/>
                <w:color w:val="767171"/>
              </w:rPr>
              <w:t>12</w:t>
            </w:r>
          </w:p>
        </w:tc>
        <w:tc>
          <w:tcPr>
            <w:tcW w:w="1651" w:type="dxa"/>
            <w:tcBorders>
              <w:top w:val="nil"/>
              <w:left w:val="nil"/>
              <w:bottom w:val="single" w:sz="8" w:space="0" w:color="auto"/>
              <w:right w:val="single" w:sz="8" w:space="0" w:color="000000"/>
            </w:tcBorders>
            <w:shd w:val="clear" w:color="auto" w:fill="auto"/>
            <w:vAlign w:val="center"/>
            <w:hideMark/>
          </w:tcPr>
          <w:p w14:paraId="5ECFD14E" w14:textId="68B590B7" w:rsidR="006A3759" w:rsidRPr="006D0445" w:rsidRDefault="00F80152" w:rsidP="009C423D">
            <w:pPr>
              <w:spacing w:after="0" w:line="240" w:lineRule="auto"/>
              <w:jc w:val="center"/>
              <w:rPr>
                <w:rFonts w:eastAsia="Times New Roman"/>
                <w:color w:val="767171"/>
              </w:rPr>
            </w:pPr>
            <w:r w:rsidRPr="006D0445">
              <w:rPr>
                <w:rFonts w:eastAsia="Times New Roman"/>
                <w:color w:val="767171"/>
              </w:rPr>
              <w:t>13</w:t>
            </w:r>
          </w:p>
        </w:tc>
        <w:tc>
          <w:tcPr>
            <w:tcW w:w="1559" w:type="dxa"/>
            <w:tcBorders>
              <w:top w:val="nil"/>
              <w:left w:val="nil"/>
              <w:bottom w:val="single" w:sz="8" w:space="0" w:color="auto"/>
              <w:right w:val="single" w:sz="8" w:space="0" w:color="000000"/>
            </w:tcBorders>
            <w:shd w:val="clear" w:color="auto" w:fill="auto"/>
            <w:vAlign w:val="center"/>
            <w:hideMark/>
          </w:tcPr>
          <w:p w14:paraId="659D82F0" w14:textId="725F21AC" w:rsidR="006A3759" w:rsidRPr="006D0445" w:rsidRDefault="00DD5ECC" w:rsidP="009C423D">
            <w:pPr>
              <w:spacing w:after="0" w:line="240" w:lineRule="auto"/>
              <w:jc w:val="center"/>
              <w:rPr>
                <w:rFonts w:eastAsia="Times New Roman"/>
                <w:color w:val="767171"/>
              </w:rPr>
            </w:pPr>
            <w:r>
              <w:rPr>
                <w:rFonts w:eastAsia="Times New Roman"/>
                <w:color w:val="767171"/>
              </w:rPr>
              <w:t>20</w:t>
            </w:r>
          </w:p>
        </w:tc>
      </w:tr>
      <w:tr w:rsidR="006D0445" w:rsidRPr="006D0445" w14:paraId="1BBEE407" w14:textId="77777777" w:rsidTr="00446417">
        <w:trPr>
          <w:trHeight w:val="324"/>
        </w:trPr>
        <w:tc>
          <w:tcPr>
            <w:tcW w:w="1843" w:type="dxa"/>
            <w:tcBorders>
              <w:top w:val="nil"/>
              <w:left w:val="single" w:sz="8" w:space="0" w:color="000000"/>
              <w:bottom w:val="single" w:sz="8" w:space="0" w:color="auto"/>
              <w:right w:val="single" w:sz="8" w:space="0" w:color="auto"/>
            </w:tcBorders>
            <w:shd w:val="clear" w:color="auto" w:fill="D9D9D9"/>
            <w:vAlign w:val="center"/>
            <w:hideMark/>
          </w:tcPr>
          <w:p w14:paraId="4C35490A" w14:textId="77777777" w:rsidR="006A3759" w:rsidRPr="006D0445" w:rsidRDefault="006A3759" w:rsidP="009C423D">
            <w:pPr>
              <w:spacing w:after="0" w:line="240" w:lineRule="auto"/>
              <w:rPr>
                <w:rFonts w:eastAsia="Calibri"/>
                <w:b/>
                <w:bCs/>
                <w:noProof/>
                <w:color w:val="767171"/>
              </w:rPr>
            </w:pPr>
            <w:r w:rsidRPr="006D0445">
              <w:rPr>
                <w:rFonts w:eastAsia="Calibri"/>
                <w:b/>
                <w:bCs/>
                <w:noProof/>
                <w:color w:val="767171"/>
              </w:rPr>
              <w:t>Llamada</w:t>
            </w:r>
          </w:p>
        </w:tc>
        <w:tc>
          <w:tcPr>
            <w:tcW w:w="1559" w:type="dxa"/>
            <w:tcBorders>
              <w:top w:val="nil"/>
              <w:left w:val="nil"/>
              <w:bottom w:val="single" w:sz="8" w:space="0" w:color="auto"/>
              <w:right w:val="single" w:sz="8" w:space="0" w:color="auto"/>
            </w:tcBorders>
            <w:shd w:val="clear" w:color="auto" w:fill="auto"/>
            <w:vAlign w:val="center"/>
            <w:hideMark/>
          </w:tcPr>
          <w:p w14:paraId="333FE751"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0</w:t>
            </w:r>
          </w:p>
        </w:tc>
        <w:tc>
          <w:tcPr>
            <w:tcW w:w="1326" w:type="dxa"/>
            <w:tcBorders>
              <w:top w:val="nil"/>
              <w:left w:val="nil"/>
              <w:bottom w:val="single" w:sz="8" w:space="0" w:color="auto"/>
              <w:right w:val="single" w:sz="8" w:space="0" w:color="000000"/>
            </w:tcBorders>
            <w:shd w:val="clear" w:color="auto" w:fill="auto"/>
            <w:vAlign w:val="center"/>
            <w:hideMark/>
          </w:tcPr>
          <w:p w14:paraId="3599CA5F"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0</w:t>
            </w:r>
          </w:p>
        </w:tc>
        <w:tc>
          <w:tcPr>
            <w:tcW w:w="1651" w:type="dxa"/>
            <w:tcBorders>
              <w:top w:val="nil"/>
              <w:left w:val="nil"/>
              <w:bottom w:val="single" w:sz="8" w:space="0" w:color="auto"/>
              <w:right w:val="single" w:sz="8" w:space="0" w:color="000000"/>
            </w:tcBorders>
            <w:shd w:val="clear" w:color="auto" w:fill="auto"/>
            <w:vAlign w:val="center"/>
            <w:hideMark/>
          </w:tcPr>
          <w:p w14:paraId="67F55DF9"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0</w:t>
            </w:r>
          </w:p>
        </w:tc>
        <w:tc>
          <w:tcPr>
            <w:tcW w:w="1559" w:type="dxa"/>
            <w:tcBorders>
              <w:top w:val="nil"/>
              <w:left w:val="nil"/>
              <w:bottom w:val="single" w:sz="8" w:space="0" w:color="auto"/>
              <w:right w:val="single" w:sz="8" w:space="0" w:color="000000"/>
            </w:tcBorders>
            <w:shd w:val="clear" w:color="auto" w:fill="auto"/>
            <w:vAlign w:val="center"/>
            <w:hideMark/>
          </w:tcPr>
          <w:p w14:paraId="4B2313E4" w14:textId="77777777" w:rsidR="006A3759" w:rsidRPr="006D0445" w:rsidRDefault="006A3759" w:rsidP="009C423D">
            <w:pPr>
              <w:spacing w:after="0" w:line="240" w:lineRule="auto"/>
              <w:jc w:val="center"/>
              <w:rPr>
                <w:rFonts w:eastAsia="Times New Roman"/>
                <w:color w:val="767171"/>
              </w:rPr>
            </w:pPr>
            <w:r w:rsidRPr="006D0445">
              <w:rPr>
                <w:rFonts w:eastAsia="Times New Roman"/>
                <w:color w:val="767171"/>
              </w:rPr>
              <w:t>0</w:t>
            </w:r>
          </w:p>
        </w:tc>
      </w:tr>
      <w:tr w:rsidR="006D0445" w:rsidRPr="006D0445" w14:paraId="2A884C10" w14:textId="77777777" w:rsidTr="00446417">
        <w:trPr>
          <w:trHeight w:val="324"/>
        </w:trPr>
        <w:tc>
          <w:tcPr>
            <w:tcW w:w="1843" w:type="dxa"/>
            <w:tcBorders>
              <w:top w:val="nil"/>
              <w:left w:val="single" w:sz="8" w:space="0" w:color="000000"/>
              <w:bottom w:val="single" w:sz="8" w:space="0" w:color="auto"/>
              <w:right w:val="single" w:sz="8" w:space="0" w:color="auto"/>
            </w:tcBorders>
            <w:shd w:val="clear" w:color="auto" w:fill="D9D9D9"/>
            <w:vAlign w:val="center"/>
            <w:hideMark/>
          </w:tcPr>
          <w:p w14:paraId="053E9DFD" w14:textId="77777777" w:rsidR="006A3759" w:rsidRPr="006D0445" w:rsidRDefault="006A3759" w:rsidP="009C423D">
            <w:pPr>
              <w:spacing w:after="0" w:line="240" w:lineRule="auto"/>
              <w:rPr>
                <w:rFonts w:eastAsia="Calibri"/>
                <w:b/>
                <w:bCs/>
                <w:noProof/>
                <w:color w:val="767171"/>
              </w:rPr>
            </w:pPr>
            <w:r w:rsidRPr="006D0445">
              <w:rPr>
                <w:rFonts w:eastAsia="Calibri"/>
                <w:b/>
                <w:bCs/>
                <w:noProof/>
                <w:color w:val="767171"/>
              </w:rPr>
              <w:t>311</w:t>
            </w:r>
          </w:p>
        </w:tc>
        <w:tc>
          <w:tcPr>
            <w:tcW w:w="1559" w:type="dxa"/>
            <w:tcBorders>
              <w:top w:val="nil"/>
              <w:left w:val="nil"/>
              <w:bottom w:val="single" w:sz="8" w:space="0" w:color="auto"/>
              <w:right w:val="single" w:sz="8" w:space="0" w:color="auto"/>
            </w:tcBorders>
            <w:shd w:val="clear" w:color="auto" w:fill="auto"/>
            <w:vAlign w:val="center"/>
            <w:hideMark/>
          </w:tcPr>
          <w:p w14:paraId="4E3FA44A" w14:textId="56FCA967" w:rsidR="006A3759" w:rsidRPr="006D0445" w:rsidRDefault="00F80152" w:rsidP="009C423D">
            <w:pPr>
              <w:spacing w:after="0" w:line="240" w:lineRule="auto"/>
              <w:jc w:val="center"/>
              <w:rPr>
                <w:rFonts w:eastAsia="Times New Roman"/>
                <w:color w:val="767171"/>
              </w:rPr>
            </w:pPr>
            <w:r w:rsidRPr="006D0445">
              <w:rPr>
                <w:rFonts w:eastAsia="Times New Roman"/>
                <w:color w:val="767171"/>
              </w:rPr>
              <w:t>5</w:t>
            </w:r>
          </w:p>
        </w:tc>
        <w:tc>
          <w:tcPr>
            <w:tcW w:w="1326" w:type="dxa"/>
            <w:tcBorders>
              <w:top w:val="nil"/>
              <w:left w:val="nil"/>
              <w:bottom w:val="single" w:sz="8" w:space="0" w:color="auto"/>
              <w:right w:val="single" w:sz="8" w:space="0" w:color="000000"/>
            </w:tcBorders>
            <w:shd w:val="clear" w:color="auto" w:fill="auto"/>
            <w:vAlign w:val="center"/>
            <w:hideMark/>
          </w:tcPr>
          <w:p w14:paraId="7A8E7941" w14:textId="12C2027B" w:rsidR="006A3759" w:rsidRPr="006D0445" w:rsidRDefault="00F80152" w:rsidP="009C423D">
            <w:pPr>
              <w:spacing w:after="0" w:line="240" w:lineRule="auto"/>
              <w:jc w:val="center"/>
              <w:rPr>
                <w:rFonts w:eastAsia="Times New Roman"/>
                <w:color w:val="767171"/>
              </w:rPr>
            </w:pPr>
            <w:r w:rsidRPr="006D0445">
              <w:rPr>
                <w:rFonts w:eastAsia="Times New Roman"/>
                <w:color w:val="767171"/>
              </w:rPr>
              <w:t>9</w:t>
            </w:r>
          </w:p>
        </w:tc>
        <w:tc>
          <w:tcPr>
            <w:tcW w:w="1651" w:type="dxa"/>
            <w:tcBorders>
              <w:top w:val="nil"/>
              <w:left w:val="nil"/>
              <w:bottom w:val="single" w:sz="8" w:space="0" w:color="auto"/>
              <w:right w:val="single" w:sz="8" w:space="0" w:color="000000"/>
            </w:tcBorders>
            <w:shd w:val="clear" w:color="auto" w:fill="auto"/>
            <w:vAlign w:val="center"/>
            <w:hideMark/>
          </w:tcPr>
          <w:p w14:paraId="46CEB2AA" w14:textId="74D41DCF" w:rsidR="006A3759" w:rsidRPr="006D0445" w:rsidRDefault="00F80152" w:rsidP="009C423D">
            <w:pPr>
              <w:spacing w:after="0" w:line="240" w:lineRule="auto"/>
              <w:jc w:val="center"/>
              <w:rPr>
                <w:rFonts w:eastAsia="Times New Roman"/>
                <w:color w:val="767171"/>
              </w:rPr>
            </w:pPr>
            <w:r w:rsidRPr="006D0445">
              <w:rPr>
                <w:rFonts w:eastAsia="Times New Roman"/>
                <w:color w:val="767171"/>
              </w:rPr>
              <w:t>10</w:t>
            </w:r>
          </w:p>
        </w:tc>
        <w:tc>
          <w:tcPr>
            <w:tcW w:w="1559" w:type="dxa"/>
            <w:tcBorders>
              <w:top w:val="nil"/>
              <w:left w:val="nil"/>
              <w:bottom w:val="single" w:sz="8" w:space="0" w:color="auto"/>
              <w:right w:val="single" w:sz="8" w:space="0" w:color="000000"/>
            </w:tcBorders>
            <w:shd w:val="clear" w:color="auto" w:fill="auto"/>
            <w:vAlign w:val="center"/>
            <w:hideMark/>
          </w:tcPr>
          <w:p w14:paraId="02A90DEF" w14:textId="6110C449" w:rsidR="006A3759" w:rsidRPr="006D0445" w:rsidRDefault="00DD5ECC" w:rsidP="009C423D">
            <w:pPr>
              <w:spacing w:after="0" w:line="240" w:lineRule="auto"/>
              <w:jc w:val="center"/>
              <w:rPr>
                <w:rFonts w:eastAsia="Times New Roman"/>
                <w:color w:val="767171"/>
              </w:rPr>
            </w:pPr>
            <w:r>
              <w:rPr>
                <w:rFonts w:eastAsia="Times New Roman"/>
                <w:color w:val="767171"/>
              </w:rPr>
              <w:t>8</w:t>
            </w:r>
          </w:p>
        </w:tc>
      </w:tr>
      <w:tr w:rsidR="006D0445" w:rsidRPr="006D0445" w14:paraId="63CAB979" w14:textId="77777777" w:rsidTr="00446417">
        <w:trPr>
          <w:trHeight w:val="444"/>
        </w:trPr>
        <w:tc>
          <w:tcPr>
            <w:tcW w:w="1843" w:type="dxa"/>
            <w:tcBorders>
              <w:top w:val="nil"/>
              <w:left w:val="single" w:sz="8" w:space="0" w:color="000000"/>
              <w:bottom w:val="single" w:sz="8" w:space="0" w:color="auto"/>
              <w:right w:val="single" w:sz="8" w:space="0" w:color="auto"/>
            </w:tcBorders>
            <w:shd w:val="clear" w:color="auto" w:fill="011C50"/>
            <w:vAlign w:val="center"/>
            <w:hideMark/>
          </w:tcPr>
          <w:p w14:paraId="49DACB2B" w14:textId="77777777" w:rsidR="006A3759" w:rsidRPr="00C448FD" w:rsidRDefault="006A3759" w:rsidP="000B0928">
            <w:pPr>
              <w:spacing w:after="0" w:line="240" w:lineRule="auto"/>
              <w:jc w:val="center"/>
              <w:rPr>
                <w:color w:val="FFFFFF" w:themeColor="background1"/>
              </w:rPr>
            </w:pPr>
            <w:proofErr w:type="gramStart"/>
            <w:r w:rsidRPr="00C448FD">
              <w:rPr>
                <w:color w:val="FFFFFF" w:themeColor="background1"/>
              </w:rPr>
              <w:t>Total</w:t>
            </w:r>
            <w:proofErr w:type="gramEnd"/>
            <w:r w:rsidRPr="00C448FD">
              <w:rPr>
                <w:color w:val="FFFFFF" w:themeColor="background1"/>
              </w:rPr>
              <w:t> Recibidas</w:t>
            </w:r>
          </w:p>
        </w:tc>
        <w:tc>
          <w:tcPr>
            <w:tcW w:w="1559" w:type="dxa"/>
            <w:tcBorders>
              <w:top w:val="nil"/>
              <w:left w:val="nil"/>
              <w:bottom w:val="single" w:sz="4" w:space="0" w:color="auto"/>
              <w:right w:val="single" w:sz="8" w:space="0" w:color="auto"/>
            </w:tcBorders>
            <w:shd w:val="clear" w:color="auto" w:fill="011C50"/>
            <w:vAlign w:val="center"/>
            <w:hideMark/>
          </w:tcPr>
          <w:p w14:paraId="69B11ACB" w14:textId="76AA79C1" w:rsidR="006A3759" w:rsidRPr="00C448FD" w:rsidRDefault="00F80152" w:rsidP="000B0928">
            <w:pPr>
              <w:spacing w:after="0" w:line="240" w:lineRule="auto"/>
              <w:jc w:val="center"/>
              <w:rPr>
                <w:color w:val="FFFFFF" w:themeColor="background1"/>
              </w:rPr>
            </w:pPr>
            <w:r w:rsidRPr="00C448FD">
              <w:rPr>
                <w:color w:val="FFFFFF" w:themeColor="background1"/>
              </w:rPr>
              <w:t>28</w:t>
            </w:r>
          </w:p>
        </w:tc>
        <w:tc>
          <w:tcPr>
            <w:tcW w:w="1326" w:type="dxa"/>
            <w:tcBorders>
              <w:top w:val="nil"/>
              <w:left w:val="nil"/>
              <w:bottom w:val="single" w:sz="4" w:space="0" w:color="auto"/>
              <w:right w:val="single" w:sz="8" w:space="0" w:color="auto"/>
            </w:tcBorders>
            <w:shd w:val="clear" w:color="auto" w:fill="011C50"/>
            <w:vAlign w:val="center"/>
            <w:hideMark/>
          </w:tcPr>
          <w:p w14:paraId="4A5DC658" w14:textId="2A49A833" w:rsidR="006A3759" w:rsidRPr="00C448FD" w:rsidRDefault="00F80152" w:rsidP="000B0928">
            <w:pPr>
              <w:spacing w:after="0" w:line="240" w:lineRule="auto"/>
              <w:jc w:val="center"/>
              <w:rPr>
                <w:color w:val="FFFFFF" w:themeColor="background1"/>
              </w:rPr>
            </w:pPr>
            <w:r w:rsidRPr="00C448FD">
              <w:rPr>
                <w:color w:val="FFFFFF" w:themeColor="background1"/>
              </w:rPr>
              <w:t>29</w:t>
            </w:r>
          </w:p>
        </w:tc>
        <w:tc>
          <w:tcPr>
            <w:tcW w:w="1651" w:type="dxa"/>
            <w:tcBorders>
              <w:top w:val="nil"/>
              <w:left w:val="nil"/>
              <w:bottom w:val="single" w:sz="4" w:space="0" w:color="auto"/>
              <w:right w:val="single" w:sz="8" w:space="0" w:color="auto"/>
            </w:tcBorders>
            <w:shd w:val="clear" w:color="auto" w:fill="011C50"/>
            <w:vAlign w:val="center"/>
            <w:hideMark/>
          </w:tcPr>
          <w:p w14:paraId="0A8F0DB1" w14:textId="019D2083" w:rsidR="006A3759" w:rsidRPr="00C448FD" w:rsidRDefault="00F80152" w:rsidP="000B0928">
            <w:pPr>
              <w:spacing w:after="0" w:line="240" w:lineRule="auto"/>
              <w:jc w:val="center"/>
              <w:rPr>
                <w:color w:val="FFFFFF" w:themeColor="background1"/>
              </w:rPr>
            </w:pPr>
            <w:r w:rsidRPr="00C448FD">
              <w:rPr>
                <w:color w:val="FFFFFF" w:themeColor="background1"/>
              </w:rPr>
              <w:t>48</w:t>
            </w:r>
          </w:p>
        </w:tc>
        <w:tc>
          <w:tcPr>
            <w:tcW w:w="1559" w:type="dxa"/>
            <w:tcBorders>
              <w:top w:val="nil"/>
              <w:left w:val="nil"/>
              <w:bottom w:val="single" w:sz="4" w:space="0" w:color="auto"/>
              <w:right w:val="single" w:sz="8" w:space="0" w:color="auto"/>
            </w:tcBorders>
            <w:shd w:val="clear" w:color="auto" w:fill="011C50"/>
            <w:vAlign w:val="center"/>
            <w:hideMark/>
          </w:tcPr>
          <w:p w14:paraId="2D0CEC1C" w14:textId="50929ED2" w:rsidR="006A3759" w:rsidRPr="00C448FD" w:rsidRDefault="00DD5ECC" w:rsidP="000B0928">
            <w:pPr>
              <w:spacing w:after="0" w:line="240" w:lineRule="auto"/>
              <w:jc w:val="center"/>
              <w:rPr>
                <w:color w:val="FFFFFF" w:themeColor="background1"/>
              </w:rPr>
            </w:pPr>
            <w:r>
              <w:rPr>
                <w:color w:val="FFFFFF" w:themeColor="background1"/>
              </w:rPr>
              <w:t>4</w:t>
            </w:r>
            <w:r w:rsidR="00F80152" w:rsidRPr="00C448FD">
              <w:rPr>
                <w:color w:val="FFFFFF" w:themeColor="background1"/>
              </w:rPr>
              <w:t>4</w:t>
            </w:r>
          </w:p>
        </w:tc>
      </w:tr>
      <w:tr w:rsidR="006D0445" w:rsidRPr="006D0445" w14:paraId="3409B466" w14:textId="77777777" w:rsidTr="00446417">
        <w:trPr>
          <w:trHeight w:val="349"/>
        </w:trPr>
        <w:tc>
          <w:tcPr>
            <w:tcW w:w="1843" w:type="dxa"/>
            <w:tcBorders>
              <w:top w:val="nil"/>
              <w:left w:val="single" w:sz="8" w:space="0" w:color="000000"/>
              <w:bottom w:val="single" w:sz="8" w:space="0" w:color="000000"/>
              <w:right w:val="single" w:sz="4" w:space="0" w:color="auto"/>
            </w:tcBorders>
            <w:shd w:val="clear" w:color="auto" w:fill="D9D9D9"/>
            <w:vAlign w:val="center"/>
            <w:hideMark/>
          </w:tcPr>
          <w:p w14:paraId="733A45D9" w14:textId="134DA779" w:rsidR="006A3759" w:rsidRPr="006D0445" w:rsidRDefault="006A3759" w:rsidP="000B0928">
            <w:pPr>
              <w:spacing w:after="0" w:line="240" w:lineRule="auto"/>
              <w:jc w:val="center"/>
              <w:rPr>
                <w:color w:val="767171"/>
              </w:rPr>
            </w:pPr>
            <w:r w:rsidRPr="006D0445">
              <w:rPr>
                <w:color w:val="767171"/>
              </w:rPr>
              <w:t>Gran Total</w:t>
            </w:r>
          </w:p>
        </w:tc>
        <w:tc>
          <w:tcPr>
            <w:tcW w:w="609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D968F71" w14:textId="751B1921" w:rsidR="006A3759" w:rsidRPr="006D0445" w:rsidRDefault="00F80152" w:rsidP="000B0928">
            <w:pPr>
              <w:spacing w:after="0" w:line="240" w:lineRule="auto"/>
              <w:jc w:val="center"/>
              <w:rPr>
                <w:color w:val="767171"/>
              </w:rPr>
            </w:pPr>
            <w:r w:rsidRPr="006D0445">
              <w:rPr>
                <w:color w:val="767171"/>
              </w:rPr>
              <w:t>1</w:t>
            </w:r>
            <w:r w:rsidR="00DD5ECC">
              <w:rPr>
                <w:color w:val="767171"/>
              </w:rPr>
              <w:t>4</w:t>
            </w:r>
            <w:r w:rsidRPr="006D0445">
              <w:rPr>
                <w:color w:val="767171"/>
              </w:rPr>
              <w:t>9</w:t>
            </w:r>
          </w:p>
        </w:tc>
      </w:tr>
    </w:tbl>
    <w:p w14:paraId="0BDDAA32" w14:textId="22E6438D" w:rsidR="006A3759" w:rsidRPr="00832511" w:rsidRDefault="00E55D67" w:rsidP="00E55D67">
      <w:pPr>
        <w:ind w:left="709"/>
        <w:rPr>
          <w:noProof/>
          <w:color w:val="767171"/>
          <w:sz w:val="28"/>
          <w:szCs w:val="28"/>
        </w:rPr>
      </w:pPr>
      <w:r w:rsidRPr="00832511">
        <w:rPr>
          <w:rFonts w:eastAsia="Times New Roman"/>
          <w:color w:val="767171"/>
          <w:sz w:val="18"/>
          <w:szCs w:val="18"/>
        </w:rPr>
        <w:t xml:space="preserve">Fuente: Oficinas </w:t>
      </w:r>
      <w:proofErr w:type="spellStart"/>
      <w:r w:rsidRPr="00832511">
        <w:rPr>
          <w:rFonts w:eastAsia="Times New Roman"/>
          <w:color w:val="767171"/>
          <w:sz w:val="18"/>
          <w:szCs w:val="18"/>
        </w:rPr>
        <w:t>OAI</w:t>
      </w:r>
      <w:proofErr w:type="spellEnd"/>
      <w:r w:rsidRPr="00832511">
        <w:rPr>
          <w:rFonts w:eastAsia="Times New Roman"/>
          <w:color w:val="767171"/>
          <w:sz w:val="18"/>
          <w:szCs w:val="18"/>
        </w:rPr>
        <w:t xml:space="preserve"> SIE</w:t>
      </w:r>
    </w:p>
    <w:p w14:paraId="04514F4E" w14:textId="3E5C1F81" w:rsidR="005516E1" w:rsidRPr="006D0445" w:rsidRDefault="006A3759" w:rsidP="001C62F2">
      <w:pPr>
        <w:rPr>
          <w:noProof/>
          <w:color w:val="767171"/>
        </w:rPr>
      </w:pPr>
      <w:r w:rsidRPr="006D0445">
        <w:rPr>
          <w:noProof/>
          <w:color w:val="767171"/>
        </w:rPr>
        <w:t>En terminos porcentuales, los canales de recepción de solicitudes de información como el correo electrónico y el Portal SAIP, son las herramientas principales para dicha acción:</w:t>
      </w:r>
    </w:p>
    <w:p w14:paraId="35F72675" w14:textId="1C5DE096" w:rsidR="00446417" w:rsidRPr="006D0445" w:rsidRDefault="006A3759" w:rsidP="00B00615">
      <w:pPr>
        <w:jc w:val="center"/>
        <w:rPr>
          <w:noProof/>
          <w:color w:val="767171"/>
        </w:rPr>
      </w:pPr>
      <w:r w:rsidRPr="006D0445">
        <w:rPr>
          <w:noProof/>
          <w:color w:val="767171"/>
        </w:rPr>
        <w:drawing>
          <wp:inline distT="0" distB="0" distL="0" distR="0" wp14:anchorId="281C13D0" wp14:editId="17FD53C2">
            <wp:extent cx="4763135" cy="2268747"/>
            <wp:effectExtent l="0" t="0" r="18415" b="17780"/>
            <wp:docPr id="1797444671" name="Gráfico 1">
              <a:extLst xmlns:a="http://schemas.openxmlformats.org/drawingml/2006/main">
                <a:ext uri="{FF2B5EF4-FFF2-40B4-BE49-F238E27FC236}">
                  <a16:creationId xmlns:a16="http://schemas.microsoft.com/office/drawing/2014/main" id="{C0B66A21-373C-7181-7646-5330DDCE4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7DA259" w14:textId="77777777" w:rsidR="00446417" w:rsidRPr="006D0445" w:rsidRDefault="00446417">
      <w:pPr>
        <w:spacing w:line="259" w:lineRule="auto"/>
        <w:jc w:val="left"/>
        <w:rPr>
          <w:noProof/>
          <w:color w:val="767171"/>
        </w:rPr>
      </w:pPr>
      <w:r w:rsidRPr="006D0445">
        <w:rPr>
          <w:noProof/>
          <w:color w:val="767171"/>
        </w:rPr>
        <w:br w:type="page"/>
      </w:r>
    </w:p>
    <w:p w14:paraId="73A83E7F" w14:textId="55ABE0B3" w:rsidR="00582F88" w:rsidRPr="006D0445" w:rsidRDefault="00582F88" w:rsidP="006B3671">
      <w:pPr>
        <w:pStyle w:val="Ttulo2"/>
      </w:pPr>
      <w:bookmarkStart w:id="82" w:name="_Toc78552008"/>
      <w:bookmarkStart w:id="83" w:name="_Toc186147729"/>
      <w:r w:rsidRPr="006D0445">
        <w:lastRenderedPageBreak/>
        <w:t>Resultados sistema de quejas, reclamos y sugerencias</w:t>
      </w:r>
      <w:bookmarkEnd w:id="82"/>
      <w:bookmarkEnd w:id="83"/>
    </w:p>
    <w:p w14:paraId="306766D6" w14:textId="77777777" w:rsidR="007554BF" w:rsidRPr="006D0445" w:rsidRDefault="007554BF" w:rsidP="00EB4CC7">
      <w:pPr>
        <w:jc w:val="left"/>
        <w:rPr>
          <w:b/>
          <w:bCs/>
          <w:noProof/>
          <w:color w:val="767171"/>
        </w:rPr>
      </w:pPr>
      <w:r w:rsidRPr="006D0445">
        <w:rPr>
          <w:b/>
          <w:bCs/>
          <w:noProof/>
          <w:color w:val="767171"/>
        </w:rPr>
        <w:t>Informe Trimestral de Quejas, Reclamos y Sugerencias 311</w:t>
      </w:r>
    </w:p>
    <w:p w14:paraId="301DB218" w14:textId="6A7178CF" w:rsidR="007554BF" w:rsidRPr="006D0445" w:rsidRDefault="00F87379" w:rsidP="007554BF">
      <w:pPr>
        <w:rPr>
          <w:color w:val="767171"/>
        </w:rPr>
      </w:pPr>
      <w:r w:rsidRPr="006D0445">
        <w:rPr>
          <w:color w:val="767171"/>
        </w:rPr>
        <w:t xml:space="preserve">La Oficina de Acceso a la Información Pública </w:t>
      </w:r>
      <w:proofErr w:type="spellStart"/>
      <w:r w:rsidRPr="006D0445">
        <w:rPr>
          <w:color w:val="767171"/>
        </w:rPr>
        <w:t>OAI</w:t>
      </w:r>
      <w:proofErr w:type="spellEnd"/>
      <w:r w:rsidRPr="006D0445">
        <w:rPr>
          <w:color w:val="767171"/>
        </w:rPr>
        <w:t xml:space="preserve"> de la SIE ha recibido </w:t>
      </w:r>
      <w:r w:rsidR="003E7B03">
        <w:rPr>
          <w:color w:val="767171"/>
        </w:rPr>
        <w:t>veintiuna</w:t>
      </w:r>
      <w:r w:rsidR="00002941" w:rsidRPr="006D0445">
        <w:rPr>
          <w:color w:val="767171"/>
        </w:rPr>
        <w:t xml:space="preserve"> </w:t>
      </w:r>
      <w:r w:rsidRPr="006D0445">
        <w:rPr>
          <w:color w:val="767171"/>
        </w:rPr>
        <w:t>(</w:t>
      </w:r>
      <w:r w:rsidR="003E7B03">
        <w:rPr>
          <w:color w:val="767171"/>
        </w:rPr>
        <w:t>21</w:t>
      </w:r>
      <w:r w:rsidRPr="006D0445">
        <w:rPr>
          <w:color w:val="767171"/>
        </w:rPr>
        <w:t xml:space="preserve">) quejas, </w:t>
      </w:r>
      <w:r w:rsidR="00002941" w:rsidRPr="006D0445">
        <w:rPr>
          <w:color w:val="767171"/>
        </w:rPr>
        <w:t>nueve</w:t>
      </w:r>
      <w:r w:rsidRPr="006D0445">
        <w:rPr>
          <w:color w:val="767171"/>
        </w:rPr>
        <w:t xml:space="preserve"> (</w:t>
      </w:r>
      <w:r w:rsidR="00002941" w:rsidRPr="006D0445">
        <w:rPr>
          <w:color w:val="767171"/>
        </w:rPr>
        <w:t>9</w:t>
      </w:r>
      <w:r w:rsidRPr="006D0445">
        <w:rPr>
          <w:color w:val="767171"/>
        </w:rPr>
        <w:t xml:space="preserve">) reclamaciones y </w:t>
      </w:r>
      <w:r w:rsidR="005516E1" w:rsidRPr="006D0445">
        <w:rPr>
          <w:color w:val="767171"/>
        </w:rPr>
        <w:t>una</w:t>
      </w:r>
      <w:r w:rsidRPr="006D0445">
        <w:rPr>
          <w:color w:val="767171"/>
        </w:rPr>
        <w:t xml:space="preserve"> (</w:t>
      </w:r>
      <w:r w:rsidR="005516E1" w:rsidRPr="006D0445">
        <w:rPr>
          <w:color w:val="767171"/>
        </w:rPr>
        <w:t>1</w:t>
      </w:r>
      <w:r w:rsidRPr="006D0445">
        <w:rPr>
          <w:color w:val="767171"/>
        </w:rPr>
        <w:t>) sugerencias durante el periodo comprendido enero-</w:t>
      </w:r>
      <w:r w:rsidR="003E7B03">
        <w:rPr>
          <w:color w:val="767171"/>
        </w:rPr>
        <w:t>dic</w:t>
      </w:r>
      <w:r w:rsidRPr="006D0445">
        <w:rPr>
          <w:color w:val="767171"/>
        </w:rPr>
        <w:t xml:space="preserve">, para un total de </w:t>
      </w:r>
      <w:r w:rsidR="003E7B03">
        <w:rPr>
          <w:color w:val="767171"/>
        </w:rPr>
        <w:t>treinta y una</w:t>
      </w:r>
      <w:r w:rsidRPr="006D0445">
        <w:rPr>
          <w:color w:val="767171"/>
        </w:rPr>
        <w:t xml:space="preserve"> (</w:t>
      </w:r>
      <w:r w:rsidR="003E7B03">
        <w:rPr>
          <w:color w:val="767171"/>
        </w:rPr>
        <w:t>31</w:t>
      </w:r>
      <w:r w:rsidRPr="006D0445">
        <w:rPr>
          <w:color w:val="767171"/>
        </w:rPr>
        <w:t>) interacciones a través del portal 311, todas completadas dentro de plazo</w:t>
      </w:r>
      <w:r w:rsidR="00002941" w:rsidRPr="006D0445">
        <w:rPr>
          <w:color w:val="767171"/>
        </w:rPr>
        <w:t>:</w:t>
      </w:r>
    </w:p>
    <w:p w14:paraId="19F52531" w14:textId="66332964" w:rsidR="00A32195" w:rsidRPr="006D0445" w:rsidRDefault="00A32195" w:rsidP="00A32195">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16</w:t>
      </w:r>
      <w:r w:rsidRPr="006D0445">
        <w:rPr>
          <w:color w:val="767171"/>
        </w:rPr>
        <w:fldChar w:fldCharType="end"/>
      </w:r>
      <w:r w:rsidRPr="006D0445">
        <w:rPr>
          <w:color w:val="767171"/>
        </w:rPr>
        <w:t>Reclamaciones 311</w:t>
      </w:r>
    </w:p>
    <w:tbl>
      <w:tblPr>
        <w:tblW w:w="8559" w:type="dxa"/>
        <w:tblInd w:w="-289" w:type="dxa"/>
        <w:tblCellMar>
          <w:left w:w="70" w:type="dxa"/>
          <w:right w:w="70" w:type="dxa"/>
        </w:tblCellMar>
        <w:tblLook w:val="04A0" w:firstRow="1" w:lastRow="0" w:firstColumn="1" w:lastColumn="0" w:noHBand="0" w:noVBand="1"/>
      </w:tblPr>
      <w:tblGrid>
        <w:gridCol w:w="1555"/>
        <w:gridCol w:w="767"/>
        <w:gridCol w:w="560"/>
        <w:gridCol w:w="604"/>
        <w:gridCol w:w="574"/>
        <w:gridCol w:w="640"/>
        <w:gridCol w:w="559"/>
        <w:gridCol w:w="471"/>
        <w:gridCol w:w="554"/>
        <w:gridCol w:w="567"/>
        <w:gridCol w:w="547"/>
        <w:gridCol w:w="614"/>
        <w:gridCol w:w="547"/>
      </w:tblGrid>
      <w:tr w:rsidR="006D0445" w:rsidRPr="006D0445" w14:paraId="22F54F98" w14:textId="7DD56CE1" w:rsidTr="00CC0D74">
        <w:trPr>
          <w:trHeight w:val="449"/>
        </w:trPr>
        <w:tc>
          <w:tcPr>
            <w:tcW w:w="1555" w:type="dxa"/>
            <w:tcBorders>
              <w:top w:val="single" w:sz="4" w:space="0" w:color="auto"/>
              <w:left w:val="single" w:sz="4" w:space="0" w:color="auto"/>
              <w:bottom w:val="single" w:sz="4" w:space="0" w:color="auto"/>
              <w:right w:val="single" w:sz="4" w:space="0" w:color="auto"/>
            </w:tcBorders>
            <w:shd w:val="clear" w:color="auto" w:fill="011C50"/>
            <w:noWrap/>
            <w:vAlign w:val="center"/>
            <w:hideMark/>
          </w:tcPr>
          <w:p w14:paraId="69F07E2F" w14:textId="77777777" w:rsidR="005516E1" w:rsidRPr="00C448FD" w:rsidRDefault="005516E1" w:rsidP="009C423D">
            <w:pPr>
              <w:spacing w:after="0" w:line="240" w:lineRule="auto"/>
              <w:rPr>
                <w:color w:val="FFFFFF" w:themeColor="background1"/>
              </w:rPr>
            </w:pPr>
            <w:r w:rsidRPr="00C448FD">
              <w:rPr>
                <w:color w:val="FFFFFF" w:themeColor="background1"/>
              </w:rPr>
              <w:t>PORTAL 311</w:t>
            </w:r>
          </w:p>
        </w:tc>
        <w:tc>
          <w:tcPr>
            <w:tcW w:w="767" w:type="dxa"/>
            <w:tcBorders>
              <w:top w:val="single" w:sz="4" w:space="0" w:color="auto"/>
              <w:left w:val="nil"/>
              <w:bottom w:val="single" w:sz="4" w:space="0" w:color="auto"/>
              <w:right w:val="single" w:sz="4" w:space="0" w:color="auto"/>
            </w:tcBorders>
            <w:shd w:val="clear" w:color="auto" w:fill="011C50"/>
            <w:noWrap/>
            <w:vAlign w:val="center"/>
            <w:hideMark/>
          </w:tcPr>
          <w:p w14:paraId="4A25D1BA" w14:textId="77777777" w:rsidR="005516E1" w:rsidRPr="00C448FD" w:rsidRDefault="005516E1" w:rsidP="009C423D">
            <w:pPr>
              <w:spacing w:after="0" w:line="240" w:lineRule="auto"/>
              <w:jc w:val="center"/>
              <w:rPr>
                <w:color w:val="FFFFFF" w:themeColor="background1"/>
              </w:rPr>
            </w:pPr>
            <w:r w:rsidRPr="00C448FD">
              <w:rPr>
                <w:color w:val="FFFFFF" w:themeColor="background1"/>
              </w:rPr>
              <w:t>Ene.</w:t>
            </w:r>
          </w:p>
        </w:tc>
        <w:tc>
          <w:tcPr>
            <w:tcW w:w="560" w:type="dxa"/>
            <w:tcBorders>
              <w:top w:val="single" w:sz="4" w:space="0" w:color="auto"/>
              <w:left w:val="nil"/>
              <w:bottom w:val="single" w:sz="4" w:space="0" w:color="auto"/>
              <w:right w:val="single" w:sz="4" w:space="0" w:color="auto"/>
            </w:tcBorders>
            <w:shd w:val="clear" w:color="auto" w:fill="011C50"/>
            <w:noWrap/>
            <w:vAlign w:val="center"/>
            <w:hideMark/>
          </w:tcPr>
          <w:p w14:paraId="27EBA1B1" w14:textId="77777777" w:rsidR="005516E1" w:rsidRPr="00C448FD" w:rsidRDefault="005516E1" w:rsidP="009C423D">
            <w:pPr>
              <w:spacing w:after="0" w:line="240" w:lineRule="auto"/>
              <w:jc w:val="center"/>
              <w:rPr>
                <w:color w:val="FFFFFF" w:themeColor="background1"/>
              </w:rPr>
            </w:pPr>
            <w:r w:rsidRPr="00C448FD">
              <w:rPr>
                <w:color w:val="FFFFFF" w:themeColor="background1"/>
              </w:rPr>
              <w:t>Feb.</w:t>
            </w:r>
          </w:p>
        </w:tc>
        <w:tc>
          <w:tcPr>
            <w:tcW w:w="604" w:type="dxa"/>
            <w:tcBorders>
              <w:top w:val="single" w:sz="4" w:space="0" w:color="auto"/>
              <w:left w:val="nil"/>
              <w:bottom w:val="single" w:sz="4" w:space="0" w:color="auto"/>
              <w:right w:val="single" w:sz="4" w:space="0" w:color="auto"/>
            </w:tcBorders>
            <w:shd w:val="clear" w:color="auto" w:fill="011C50"/>
            <w:noWrap/>
            <w:vAlign w:val="center"/>
            <w:hideMark/>
          </w:tcPr>
          <w:p w14:paraId="15A6C3F8" w14:textId="77777777" w:rsidR="005516E1" w:rsidRPr="00C448FD" w:rsidRDefault="005516E1" w:rsidP="009C423D">
            <w:pPr>
              <w:spacing w:after="0" w:line="240" w:lineRule="auto"/>
              <w:jc w:val="center"/>
              <w:rPr>
                <w:color w:val="FFFFFF" w:themeColor="background1"/>
              </w:rPr>
            </w:pPr>
            <w:r w:rsidRPr="00C448FD">
              <w:rPr>
                <w:color w:val="FFFFFF" w:themeColor="background1"/>
              </w:rPr>
              <w:t>Mar.</w:t>
            </w:r>
          </w:p>
        </w:tc>
        <w:tc>
          <w:tcPr>
            <w:tcW w:w="574" w:type="dxa"/>
            <w:tcBorders>
              <w:top w:val="single" w:sz="4" w:space="0" w:color="auto"/>
              <w:left w:val="nil"/>
              <w:bottom w:val="single" w:sz="4" w:space="0" w:color="auto"/>
              <w:right w:val="single" w:sz="4" w:space="0" w:color="auto"/>
            </w:tcBorders>
            <w:shd w:val="clear" w:color="auto" w:fill="011C50"/>
            <w:noWrap/>
            <w:vAlign w:val="center"/>
            <w:hideMark/>
          </w:tcPr>
          <w:p w14:paraId="39B8AB34" w14:textId="77777777" w:rsidR="005516E1" w:rsidRPr="00C448FD" w:rsidRDefault="005516E1" w:rsidP="009C423D">
            <w:pPr>
              <w:spacing w:after="0" w:line="240" w:lineRule="auto"/>
              <w:jc w:val="center"/>
              <w:rPr>
                <w:color w:val="FFFFFF" w:themeColor="background1"/>
              </w:rPr>
            </w:pPr>
            <w:r w:rsidRPr="00C448FD">
              <w:rPr>
                <w:color w:val="FFFFFF" w:themeColor="background1"/>
              </w:rPr>
              <w:t>Abr.</w:t>
            </w:r>
          </w:p>
        </w:tc>
        <w:tc>
          <w:tcPr>
            <w:tcW w:w="640" w:type="dxa"/>
            <w:tcBorders>
              <w:top w:val="single" w:sz="4" w:space="0" w:color="auto"/>
              <w:left w:val="nil"/>
              <w:bottom w:val="single" w:sz="4" w:space="0" w:color="auto"/>
              <w:right w:val="single" w:sz="4" w:space="0" w:color="auto"/>
            </w:tcBorders>
            <w:shd w:val="clear" w:color="auto" w:fill="011C50"/>
            <w:noWrap/>
            <w:vAlign w:val="center"/>
            <w:hideMark/>
          </w:tcPr>
          <w:p w14:paraId="7C8CC6E0" w14:textId="77777777" w:rsidR="005516E1" w:rsidRPr="00C448FD" w:rsidRDefault="005516E1" w:rsidP="009C423D">
            <w:pPr>
              <w:spacing w:after="0" w:line="240" w:lineRule="auto"/>
              <w:jc w:val="center"/>
              <w:rPr>
                <w:color w:val="FFFFFF" w:themeColor="background1"/>
              </w:rPr>
            </w:pPr>
            <w:r w:rsidRPr="00C448FD">
              <w:rPr>
                <w:color w:val="FFFFFF" w:themeColor="background1"/>
              </w:rPr>
              <w:t>May.</w:t>
            </w:r>
          </w:p>
        </w:tc>
        <w:tc>
          <w:tcPr>
            <w:tcW w:w="559" w:type="dxa"/>
            <w:tcBorders>
              <w:top w:val="single" w:sz="4" w:space="0" w:color="auto"/>
              <w:left w:val="nil"/>
              <w:bottom w:val="single" w:sz="4" w:space="0" w:color="auto"/>
              <w:right w:val="single" w:sz="4" w:space="0" w:color="auto"/>
            </w:tcBorders>
            <w:shd w:val="clear" w:color="auto" w:fill="011C50"/>
            <w:noWrap/>
            <w:vAlign w:val="center"/>
            <w:hideMark/>
          </w:tcPr>
          <w:p w14:paraId="3FB6692D" w14:textId="77777777" w:rsidR="005516E1" w:rsidRPr="00C448FD" w:rsidRDefault="005516E1" w:rsidP="009C423D">
            <w:pPr>
              <w:spacing w:after="0" w:line="240" w:lineRule="auto"/>
              <w:jc w:val="center"/>
              <w:rPr>
                <w:color w:val="FFFFFF" w:themeColor="background1"/>
              </w:rPr>
            </w:pPr>
            <w:r w:rsidRPr="00C448FD">
              <w:rPr>
                <w:color w:val="FFFFFF" w:themeColor="background1"/>
              </w:rPr>
              <w:t>Jun.</w:t>
            </w:r>
          </w:p>
        </w:tc>
        <w:tc>
          <w:tcPr>
            <w:tcW w:w="471" w:type="dxa"/>
            <w:tcBorders>
              <w:top w:val="single" w:sz="4" w:space="0" w:color="auto"/>
              <w:left w:val="nil"/>
              <w:bottom w:val="single" w:sz="4" w:space="0" w:color="auto"/>
              <w:right w:val="single" w:sz="4" w:space="0" w:color="auto"/>
            </w:tcBorders>
            <w:shd w:val="clear" w:color="auto" w:fill="011C50"/>
            <w:noWrap/>
            <w:vAlign w:val="center"/>
            <w:hideMark/>
          </w:tcPr>
          <w:p w14:paraId="53EDA91B" w14:textId="77777777" w:rsidR="005516E1" w:rsidRPr="00C448FD" w:rsidRDefault="005516E1" w:rsidP="009C423D">
            <w:pPr>
              <w:spacing w:after="0" w:line="240" w:lineRule="auto"/>
              <w:jc w:val="center"/>
              <w:rPr>
                <w:color w:val="FFFFFF" w:themeColor="background1"/>
              </w:rPr>
            </w:pPr>
            <w:r w:rsidRPr="00C448FD">
              <w:rPr>
                <w:color w:val="FFFFFF" w:themeColor="background1"/>
              </w:rPr>
              <w:t>Jul</w:t>
            </w:r>
          </w:p>
        </w:tc>
        <w:tc>
          <w:tcPr>
            <w:tcW w:w="554" w:type="dxa"/>
            <w:tcBorders>
              <w:top w:val="single" w:sz="4" w:space="0" w:color="auto"/>
              <w:left w:val="nil"/>
              <w:bottom w:val="single" w:sz="4" w:space="0" w:color="auto"/>
              <w:right w:val="single" w:sz="4" w:space="0" w:color="auto"/>
            </w:tcBorders>
            <w:shd w:val="clear" w:color="auto" w:fill="011C50"/>
            <w:noWrap/>
            <w:vAlign w:val="center"/>
            <w:hideMark/>
          </w:tcPr>
          <w:p w14:paraId="5F7D4EC4" w14:textId="3A91DB48" w:rsidR="005516E1" w:rsidRPr="00C448FD" w:rsidRDefault="005516E1" w:rsidP="009C423D">
            <w:pPr>
              <w:spacing w:after="0" w:line="240" w:lineRule="auto"/>
              <w:jc w:val="center"/>
              <w:rPr>
                <w:color w:val="FFFFFF" w:themeColor="background1"/>
              </w:rPr>
            </w:pPr>
            <w:proofErr w:type="spellStart"/>
            <w:r w:rsidRPr="00C448FD">
              <w:rPr>
                <w:color w:val="FFFFFF" w:themeColor="background1"/>
              </w:rPr>
              <w:t>Ago</w:t>
            </w:r>
            <w:proofErr w:type="spellEnd"/>
          </w:p>
        </w:tc>
        <w:tc>
          <w:tcPr>
            <w:tcW w:w="567" w:type="dxa"/>
            <w:tcBorders>
              <w:top w:val="single" w:sz="4" w:space="0" w:color="auto"/>
              <w:left w:val="nil"/>
              <w:bottom w:val="single" w:sz="4" w:space="0" w:color="auto"/>
              <w:right w:val="single" w:sz="4" w:space="0" w:color="auto"/>
            </w:tcBorders>
            <w:shd w:val="clear" w:color="auto" w:fill="011C50"/>
            <w:noWrap/>
            <w:vAlign w:val="center"/>
            <w:hideMark/>
          </w:tcPr>
          <w:p w14:paraId="6543ACDD" w14:textId="77777777" w:rsidR="005516E1" w:rsidRPr="00C448FD" w:rsidRDefault="005516E1" w:rsidP="009C423D">
            <w:pPr>
              <w:spacing w:after="0" w:line="240" w:lineRule="auto"/>
              <w:jc w:val="center"/>
              <w:rPr>
                <w:color w:val="FFFFFF" w:themeColor="background1"/>
              </w:rPr>
            </w:pPr>
            <w:r w:rsidRPr="00C448FD">
              <w:rPr>
                <w:color w:val="FFFFFF" w:themeColor="background1"/>
              </w:rPr>
              <w:t>Sept</w:t>
            </w:r>
          </w:p>
        </w:tc>
        <w:tc>
          <w:tcPr>
            <w:tcW w:w="547" w:type="dxa"/>
            <w:tcBorders>
              <w:top w:val="single" w:sz="4" w:space="0" w:color="auto"/>
              <w:left w:val="nil"/>
              <w:bottom w:val="single" w:sz="4" w:space="0" w:color="auto"/>
              <w:right w:val="single" w:sz="4" w:space="0" w:color="auto"/>
            </w:tcBorders>
            <w:shd w:val="clear" w:color="auto" w:fill="011C50"/>
            <w:noWrap/>
            <w:vAlign w:val="center"/>
            <w:hideMark/>
          </w:tcPr>
          <w:p w14:paraId="704B7732" w14:textId="77777777" w:rsidR="005516E1" w:rsidRPr="00C448FD" w:rsidRDefault="005516E1" w:rsidP="009C423D">
            <w:pPr>
              <w:spacing w:after="0" w:line="240" w:lineRule="auto"/>
              <w:jc w:val="center"/>
              <w:rPr>
                <w:color w:val="FFFFFF" w:themeColor="background1"/>
              </w:rPr>
            </w:pPr>
            <w:r w:rsidRPr="00C448FD">
              <w:rPr>
                <w:color w:val="FFFFFF" w:themeColor="background1"/>
              </w:rPr>
              <w:t>Oct.</w:t>
            </w:r>
          </w:p>
        </w:tc>
        <w:tc>
          <w:tcPr>
            <w:tcW w:w="614" w:type="dxa"/>
            <w:tcBorders>
              <w:top w:val="single" w:sz="4" w:space="0" w:color="auto"/>
              <w:left w:val="nil"/>
              <w:bottom w:val="single" w:sz="4" w:space="0" w:color="auto"/>
              <w:right w:val="single" w:sz="4" w:space="0" w:color="auto"/>
            </w:tcBorders>
            <w:shd w:val="clear" w:color="auto" w:fill="011C50"/>
            <w:noWrap/>
            <w:vAlign w:val="center"/>
            <w:hideMark/>
          </w:tcPr>
          <w:p w14:paraId="1A289BFF" w14:textId="77777777" w:rsidR="005516E1" w:rsidRPr="00C448FD" w:rsidRDefault="005516E1" w:rsidP="009C423D">
            <w:pPr>
              <w:spacing w:after="0" w:line="240" w:lineRule="auto"/>
              <w:jc w:val="center"/>
              <w:rPr>
                <w:color w:val="FFFFFF" w:themeColor="background1"/>
              </w:rPr>
            </w:pPr>
            <w:r w:rsidRPr="00C448FD">
              <w:rPr>
                <w:color w:val="FFFFFF" w:themeColor="background1"/>
              </w:rPr>
              <w:t>Nov.</w:t>
            </w:r>
          </w:p>
        </w:tc>
        <w:tc>
          <w:tcPr>
            <w:tcW w:w="547" w:type="dxa"/>
            <w:tcBorders>
              <w:top w:val="single" w:sz="4" w:space="0" w:color="auto"/>
              <w:left w:val="nil"/>
              <w:bottom w:val="single" w:sz="4" w:space="0" w:color="auto"/>
              <w:right w:val="single" w:sz="4" w:space="0" w:color="auto"/>
            </w:tcBorders>
            <w:shd w:val="clear" w:color="auto" w:fill="011C50"/>
            <w:vAlign w:val="center"/>
          </w:tcPr>
          <w:p w14:paraId="7FBEDF68" w14:textId="0186F84A" w:rsidR="005516E1" w:rsidRPr="00C448FD" w:rsidRDefault="005516E1" w:rsidP="005516E1">
            <w:pPr>
              <w:spacing w:after="0" w:line="240" w:lineRule="auto"/>
              <w:jc w:val="center"/>
              <w:rPr>
                <w:color w:val="FFFFFF" w:themeColor="background1"/>
              </w:rPr>
            </w:pPr>
            <w:r w:rsidRPr="00C448FD">
              <w:rPr>
                <w:color w:val="FFFFFF" w:themeColor="background1"/>
              </w:rPr>
              <w:t>Dic.</w:t>
            </w:r>
          </w:p>
        </w:tc>
      </w:tr>
      <w:tr w:rsidR="006D0445" w:rsidRPr="006D0445" w14:paraId="69356705" w14:textId="588D99BB" w:rsidTr="00CC0D74">
        <w:trPr>
          <w:trHeight w:val="458"/>
        </w:trPr>
        <w:tc>
          <w:tcPr>
            <w:tcW w:w="1555" w:type="dxa"/>
            <w:tcBorders>
              <w:top w:val="nil"/>
              <w:left w:val="single" w:sz="4" w:space="0" w:color="auto"/>
              <w:bottom w:val="single" w:sz="4" w:space="0" w:color="auto"/>
              <w:right w:val="single" w:sz="4" w:space="0" w:color="auto"/>
            </w:tcBorders>
            <w:shd w:val="clear" w:color="auto" w:fill="D9D9D9"/>
            <w:noWrap/>
            <w:vAlign w:val="center"/>
            <w:hideMark/>
          </w:tcPr>
          <w:p w14:paraId="37FB3869" w14:textId="77777777" w:rsidR="005516E1" w:rsidRPr="006D0445" w:rsidRDefault="005516E1" w:rsidP="005516E1">
            <w:pPr>
              <w:spacing w:after="0" w:line="240" w:lineRule="auto"/>
              <w:rPr>
                <w:rFonts w:eastAsia="Calibri"/>
                <w:noProof/>
                <w:color w:val="767171"/>
                <w:sz w:val="22"/>
                <w:szCs w:val="22"/>
              </w:rPr>
            </w:pPr>
            <w:r w:rsidRPr="006D0445">
              <w:rPr>
                <w:rFonts w:eastAsia="Calibri"/>
                <w:noProof/>
                <w:color w:val="767171"/>
                <w:sz w:val="22"/>
                <w:szCs w:val="22"/>
              </w:rPr>
              <w:t>Quejas</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3BAFE4D8" w14:textId="1FD44A7D"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EAFDFF" w14:textId="1237785C"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1EFD14" w14:textId="2B220FD1" w:rsidR="005516E1" w:rsidRPr="006D0445" w:rsidRDefault="005516E1" w:rsidP="005516E1">
            <w:pPr>
              <w:spacing w:after="0" w:line="240" w:lineRule="auto"/>
              <w:jc w:val="center"/>
              <w:rPr>
                <w:color w:val="767171"/>
              </w:rPr>
            </w:pPr>
            <w:r w:rsidRPr="006D0445">
              <w:rPr>
                <w:rFonts w:eastAsia="Times New Roman"/>
                <w:color w:val="767171"/>
                <w:sz w:val="22"/>
                <w:szCs w:val="22"/>
              </w:rPr>
              <w:t>3</w:t>
            </w: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DF88C9" w14:textId="172AC1C1" w:rsidR="005516E1" w:rsidRPr="006D0445" w:rsidRDefault="005516E1" w:rsidP="005516E1">
            <w:pPr>
              <w:spacing w:after="0" w:line="240" w:lineRule="auto"/>
              <w:jc w:val="center"/>
              <w:rPr>
                <w:color w:val="767171"/>
              </w:rPr>
            </w:pPr>
            <w:r w:rsidRPr="006D0445">
              <w:rPr>
                <w:rFonts w:eastAsia="Times New Roman"/>
                <w:color w:val="767171"/>
                <w:sz w:val="22"/>
                <w:szCs w:val="22"/>
              </w:rPr>
              <w:t>4</w:t>
            </w:r>
          </w:p>
        </w:tc>
        <w:tc>
          <w:tcPr>
            <w:tcW w:w="640" w:type="dxa"/>
            <w:tcBorders>
              <w:top w:val="nil"/>
              <w:left w:val="nil"/>
              <w:bottom w:val="single" w:sz="4" w:space="0" w:color="auto"/>
              <w:right w:val="single" w:sz="4" w:space="0" w:color="auto"/>
            </w:tcBorders>
            <w:shd w:val="clear" w:color="auto" w:fill="FFFFFF" w:themeFill="background1"/>
            <w:noWrap/>
            <w:vAlign w:val="center"/>
            <w:hideMark/>
          </w:tcPr>
          <w:p w14:paraId="588F5A6A" w14:textId="66A2F8C3"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8C8BB9" w14:textId="29AC09EA" w:rsidR="005516E1" w:rsidRPr="006D0445" w:rsidRDefault="005516E1" w:rsidP="005516E1">
            <w:pPr>
              <w:spacing w:after="0" w:line="240" w:lineRule="auto"/>
              <w:jc w:val="center"/>
              <w:rPr>
                <w:color w:val="767171"/>
              </w:rPr>
            </w:pPr>
            <w:r w:rsidRPr="006D0445">
              <w:rPr>
                <w:rFonts w:eastAsia="Times New Roman"/>
                <w:color w:val="767171"/>
                <w:sz w:val="22"/>
                <w:szCs w:val="22"/>
              </w:rPr>
              <w:t>2</w:t>
            </w:r>
          </w:p>
        </w:tc>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D8EB4F" w14:textId="099C2E6C" w:rsidR="005516E1" w:rsidRPr="006D0445" w:rsidRDefault="005516E1" w:rsidP="005516E1">
            <w:pPr>
              <w:spacing w:after="0" w:line="240" w:lineRule="auto"/>
              <w:jc w:val="center"/>
              <w:rPr>
                <w:color w:val="767171"/>
              </w:rPr>
            </w:pPr>
            <w:r w:rsidRPr="006D0445">
              <w:rPr>
                <w:rFonts w:eastAsia="Times New Roman"/>
                <w:color w:val="767171"/>
                <w:sz w:val="22"/>
                <w:szCs w:val="22"/>
              </w:rPr>
              <w:t>4</w:t>
            </w:r>
          </w:p>
        </w:tc>
        <w:tc>
          <w:tcPr>
            <w:tcW w:w="554" w:type="dxa"/>
            <w:tcBorders>
              <w:top w:val="nil"/>
              <w:left w:val="nil"/>
              <w:bottom w:val="single" w:sz="4" w:space="0" w:color="auto"/>
              <w:right w:val="single" w:sz="4" w:space="0" w:color="auto"/>
            </w:tcBorders>
            <w:shd w:val="clear" w:color="auto" w:fill="FFFFFF" w:themeFill="background1"/>
            <w:noWrap/>
            <w:vAlign w:val="center"/>
            <w:hideMark/>
          </w:tcPr>
          <w:p w14:paraId="5CC80AE4" w14:textId="6A2FCB22" w:rsidR="005516E1" w:rsidRPr="006D0445" w:rsidRDefault="005516E1" w:rsidP="005516E1">
            <w:pPr>
              <w:spacing w:after="0" w:line="240" w:lineRule="auto"/>
              <w:jc w:val="center"/>
              <w:rPr>
                <w:color w:val="767171"/>
              </w:rPr>
            </w:pPr>
            <w:r w:rsidRPr="006D0445">
              <w:rPr>
                <w:rFonts w:eastAsia="Times New Roman"/>
                <w:color w:val="767171"/>
                <w:sz w:val="22"/>
                <w:szCs w:val="22"/>
              </w:rPr>
              <w:t>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14:paraId="0156BAD4" w14:textId="389CAE75"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47" w:type="dxa"/>
            <w:tcBorders>
              <w:top w:val="nil"/>
              <w:left w:val="nil"/>
              <w:bottom w:val="single" w:sz="4" w:space="0" w:color="auto"/>
              <w:right w:val="single" w:sz="4" w:space="0" w:color="auto"/>
            </w:tcBorders>
            <w:shd w:val="clear" w:color="auto" w:fill="FFFFFF" w:themeFill="background1"/>
            <w:noWrap/>
            <w:vAlign w:val="center"/>
            <w:hideMark/>
          </w:tcPr>
          <w:p w14:paraId="7749FD00" w14:textId="654D6620"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614" w:type="dxa"/>
            <w:tcBorders>
              <w:top w:val="nil"/>
              <w:left w:val="nil"/>
              <w:bottom w:val="single" w:sz="4" w:space="0" w:color="auto"/>
              <w:right w:val="single" w:sz="4" w:space="0" w:color="auto"/>
            </w:tcBorders>
            <w:shd w:val="clear" w:color="auto" w:fill="FFFFFF" w:themeFill="background1"/>
            <w:noWrap/>
            <w:vAlign w:val="center"/>
            <w:hideMark/>
          </w:tcPr>
          <w:p w14:paraId="6C7BECB9" w14:textId="36122A41" w:rsidR="005516E1" w:rsidRPr="006D0445" w:rsidRDefault="003E7B03" w:rsidP="005516E1">
            <w:pPr>
              <w:spacing w:after="0" w:line="240" w:lineRule="auto"/>
              <w:jc w:val="center"/>
              <w:rPr>
                <w:color w:val="767171"/>
              </w:rPr>
            </w:pPr>
            <w:r>
              <w:rPr>
                <w:rFonts w:eastAsia="Times New Roman"/>
                <w:color w:val="767171"/>
                <w:sz w:val="22"/>
                <w:szCs w:val="22"/>
              </w:rPr>
              <w:t>3</w:t>
            </w:r>
          </w:p>
        </w:tc>
        <w:tc>
          <w:tcPr>
            <w:tcW w:w="547" w:type="dxa"/>
            <w:tcBorders>
              <w:top w:val="nil"/>
              <w:left w:val="nil"/>
              <w:bottom w:val="single" w:sz="4" w:space="0" w:color="auto"/>
              <w:right w:val="single" w:sz="4" w:space="0" w:color="auto"/>
            </w:tcBorders>
            <w:shd w:val="clear" w:color="auto" w:fill="FFFFFF" w:themeFill="background1"/>
            <w:vAlign w:val="center"/>
          </w:tcPr>
          <w:p w14:paraId="4B4F8C00" w14:textId="5FCFD4E5" w:rsidR="005516E1" w:rsidRPr="006D0445" w:rsidRDefault="003E7B03" w:rsidP="005516E1">
            <w:pPr>
              <w:spacing w:after="0" w:line="240" w:lineRule="auto"/>
              <w:jc w:val="center"/>
              <w:rPr>
                <w:color w:val="767171"/>
              </w:rPr>
            </w:pPr>
            <w:r>
              <w:rPr>
                <w:rFonts w:eastAsia="Times New Roman"/>
                <w:color w:val="767171"/>
                <w:sz w:val="22"/>
                <w:szCs w:val="22"/>
              </w:rPr>
              <w:t>1</w:t>
            </w:r>
          </w:p>
        </w:tc>
      </w:tr>
      <w:tr w:rsidR="006D0445" w:rsidRPr="006D0445" w14:paraId="48B2A88E" w14:textId="45BAB983" w:rsidTr="00CC0D74">
        <w:trPr>
          <w:trHeight w:val="450"/>
        </w:trPr>
        <w:tc>
          <w:tcPr>
            <w:tcW w:w="1555" w:type="dxa"/>
            <w:tcBorders>
              <w:top w:val="nil"/>
              <w:left w:val="single" w:sz="4" w:space="0" w:color="auto"/>
              <w:bottom w:val="single" w:sz="4" w:space="0" w:color="auto"/>
              <w:right w:val="single" w:sz="4" w:space="0" w:color="auto"/>
            </w:tcBorders>
            <w:shd w:val="clear" w:color="auto" w:fill="D9D9D9"/>
            <w:noWrap/>
            <w:vAlign w:val="center"/>
            <w:hideMark/>
          </w:tcPr>
          <w:p w14:paraId="40BE27B9" w14:textId="77777777" w:rsidR="005516E1" w:rsidRPr="006D0445" w:rsidRDefault="005516E1" w:rsidP="005516E1">
            <w:pPr>
              <w:spacing w:after="0" w:line="240" w:lineRule="auto"/>
              <w:rPr>
                <w:rFonts w:eastAsia="Calibri"/>
                <w:noProof/>
                <w:color w:val="767171"/>
                <w:sz w:val="22"/>
                <w:szCs w:val="22"/>
              </w:rPr>
            </w:pPr>
            <w:r w:rsidRPr="006D0445">
              <w:rPr>
                <w:rFonts w:eastAsia="Calibri"/>
                <w:noProof/>
                <w:color w:val="767171"/>
                <w:sz w:val="22"/>
                <w:szCs w:val="22"/>
              </w:rPr>
              <w:t>Reclamaciones</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06B62D" w14:textId="3777CFC7"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87D19C" w14:textId="42749C36"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604" w:type="dxa"/>
            <w:tcBorders>
              <w:top w:val="nil"/>
              <w:left w:val="nil"/>
              <w:bottom w:val="single" w:sz="4" w:space="0" w:color="auto"/>
              <w:right w:val="single" w:sz="4" w:space="0" w:color="auto"/>
            </w:tcBorders>
            <w:shd w:val="clear" w:color="auto" w:fill="FFFFFF" w:themeFill="background1"/>
            <w:noWrap/>
            <w:vAlign w:val="center"/>
            <w:hideMark/>
          </w:tcPr>
          <w:p w14:paraId="4B8131C7" w14:textId="365CE1A0"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74" w:type="dxa"/>
            <w:tcBorders>
              <w:top w:val="nil"/>
              <w:left w:val="nil"/>
              <w:bottom w:val="single" w:sz="4" w:space="0" w:color="auto"/>
              <w:right w:val="single" w:sz="4" w:space="0" w:color="auto"/>
            </w:tcBorders>
            <w:shd w:val="clear" w:color="auto" w:fill="FFFFFF" w:themeFill="background1"/>
            <w:noWrap/>
            <w:vAlign w:val="center"/>
            <w:hideMark/>
          </w:tcPr>
          <w:p w14:paraId="365F6C8C" w14:textId="6155E271"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640" w:type="dxa"/>
            <w:tcBorders>
              <w:top w:val="nil"/>
              <w:left w:val="nil"/>
              <w:bottom w:val="single" w:sz="4" w:space="0" w:color="auto"/>
              <w:right w:val="single" w:sz="4" w:space="0" w:color="auto"/>
            </w:tcBorders>
            <w:shd w:val="clear" w:color="auto" w:fill="FFFFFF" w:themeFill="background1"/>
            <w:noWrap/>
            <w:vAlign w:val="center"/>
            <w:hideMark/>
          </w:tcPr>
          <w:p w14:paraId="05D3F4C1" w14:textId="56E1697E"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144F0" w14:textId="2768D09E" w:rsidR="005516E1" w:rsidRPr="006D0445" w:rsidRDefault="005516E1" w:rsidP="005516E1">
            <w:pPr>
              <w:spacing w:after="0" w:line="240" w:lineRule="auto"/>
              <w:jc w:val="center"/>
              <w:rPr>
                <w:color w:val="767171"/>
              </w:rPr>
            </w:pPr>
            <w:r w:rsidRPr="006D0445">
              <w:rPr>
                <w:rFonts w:eastAsia="Times New Roman"/>
                <w:color w:val="767171"/>
                <w:sz w:val="22"/>
                <w:szCs w:val="22"/>
              </w:rPr>
              <w:t>2</w:t>
            </w:r>
          </w:p>
        </w:tc>
        <w:tc>
          <w:tcPr>
            <w:tcW w:w="471" w:type="dxa"/>
            <w:tcBorders>
              <w:top w:val="nil"/>
              <w:left w:val="nil"/>
              <w:bottom w:val="single" w:sz="4" w:space="0" w:color="auto"/>
              <w:right w:val="single" w:sz="4" w:space="0" w:color="auto"/>
            </w:tcBorders>
            <w:shd w:val="clear" w:color="auto" w:fill="FFFFFF" w:themeFill="background1"/>
            <w:noWrap/>
            <w:vAlign w:val="center"/>
            <w:hideMark/>
          </w:tcPr>
          <w:p w14:paraId="419E8733" w14:textId="64746586"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B58B76" w14:textId="0367F718"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B42933" w14:textId="12DF13DB"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9D62C4" w14:textId="6C965A86" w:rsidR="005516E1" w:rsidRPr="006D0445" w:rsidRDefault="005516E1" w:rsidP="005516E1">
            <w:pPr>
              <w:spacing w:after="0" w:line="240" w:lineRule="auto"/>
              <w:jc w:val="center"/>
              <w:rPr>
                <w:color w:val="767171"/>
              </w:rPr>
            </w:pPr>
            <w:r w:rsidRPr="006D0445">
              <w:rPr>
                <w:rFonts w:eastAsia="Times New Roman"/>
                <w:color w:val="767171"/>
                <w:sz w:val="22"/>
                <w:szCs w:val="22"/>
              </w:rPr>
              <w:t>2</w:t>
            </w:r>
          </w:p>
        </w:tc>
        <w:tc>
          <w:tcPr>
            <w:tcW w:w="614" w:type="dxa"/>
            <w:tcBorders>
              <w:top w:val="nil"/>
              <w:left w:val="nil"/>
              <w:bottom w:val="single" w:sz="4" w:space="0" w:color="auto"/>
              <w:right w:val="single" w:sz="4" w:space="0" w:color="auto"/>
            </w:tcBorders>
            <w:shd w:val="clear" w:color="auto" w:fill="FFFFFF" w:themeFill="background1"/>
            <w:noWrap/>
            <w:vAlign w:val="center"/>
            <w:hideMark/>
          </w:tcPr>
          <w:p w14:paraId="06E2DFDC" w14:textId="45CC7351"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547" w:type="dxa"/>
            <w:tcBorders>
              <w:top w:val="nil"/>
              <w:left w:val="nil"/>
              <w:bottom w:val="single" w:sz="4" w:space="0" w:color="auto"/>
              <w:right w:val="single" w:sz="4" w:space="0" w:color="auto"/>
            </w:tcBorders>
            <w:shd w:val="clear" w:color="auto" w:fill="FFFFFF" w:themeFill="background1"/>
            <w:vAlign w:val="center"/>
          </w:tcPr>
          <w:p w14:paraId="276BA471" w14:textId="4F70C457"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r>
      <w:tr w:rsidR="006D0445" w:rsidRPr="006D0445" w14:paraId="7BA501E1" w14:textId="67905253" w:rsidTr="00CC0D74">
        <w:trPr>
          <w:trHeight w:val="426"/>
        </w:trPr>
        <w:tc>
          <w:tcPr>
            <w:tcW w:w="1555" w:type="dxa"/>
            <w:tcBorders>
              <w:top w:val="nil"/>
              <w:left w:val="single" w:sz="4" w:space="0" w:color="auto"/>
              <w:bottom w:val="single" w:sz="4" w:space="0" w:color="auto"/>
              <w:right w:val="single" w:sz="4" w:space="0" w:color="auto"/>
            </w:tcBorders>
            <w:shd w:val="clear" w:color="auto" w:fill="D9D9D9"/>
            <w:noWrap/>
            <w:vAlign w:val="center"/>
            <w:hideMark/>
          </w:tcPr>
          <w:p w14:paraId="08F91AD1" w14:textId="77777777" w:rsidR="005516E1" w:rsidRPr="006D0445" w:rsidRDefault="005516E1" w:rsidP="005516E1">
            <w:pPr>
              <w:spacing w:after="0" w:line="240" w:lineRule="auto"/>
              <w:rPr>
                <w:rFonts w:eastAsia="Calibri"/>
                <w:noProof/>
                <w:color w:val="767171"/>
                <w:sz w:val="22"/>
                <w:szCs w:val="22"/>
              </w:rPr>
            </w:pPr>
            <w:r w:rsidRPr="006D0445">
              <w:rPr>
                <w:rFonts w:eastAsia="Calibri"/>
                <w:noProof/>
                <w:color w:val="767171"/>
                <w:sz w:val="22"/>
                <w:szCs w:val="22"/>
              </w:rPr>
              <w:t>Sugerencias</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86857D" w14:textId="0D337952"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14:paraId="5EBBE3C6" w14:textId="5085C933" w:rsidR="005516E1" w:rsidRPr="006D0445" w:rsidRDefault="005516E1" w:rsidP="005516E1">
            <w:pPr>
              <w:spacing w:after="0" w:line="240" w:lineRule="auto"/>
              <w:jc w:val="center"/>
              <w:rPr>
                <w:color w:val="767171"/>
              </w:rPr>
            </w:pPr>
            <w:r w:rsidRPr="006D0445">
              <w:rPr>
                <w:rFonts w:eastAsia="Times New Roman"/>
                <w:color w:val="767171"/>
                <w:sz w:val="22"/>
                <w:szCs w:val="22"/>
              </w:rPr>
              <w:t>1</w:t>
            </w: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1E1B30" w14:textId="705D4E14"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74" w:type="dxa"/>
            <w:tcBorders>
              <w:top w:val="nil"/>
              <w:left w:val="nil"/>
              <w:bottom w:val="single" w:sz="4" w:space="0" w:color="auto"/>
              <w:right w:val="single" w:sz="4" w:space="0" w:color="auto"/>
            </w:tcBorders>
            <w:shd w:val="clear" w:color="auto" w:fill="FFFFFF" w:themeFill="background1"/>
            <w:noWrap/>
            <w:vAlign w:val="center"/>
            <w:hideMark/>
          </w:tcPr>
          <w:p w14:paraId="4305EEBB" w14:textId="27474428"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A46428" w14:textId="6B7CBD95"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345C6" w14:textId="2FB6331E"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B87E57" w14:textId="07D6E2E2"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D3BF66" w14:textId="4E6766F9"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628631" w14:textId="6E7D881B"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C2F359" w14:textId="5C3DFD03"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FE663D" w14:textId="5B5761EB"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31ABD" w14:textId="42544CC9" w:rsidR="005516E1" w:rsidRPr="006D0445" w:rsidRDefault="005516E1" w:rsidP="005516E1">
            <w:pPr>
              <w:spacing w:after="0" w:line="240" w:lineRule="auto"/>
              <w:jc w:val="center"/>
              <w:rPr>
                <w:color w:val="767171"/>
              </w:rPr>
            </w:pPr>
            <w:r w:rsidRPr="006D0445">
              <w:rPr>
                <w:rFonts w:eastAsia="Times New Roman"/>
                <w:color w:val="767171"/>
                <w:sz w:val="22"/>
                <w:szCs w:val="22"/>
              </w:rPr>
              <w:t>0</w:t>
            </w:r>
          </w:p>
        </w:tc>
      </w:tr>
      <w:tr w:rsidR="006D0445" w:rsidRPr="006D0445" w14:paraId="08CBE9D6" w14:textId="40157D4E" w:rsidTr="00CC0D74">
        <w:trPr>
          <w:trHeight w:val="462"/>
        </w:trPr>
        <w:tc>
          <w:tcPr>
            <w:tcW w:w="1555" w:type="dxa"/>
            <w:tcBorders>
              <w:top w:val="nil"/>
              <w:left w:val="single" w:sz="4" w:space="0" w:color="auto"/>
              <w:bottom w:val="single" w:sz="4" w:space="0" w:color="auto"/>
              <w:right w:val="single" w:sz="4" w:space="0" w:color="auto"/>
            </w:tcBorders>
            <w:shd w:val="clear" w:color="auto" w:fill="D9D9D9"/>
            <w:noWrap/>
            <w:vAlign w:val="center"/>
            <w:hideMark/>
          </w:tcPr>
          <w:p w14:paraId="04461F23" w14:textId="77777777" w:rsidR="005516E1" w:rsidRPr="006D0445" w:rsidRDefault="005516E1" w:rsidP="005516E1">
            <w:pPr>
              <w:spacing w:after="0" w:line="240" w:lineRule="auto"/>
              <w:rPr>
                <w:rFonts w:eastAsia="Calibri"/>
                <w:noProof/>
                <w:color w:val="767171"/>
                <w:sz w:val="22"/>
                <w:szCs w:val="22"/>
              </w:rPr>
            </w:pPr>
            <w:r w:rsidRPr="006D0445">
              <w:rPr>
                <w:rFonts w:eastAsia="Calibri"/>
                <w:noProof/>
                <w:color w:val="767171"/>
                <w:sz w:val="22"/>
                <w:szCs w:val="22"/>
              </w:rPr>
              <w:t xml:space="preserve">MENSUAL </w:t>
            </w:r>
          </w:p>
        </w:tc>
        <w:tc>
          <w:tcPr>
            <w:tcW w:w="767" w:type="dxa"/>
            <w:tcBorders>
              <w:top w:val="nil"/>
              <w:left w:val="nil"/>
              <w:bottom w:val="single" w:sz="4" w:space="0" w:color="auto"/>
              <w:right w:val="single" w:sz="4" w:space="0" w:color="auto"/>
            </w:tcBorders>
            <w:shd w:val="clear" w:color="auto" w:fill="FFFFFF" w:themeFill="background1"/>
            <w:noWrap/>
            <w:vAlign w:val="center"/>
            <w:hideMark/>
          </w:tcPr>
          <w:p w14:paraId="112521B6" w14:textId="1BB24496" w:rsidR="005516E1" w:rsidRPr="006D0445" w:rsidRDefault="005516E1" w:rsidP="005516E1">
            <w:pPr>
              <w:spacing w:after="0" w:line="240" w:lineRule="auto"/>
              <w:jc w:val="center"/>
              <w:rPr>
                <w:color w:val="767171"/>
              </w:rPr>
            </w:pPr>
            <w:r w:rsidRPr="006D0445">
              <w:rPr>
                <w:rFonts w:eastAsia="Times New Roman"/>
                <w:b/>
                <w:bCs/>
                <w:color w:val="767171"/>
                <w:sz w:val="22"/>
                <w:szCs w:val="22"/>
              </w:rPr>
              <w:t>0</w:t>
            </w:r>
          </w:p>
        </w:tc>
        <w:tc>
          <w:tcPr>
            <w:tcW w:w="560" w:type="dxa"/>
            <w:tcBorders>
              <w:top w:val="nil"/>
              <w:left w:val="nil"/>
              <w:bottom w:val="single" w:sz="4" w:space="0" w:color="auto"/>
              <w:right w:val="single" w:sz="4" w:space="0" w:color="auto"/>
            </w:tcBorders>
            <w:shd w:val="clear" w:color="auto" w:fill="FFFFFF" w:themeFill="background1"/>
            <w:noWrap/>
            <w:vAlign w:val="center"/>
            <w:hideMark/>
          </w:tcPr>
          <w:p w14:paraId="588B0C19" w14:textId="4A8A2DF5" w:rsidR="005516E1" w:rsidRPr="006D0445" w:rsidRDefault="005516E1" w:rsidP="005516E1">
            <w:pPr>
              <w:spacing w:after="0" w:line="240" w:lineRule="auto"/>
              <w:jc w:val="center"/>
              <w:rPr>
                <w:color w:val="767171"/>
              </w:rPr>
            </w:pPr>
            <w:r w:rsidRPr="006D0445">
              <w:rPr>
                <w:rFonts w:eastAsia="Times New Roman"/>
                <w:b/>
                <w:bCs/>
                <w:color w:val="767171"/>
                <w:sz w:val="22"/>
                <w:szCs w:val="22"/>
              </w:rPr>
              <w:t>2</w:t>
            </w:r>
          </w:p>
        </w:tc>
        <w:tc>
          <w:tcPr>
            <w:tcW w:w="604" w:type="dxa"/>
            <w:tcBorders>
              <w:top w:val="nil"/>
              <w:left w:val="nil"/>
              <w:bottom w:val="single" w:sz="4" w:space="0" w:color="auto"/>
              <w:right w:val="single" w:sz="4" w:space="0" w:color="auto"/>
            </w:tcBorders>
            <w:shd w:val="clear" w:color="auto" w:fill="FFFFFF" w:themeFill="background1"/>
            <w:noWrap/>
            <w:vAlign w:val="center"/>
            <w:hideMark/>
          </w:tcPr>
          <w:p w14:paraId="695BF1C6" w14:textId="76C0188E" w:rsidR="005516E1" w:rsidRPr="006D0445" w:rsidRDefault="005516E1" w:rsidP="005516E1">
            <w:pPr>
              <w:spacing w:after="0" w:line="240" w:lineRule="auto"/>
              <w:jc w:val="center"/>
              <w:rPr>
                <w:color w:val="767171"/>
              </w:rPr>
            </w:pPr>
            <w:r w:rsidRPr="006D0445">
              <w:rPr>
                <w:rFonts w:eastAsia="Times New Roman"/>
                <w:b/>
                <w:bCs/>
                <w:color w:val="767171"/>
                <w:sz w:val="22"/>
                <w:szCs w:val="22"/>
              </w:rPr>
              <w:t>3</w:t>
            </w:r>
          </w:p>
        </w:tc>
        <w:tc>
          <w:tcPr>
            <w:tcW w:w="574" w:type="dxa"/>
            <w:tcBorders>
              <w:top w:val="nil"/>
              <w:left w:val="nil"/>
              <w:bottom w:val="single" w:sz="4" w:space="0" w:color="auto"/>
              <w:right w:val="single" w:sz="4" w:space="0" w:color="auto"/>
            </w:tcBorders>
            <w:shd w:val="clear" w:color="auto" w:fill="FFFFFF" w:themeFill="background1"/>
            <w:noWrap/>
            <w:vAlign w:val="center"/>
            <w:hideMark/>
          </w:tcPr>
          <w:p w14:paraId="075718D7" w14:textId="60D3F759" w:rsidR="005516E1" w:rsidRPr="006D0445" w:rsidRDefault="005516E1" w:rsidP="005516E1">
            <w:pPr>
              <w:spacing w:after="0" w:line="240" w:lineRule="auto"/>
              <w:jc w:val="center"/>
              <w:rPr>
                <w:color w:val="767171"/>
              </w:rPr>
            </w:pPr>
            <w:r w:rsidRPr="006D0445">
              <w:rPr>
                <w:rFonts w:eastAsia="Times New Roman"/>
                <w:b/>
                <w:bCs/>
                <w:color w:val="767171"/>
                <w:sz w:val="22"/>
                <w:szCs w:val="22"/>
              </w:rPr>
              <w:t>4</w:t>
            </w:r>
          </w:p>
        </w:tc>
        <w:tc>
          <w:tcPr>
            <w:tcW w:w="640" w:type="dxa"/>
            <w:tcBorders>
              <w:top w:val="nil"/>
              <w:left w:val="nil"/>
              <w:bottom w:val="single" w:sz="4" w:space="0" w:color="auto"/>
              <w:right w:val="single" w:sz="4" w:space="0" w:color="auto"/>
            </w:tcBorders>
            <w:shd w:val="clear" w:color="auto" w:fill="FFFFFF" w:themeFill="background1"/>
            <w:noWrap/>
            <w:vAlign w:val="center"/>
            <w:hideMark/>
          </w:tcPr>
          <w:p w14:paraId="3360B6C4" w14:textId="266FE6C6" w:rsidR="005516E1" w:rsidRPr="006D0445" w:rsidRDefault="005516E1" w:rsidP="005516E1">
            <w:pPr>
              <w:spacing w:after="0" w:line="240" w:lineRule="auto"/>
              <w:jc w:val="center"/>
              <w:rPr>
                <w:color w:val="767171"/>
              </w:rPr>
            </w:pPr>
            <w:r w:rsidRPr="006D0445">
              <w:rPr>
                <w:rFonts w:eastAsia="Times New Roman"/>
                <w:b/>
                <w:bCs/>
                <w:color w:val="767171"/>
                <w:sz w:val="22"/>
                <w:szCs w:val="22"/>
              </w:rPr>
              <w:t>2</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503BB2" w14:textId="2D1E4896" w:rsidR="005516E1" w:rsidRPr="006D0445" w:rsidRDefault="005516E1" w:rsidP="005516E1">
            <w:pPr>
              <w:spacing w:after="0" w:line="240" w:lineRule="auto"/>
              <w:jc w:val="center"/>
              <w:rPr>
                <w:color w:val="767171"/>
              </w:rPr>
            </w:pPr>
            <w:r w:rsidRPr="006D0445">
              <w:rPr>
                <w:rFonts w:eastAsia="Times New Roman"/>
                <w:b/>
                <w:bCs/>
                <w:color w:val="767171"/>
                <w:sz w:val="22"/>
                <w:szCs w:val="22"/>
              </w:rPr>
              <w:t>4</w:t>
            </w:r>
          </w:p>
        </w:tc>
        <w:tc>
          <w:tcPr>
            <w:tcW w:w="471" w:type="dxa"/>
            <w:tcBorders>
              <w:top w:val="nil"/>
              <w:left w:val="nil"/>
              <w:bottom w:val="single" w:sz="4" w:space="0" w:color="auto"/>
              <w:right w:val="single" w:sz="4" w:space="0" w:color="auto"/>
            </w:tcBorders>
            <w:shd w:val="clear" w:color="auto" w:fill="FFFFFF" w:themeFill="background1"/>
            <w:noWrap/>
            <w:vAlign w:val="center"/>
            <w:hideMark/>
          </w:tcPr>
          <w:p w14:paraId="410EE1DF" w14:textId="32EE763A" w:rsidR="005516E1" w:rsidRPr="006D0445" w:rsidRDefault="005516E1" w:rsidP="005516E1">
            <w:pPr>
              <w:spacing w:after="0" w:line="240" w:lineRule="auto"/>
              <w:jc w:val="center"/>
              <w:rPr>
                <w:color w:val="767171"/>
              </w:rPr>
            </w:pPr>
            <w:r w:rsidRPr="006D0445">
              <w:rPr>
                <w:rFonts w:eastAsia="Times New Roman"/>
                <w:b/>
                <w:bCs/>
                <w:color w:val="767171"/>
                <w:sz w:val="22"/>
                <w:szCs w:val="22"/>
              </w:rPr>
              <w:t>5</w:t>
            </w:r>
          </w:p>
        </w:tc>
        <w:tc>
          <w:tcPr>
            <w:tcW w:w="554" w:type="dxa"/>
            <w:tcBorders>
              <w:top w:val="nil"/>
              <w:left w:val="nil"/>
              <w:bottom w:val="single" w:sz="4" w:space="0" w:color="auto"/>
              <w:right w:val="single" w:sz="4" w:space="0" w:color="auto"/>
            </w:tcBorders>
            <w:shd w:val="clear" w:color="auto" w:fill="FFFFFF" w:themeFill="background1"/>
            <w:noWrap/>
            <w:vAlign w:val="center"/>
            <w:hideMark/>
          </w:tcPr>
          <w:p w14:paraId="72FC096A" w14:textId="38B505DE" w:rsidR="005516E1" w:rsidRPr="006D0445" w:rsidRDefault="005516E1" w:rsidP="005516E1">
            <w:pPr>
              <w:spacing w:after="0" w:line="240" w:lineRule="auto"/>
              <w:jc w:val="center"/>
              <w:rPr>
                <w:color w:val="767171"/>
              </w:rPr>
            </w:pPr>
            <w:r w:rsidRPr="006D0445">
              <w:rPr>
                <w:rFonts w:eastAsia="Times New Roman"/>
                <w:b/>
                <w:bCs/>
                <w:color w:val="767171"/>
                <w:sz w:val="22"/>
                <w:szCs w:val="22"/>
              </w:rPr>
              <w:t>3</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14:paraId="4A022CCE" w14:textId="3ABE992F" w:rsidR="005516E1" w:rsidRPr="006D0445" w:rsidRDefault="005516E1" w:rsidP="005516E1">
            <w:pPr>
              <w:spacing w:after="0" w:line="240" w:lineRule="auto"/>
              <w:jc w:val="center"/>
              <w:rPr>
                <w:color w:val="767171"/>
              </w:rPr>
            </w:pPr>
            <w:r w:rsidRPr="006D0445">
              <w:rPr>
                <w:rFonts w:eastAsia="Times New Roman"/>
                <w:b/>
                <w:bCs/>
                <w:color w:val="767171"/>
                <w:sz w:val="22"/>
                <w:szCs w:val="22"/>
              </w:rPr>
              <w:t>1</w:t>
            </w:r>
          </w:p>
        </w:tc>
        <w:tc>
          <w:tcPr>
            <w:tcW w:w="547" w:type="dxa"/>
            <w:tcBorders>
              <w:top w:val="nil"/>
              <w:left w:val="nil"/>
              <w:bottom w:val="single" w:sz="4" w:space="0" w:color="auto"/>
              <w:right w:val="single" w:sz="4" w:space="0" w:color="auto"/>
            </w:tcBorders>
            <w:shd w:val="clear" w:color="auto" w:fill="FFFFFF" w:themeFill="background1"/>
            <w:noWrap/>
            <w:vAlign w:val="center"/>
            <w:hideMark/>
          </w:tcPr>
          <w:p w14:paraId="507DBA12" w14:textId="6022571B" w:rsidR="005516E1" w:rsidRPr="006D0445" w:rsidRDefault="005516E1" w:rsidP="005516E1">
            <w:pPr>
              <w:spacing w:after="0" w:line="240" w:lineRule="auto"/>
              <w:jc w:val="center"/>
              <w:rPr>
                <w:color w:val="767171"/>
              </w:rPr>
            </w:pPr>
            <w:r w:rsidRPr="006D0445">
              <w:rPr>
                <w:rFonts w:eastAsia="Times New Roman"/>
                <w:b/>
                <w:bCs/>
                <w:color w:val="767171"/>
                <w:sz w:val="22"/>
                <w:szCs w:val="22"/>
              </w:rPr>
              <w:t>2</w:t>
            </w:r>
          </w:p>
        </w:tc>
        <w:tc>
          <w:tcPr>
            <w:tcW w:w="614" w:type="dxa"/>
            <w:tcBorders>
              <w:top w:val="nil"/>
              <w:left w:val="nil"/>
              <w:bottom w:val="single" w:sz="4" w:space="0" w:color="auto"/>
              <w:right w:val="single" w:sz="4" w:space="0" w:color="auto"/>
            </w:tcBorders>
            <w:shd w:val="clear" w:color="auto" w:fill="FFFFFF" w:themeFill="background1"/>
            <w:noWrap/>
            <w:vAlign w:val="center"/>
            <w:hideMark/>
          </w:tcPr>
          <w:p w14:paraId="02581936" w14:textId="7E72CF53" w:rsidR="005516E1" w:rsidRPr="006D0445" w:rsidRDefault="003E7B03" w:rsidP="005516E1">
            <w:pPr>
              <w:spacing w:after="0" w:line="240" w:lineRule="auto"/>
              <w:jc w:val="center"/>
              <w:rPr>
                <w:color w:val="767171"/>
              </w:rPr>
            </w:pPr>
            <w:r>
              <w:rPr>
                <w:rFonts w:eastAsia="Times New Roman"/>
                <w:b/>
                <w:bCs/>
                <w:color w:val="767171"/>
                <w:sz w:val="22"/>
                <w:szCs w:val="22"/>
              </w:rPr>
              <w:t>4</w:t>
            </w:r>
          </w:p>
        </w:tc>
        <w:tc>
          <w:tcPr>
            <w:tcW w:w="547" w:type="dxa"/>
            <w:tcBorders>
              <w:top w:val="nil"/>
              <w:left w:val="nil"/>
              <w:bottom w:val="single" w:sz="4" w:space="0" w:color="auto"/>
              <w:right w:val="single" w:sz="4" w:space="0" w:color="auto"/>
            </w:tcBorders>
            <w:shd w:val="clear" w:color="auto" w:fill="FFFFFF" w:themeFill="background1"/>
            <w:vAlign w:val="center"/>
          </w:tcPr>
          <w:p w14:paraId="1374FF77" w14:textId="5466137F" w:rsidR="005516E1" w:rsidRPr="006D0445" w:rsidRDefault="003E7B03" w:rsidP="005516E1">
            <w:pPr>
              <w:spacing w:after="0" w:line="240" w:lineRule="auto"/>
              <w:jc w:val="center"/>
              <w:rPr>
                <w:color w:val="767171"/>
              </w:rPr>
            </w:pPr>
            <w:r>
              <w:rPr>
                <w:rFonts w:eastAsia="Times New Roman"/>
                <w:b/>
                <w:bCs/>
                <w:color w:val="767171"/>
                <w:sz w:val="22"/>
                <w:szCs w:val="22"/>
              </w:rPr>
              <w:t>1</w:t>
            </w:r>
          </w:p>
        </w:tc>
      </w:tr>
      <w:tr w:rsidR="006D0445" w:rsidRPr="006D0445" w14:paraId="546BE900" w14:textId="0A7941D0" w:rsidTr="00CC0D74">
        <w:trPr>
          <w:trHeight w:val="454"/>
        </w:trPr>
        <w:tc>
          <w:tcPr>
            <w:tcW w:w="1555" w:type="dxa"/>
            <w:tcBorders>
              <w:top w:val="nil"/>
              <w:left w:val="single" w:sz="4" w:space="0" w:color="auto"/>
              <w:bottom w:val="single" w:sz="4" w:space="0" w:color="auto"/>
              <w:right w:val="single" w:sz="4" w:space="0" w:color="auto"/>
            </w:tcBorders>
            <w:shd w:val="clear" w:color="auto" w:fill="D9D9D9"/>
            <w:noWrap/>
            <w:vAlign w:val="center"/>
            <w:hideMark/>
          </w:tcPr>
          <w:p w14:paraId="11D67995" w14:textId="77777777" w:rsidR="005516E1" w:rsidRPr="006D0445" w:rsidRDefault="005516E1" w:rsidP="009C423D">
            <w:pPr>
              <w:spacing w:after="0" w:line="240" w:lineRule="auto"/>
              <w:rPr>
                <w:rFonts w:eastAsia="Calibri"/>
                <w:noProof/>
                <w:color w:val="767171"/>
                <w:sz w:val="22"/>
                <w:szCs w:val="22"/>
              </w:rPr>
            </w:pPr>
            <w:r w:rsidRPr="006D0445">
              <w:rPr>
                <w:rFonts w:eastAsia="Calibri"/>
                <w:noProof/>
                <w:color w:val="767171"/>
                <w:sz w:val="22"/>
                <w:szCs w:val="22"/>
              </w:rPr>
              <w:t>TRIMESTRAL</w:t>
            </w:r>
          </w:p>
        </w:tc>
        <w:tc>
          <w:tcPr>
            <w:tcW w:w="1931"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C03147F" w14:textId="46238209" w:rsidR="005516E1" w:rsidRPr="006D0445" w:rsidRDefault="005516E1" w:rsidP="009C423D">
            <w:pPr>
              <w:spacing w:after="0" w:line="240" w:lineRule="auto"/>
              <w:jc w:val="center"/>
              <w:rPr>
                <w:color w:val="767171"/>
              </w:rPr>
            </w:pPr>
            <w:r w:rsidRPr="006D0445">
              <w:rPr>
                <w:color w:val="767171"/>
              </w:rPr>
              <w:t>5</w:t>
            </w:r>
          </w:p>
        </w:tc>
        <w:tc>
          <w:tcPr>
            <w:tcW w:w="1773"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D3632C0" w14:textId="64B556AA" w:rsidR="005516E1" w:rsidRPr="006D0445" w:rsidRDefault="005516E1" w:rsidP="009C423D">
            <w:pPr>
              <w:spacing w:after="0" w:line="240" w:lineRule="auto"/>
              <w:jc w:val="center"/>
              <w:rPr>
                <w:color w:val="767171"/>
              </w:rPr>
            </w:pPr>
            <w:r w:rsidRPr="006D0445">
              <w:rPr>
                <w:color w:val="767171"/>
              </w:rPr>
              <w:t>10</w:t>
            </w:r>
          </w:p>
        </w:tc>
        <w:tc>
          <w:tcPr>
            <w:tcW w:w="1592"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3345D37B" w14:textId="4E2237F1" w:rsidR="005516E1" w:rsidRPr="006D0445" w:rsidRDefault="005516E1" w:rsidP="009C423D">
            <w:pPr>
              <w:spacing w:after="0" w:line="240" w:lineRule="auto"/>
              <w:jc w:val="center"/>
              <w:rPr>
                <w:color w:val="767171"/>
              </w:rPr>
            </w:pPr>
            <w:r w:rsidRPr="006D0445">
              <w:rPr>
                <w:color w:val="767171"/>
              </w:rPr>
              <w:t>9</w:t>
            </w:r>
          </w:p>
        </w:tc>
        <w:tc>
          <w:tcPr>
            <w:tcW w:w="1708"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8DE8A46" w14:textId="7F52B0B3" w:rsidR="005516E1" w:rsidRPr="006D0445" w:rsidRDefault="003E7B03" w:rsidP="009C423D">
            <w:pPr>
              <w:spacing w:after="0" w:line="240" w:lineRule="auto"/>
              <w:jc w:val="center"/>
              <w:rPr>
                <w:color w:val="767171"/>
              </w:rPr>
            </w:pPr>
            <w:r>
              <w:rPr>
                <w:color w:val="767171"/>
              </w:rPr>
              <w:t>7</w:t>
            </w:r>
          </w:p>
        </w:tc>
      </w:tr>
      <w:tr w:rsidR="006D0445" w:rsidRPr="006D0445" w14:paraId="455EF973" w14:textId="3C6B84BC" w:rsidTr="00CC0D74">
        <w:trPr>
          <w:trHeight w:val="431"/>
        </w:trPr>
        <w:tc>
          <w:tcPr>
            <w:tcW w:w="1555" w:type="dxa"/>
            <w:tcBorders>
              <w:top w:val="nil"/>
              <w:left w:val="single" w:sz="4" w:space="0" w:color="auto"/>
              <w:bottom w:val="single" w:sz="4" w:space="0" w:color="auto"/>
              <w:right w:val="single" w:sz="4" w:space="0" w:color="auto"/>
            </w:tcBorders>
            <w:shd w:val="clear" w:color="auto" w:fill="011C50"/>
            <w:noWrap/>
            <w:vAlign w:val="center"/>
            <w:hideMark/>
          </w:tcPr>
          <w:p w14:paraId="4AD67E50" w14:textId="7AE56ECB" w:rsidR="005516E1" w:rsidRPr="00C448FD" w:rsidRDefault="005516E1" w:rsidP="00FD270C">
            <w:pPr>
              <w:spacing w:after="0" w:line="240" w:lineRule="auto"/>
              <w:jc w:val="center"/>
              <w:rPr>
                <w:b/>
                <w:bCs/>
                <w:color w:val="FFFFFF" w:themeColor="background1"/>
              </w:rPr>
            </w:pPr>
            <w:r w:rsidRPr="00C448FD">
              <w:rPr>
                <w:b/>
                <w:bCs/>
                <w:color w:val="FFFFFF" w:themeColor="background1"/>
              </w:rPr>
              <w:t>TOTAL 2024</w:t>
            </w:r>
          </w:p>
        </w:tc>
        <w:tc>
          <w:tcPr>
            <w:tcW w:w="6457" w:type="dxa"/>
            <w:gridSpan w:val="11"/>
            <w:tcBorders>
              <w:top w:val="single" w:sz="4" w:space="0" w:color="auto"/>
              <w:left w:val="nil"/>
              <w:bottom w:val="single" w:sz="4" w:space="0" w:color="auto"/>
              <w:right w:val="single" w:sz="4" w:space="0" w:color="auto"/>
            </w:tcBorders>
            <w:shd w:val="clear" w:color="auto" w:fill="011C50"/>
            <w:noWrap/>
            <w:vAlign w:val="center"/>
            <w:hideMark/>
          </w:tcPr>
          <w:p w14:paraId="21B8B0AF" w14:textId="28D47AA8" w:rsidR="005516E1" w:rsidRPr="00C448FD" w:rsidRDefault="003E7B03" w:rsidP="00FD270C">
            <w:pPr>
              <w:spacing w:after="0" w:line="240" w:lineRule="auto"/>
              <w:jc w:val="center"/>
              <w:rPr>
                <w:b/>
                <w:bCs/>
                <w:color w:val="FFFFFF" w:themeColor="background1"/>
              </w:rPr>
            </w:pPr>
            <w:r>
              <w:rPr>
                <w:b/>
                <w:bCs/>
                <w:color w:val="FFFFFF" w:themeColor="background1"/>
              </w:rPr>
              <w:t>31</w:t>
            </w:r>
          </w:p>
        </w:tc>
        <w:tc>
          <w:tcPr>
            <w:tcW w:w="547" w:type="dxa"/>
            <w:tcBorders>
              <w:top w:val="single" w:sz="4" w:space="0" w:color="auto"/>
              <w:left w:val="nil"/>
              <w:bottom w:val="single" w:sz="4" w:space="0" w:color="auto"/>
              <w:right w:val="single" w:sz="4" w:space="0" w:color="auto"/>
            </w:tcBorders>
            <w:shd w:val="clear" w:color="auto" w:fill="011C50"/>
          </w:tcPr>
          <w:p w14:paraId="03CFE9F5" w14:textId="77777777" w:rsidR="005516E1" w:rsidRPr="00C448FD" w:rsidRDefault="005516E1" w:rsidP="00FD270C">
            <w:pPr>
              <w:spacing w:after="0" w:line="240" w:lineRule="auto"/>
              <w:jc w:val="center"/>
              <w:rPr>
                <w:b/>
                <w:bCs/>
                <w:color w:val="FFFFFF" w:themeColor="background1"/>
              </w:rPr>
            </w:pPr>
          </w:p>
        </w:tc>
      </w:tr>
    </w:tbl>
    <w:p w14:paraId="7E460B52" w14:textId="15FC0D2F" w:rsidR="007554BF" w:rsidRPr="00832511" w:rsidRDefault="0048077F" w:rsidP="007554BF">
      <w:pPr>
        <w:rPr>
          <w:rFonts w:eastAsia="Times New Roman"/>
          <w:color w:val="767171"/>
          <w:sz w:val="18"/>
          <w:szCs w:val="18"/>
        </w:rPr>
      </w:pPr>
      <w:r w:rsidRPr="00832511">
        <w:rPr>
          <w:rFonts w:eastAsia="Times New Roman"/>
          <w:color w:val="767171"/>
          <w:sz w:val="18"/>
          <w:szCs w:val="18"/>
        </w:rPr>
        <w:t xml:space="preserve">Fuente: Oficinas </w:t>
      </w:r>
      <w:proofErr w:type="spellStart"/>
      <w:r w:rsidRPr="00832511">
        <w:rPr>
          <w:rFonts w:eastAsia="Times New Roman"/>
          <w:color w:val="767171"/>
          <w:sz w:val="18"/>
          <w:szCs w:val="18"/>
        </w:rPr>
        <w:t>OAI</w:t>
      </w:r>
      <w:proofErr w:type="spellEnd"/>
      <w:r w:rsidRPr="00832511">
        <w:rPr>
          <w:rFonts w:eastAsia="Times New Roman"/>
          <w:color w:val="767171"/>
          <w:sz w:val="18"/>
          <w:szCs w:val="18"/>
        </w:rPr>
        <w:t xml:space="preserve"> SIE</w:t>
      </w:r>
    </w:p>
    <w:p w14:paraId="2A6ADED8" w14:textId="72018837" w:rsidR="00AA6BF4" w:rsidRPr="006D0445" w:rsidRDefault="00AA6BF4" w:rsidP="00AA6BF4">
      <w:pPr>
        <w:rPr>
          <w:color w:val="767171"/>
        </w:rPr>
      </w:pPr>
      <w:r w:rsidRPr="006D0445">
        <w:rPr>
          <w:color w:val="767171"/>
        </w:rPr>
        <w:t xml:space="preserve">Como valor agregado, se </w:t>
      </w:r>
      <w:r w:rsidR="001C2AF6" w:rsidRPr="006D0445">
        <w:rPr>
          <w:color w:val="767171"/>
        </w:rPr>
        <w:t>incluyó</w:t>
      </w:r>
      <w:r w:rsidRPr="006D0445">
        <w:rPr>
          <w:color w:val="767171"/>
        </w:rPr>
        <w:t xml:space="preserve"> el indicador sobre el tiempo de respuesta basándonos en el plazo de 15 días hábiles establecido en la Ley 200-04, ley General de Libre Acceso a la Información Pública, arrojando un resultado significativo a nivel mensual, trimestral y semestral dentro del promedio de respuesta de nuestra oficina expresado en días.</w:t>
      </w:r>
    </w:p>
    <w:p w14:paraId="2298C7D2" w14:textId="6D60DA1D" w:rsidR="00FD2CF8" w:rsidRPr="006D0445" w:rsidRDefault="007D5D5F" w:rsidP="00446417">
      <w:pPr>
        <w:jc w:val="center"/>
        <w:rPr>
          <w:rFonts w:eastAsia="Calibri"/>
          <w:noProof/>
          <w:color w:val="767171"/>
          <w:spacing w:val="20"/>
        </w:rPr>
      </w:pPr>
      <w:r w:rsidRPr="006D0445">
        <w:rPr>
          <w:noProof/>
          <w:color w:val="767171"/>
        </w:rPr>
        <w:drawing>
          <wp:inline distT="0" distB="0" distL="0" distR="0" wp14:anchorId="43C5B02E" wp14:editId="0BC8E2BA">
            <wp:extent cx="4220845" cy="1880558"/>
            <wp:effectExtent l="0" t="0" r="8255" b="5715"/>
            <wp:docPr id="2002176629" name="Gráfico 22">
              <a:extLst xmlns:a="http://schemas.openxmlformats.org/drawingml/2006/main">
                <a:ext uri="{FF2B5EF4-FFF2-40B4-BE49-F238E27FC236}">
                  <a16:creationId xmlns:a16="http://schemas.microsoft.com/office/drawing/2014/main" id="{5EFE3546-3724-53D4-AE07-91F4AB5AB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D2CF8" w:rsidRPr="006D0445">
        <w:rPr>
          <w:rFonts w:eastAsia="Calibri"/>
          <w:noProof/>
          <w:color w:val="767171"/>
          <w:spacing w:val="20"/>
        </w:rPr>
        <w:br w:type="page"/>
      </w:r>
    </w:p>
    <w:p w14:paraId="387FC399" w14:textId="394C1B01" w:rsidR="00582F88" w:rsidRPr="006D0445" w:rsidRDefault="00582F88" w:rsidP="00582F88">
      <w:pPr>
        <w:pStyle w:val="Ttulo2"/>
      </w:pPr>
      <w:bookmarkStart w:id="84" w:name="_Toc186147730"/>
      <w:r w:rsidRPr="006D0445">
        <w:lastRenderedPageBreak/>
        <w:t>Resultado mediaciones del portal de Transparencia</w:t>
      </w:r>
      <w:bookmarkEnd w:id="84"/>
    </w:p>
    <w:p w14:paraId="047F71BF" w14:textId="0F1D11A6" w:rsidR="007D5D5F" w:rsidRPr="006D0445" w:rsidRDefault="007D5D5F" w:rsidP="0017691A">
      <w:pPr>
        <w:spacing w:after="0"/>
        <w:rPr>
          <w:color w:val="767171"/>
        </w:rPr>
      </w:pPr>
      <w:r w:rsidRPr="006D0445">
        <w:rPr>
          <w:color w:val="767171"/>
        </w:rPr>
        <w:t>En cumplimiento a lo establecido en la Ley General de Libre Acceso a la Información Pública, Ley No 200-04 y los lineamientos pautados por la Dirección General de Ética e Integridad Gubernamental (</w:t>
      </w:r>
      <w:proofErr w:type="spellStart"/>
      <w:r w:rsidRPr="006D0445">
        <w:rPr>
          <w:color w:val="767171"/>
        </w:rPr>
        <w:t>DIGEIG</w:t>
      </w:r>
      <w:proofErr w:type="spellEnd"/>
      <w:r w:rsidRPr="006D0445">
        <w:rPr>
          <w:color w:val="767171"/>
        </w:rPr>
        <w:t>) sobre la estandarización de las informaciones que se publican en los Portales de Transparencia; La SIE en este indicador ha obtenido la siguiente calificación de este año:</w:t>
      </w:r>
    </w:p>
    <w:p w14:paraId="023772AA" w14:textId="1422273E" w:rsidR="00A32195" w:rsidRPr="006D0445" w:rsidRDefault="00A32195" w:rsidP="00A32195">
      <w:pPr>
        <w:pStyle w:val="Descripcin"/>
        <w:keepNext/>
        <w:rPr>
          <w:color w:val="767171"/>
        </w:rPr>
      </w:pPr>
      <w:r w:rsidRPr="006D0445">
        <w:rPr>
          <w:color w:val="767171"/>
        </w:rPr>
        <w:t xml:space="preserve">Tabla </w:t>
      </w:r>
      <w:r w:rsidRPr="006D0445">
        <w:rPr>
          <w:color w:val="767171"/>
        </w:rPr>
        <w:fldChar w:fldCharType="begin"/>
      </w:r>
      <w:r w:rsidRPr="006D0445">
        <w:rPr>
          <w:color w:val="767171"/>
        </w:rPr>
        <w:instrText xml:space="preserve"> SEQ Tabla \* ARABIC </w:instrText>
      </w:r>
      <w:r w:rsidRPr="006D0445">
        <w:rPr>
          <w:color w:val="767171"/>
        </w:rPr>
        <w:fldChar w:fldCharType="separate"/>
      </w:r>
      <w:r w:rsidR="002F127B">
        <w:rPr>
          <w:noProof/>
          <w:color w:val="767171"/>
        </w:rPr>
        <w:t>17</w:t>
      </w:r>
      <w:r w:rsidRPr="006D0445">
        <w:rPr>
          <w:color w:val="767171"/>
        </w:rPr>
        <w:fldChar w:fldCharType="end"/>
      </w:r>
      <w:r w:rsidRPr="006D0445">
        <w:rPr>
          <w:color w:val="767171"/>
        </w:rPr>
        <w:t>Evaluación Portal de Transparencia</w:t>
      </w:r>
    </w:p>
    <w:tbl>
      <w:tblPr>
        <w:tblW w:w="5400" w:type="dxa"/>
        <w:tblInd w:w="1250" w:type="dxa"/>
        <w:tblCellMar>
          <w:left w:w="70" w:type="dxa"/>
          <w:right w:w="70" w:type="dxa"/>
        </w:tblCellMar>
        <w:tblLook w:val="04A0" w:firstRow="1" w:lastRow="0" w:firstColumn="1" w:lastColumn="0" w:noHBand="0" w:noVBand="1"/>
      </w:tblPr>
      <w:tblGrid>
        <w:gridCol w:w="2840"/>
        <w:gridCol w:w="2560"/>
      </w:tblGrid>
      <w:tr w:rsidR="006D0445" w:rsidRPr="006D0445" w14:paraId="25C8CB25" w14:textId="77777777" w:rsidTr="00FD2CF8">
        <w:trPr>
          <w:trHeight w:val="320"/>
          <w:tblHeader/>
        </w:trPr>
        <w:tc>
          <w:tcPr>
            <w:tcW w:w="2840" w:type="dxa"/>
            <w:tcBorders>
              <w:top w:val="single" w:sz="8" w:space="0" w:color="000000"/>
              <w:left w:val="single" w:sz="8" w:space="0" w:color="000000"/>
              <w:bottom w:val="single" w:sz="8" w:space="0" w:color="auto"/>
              <w:right w:val="single" w:sz="8" w:space="0" w:color="auto"/>
            </w:tcBorders>
            <w:shd w:val="clear" w:color="auto" w:fill="011C50"/>
            <w:vAlign w:val="center"/>
            <w:hideMark/>
          </w:tcPr>
          <w:p w14:paraId="33304DB3" w14:textId="77777777" w:rsidR="00276845" w:rsidRPr="00C448FD" w:rsidRDefault="00276845" w:rsidP="009C423D">
            <w:pPr>
              <w:spacing w:after="0" w:line="240" w:lineRule="auto"/>
              <w:jc w:val="center"/>
              <w:rPr>
                <w:rFonts w:eastAsia="Calibri"/>
                <w:b/>
                <w:bCs/>
                <w:noProof/>
                <w:color w:val="FFFFFF" w:themeColor="background1"/>
                <w:sz w:val="22"/>
                <w:szCs w:val="22"/>
              </w:rPr>
            </w:pPr>
            <w:r w:rsidRPr="00C448FD">
              <w:rPr>
                <w:rFonts w:eastAsia="Calibri"/>
                <w:b/>
                <w:bCs/>
                <w:noProof/>
                <w:color w:val="FFFFFF" w:themeColor="background1"/>
                <w:sz w:val="22"/>
                <w:szCs w:val="22"/>
              </w:rPr>
              <w:t>Enero-Sept</w:t>
            </w:r>
          </w:p>
        </w:tc>
        <w:tc>
          <w:tcPr>
            <w:tcW w:w="2560" w:type="dxa"/>
            <w:tcBorders>
              <w:top w:val="single" w:sz="4" w:space="0" w:color="auto"/>
              <w:left w:val="single" w:sz="4" w:space="0" w:color="auto"/>
              <w:bottom w:val="single" w:sz="4" w:space="0" w:color="auto"/>
              <w:right w:val="single" w:sz="4" w:space="0" w:color="auto"/>
            </w:tcBorders>
            <w:shd w:val="clear" w:color="auto" w:fill="011C50"/>
            <w:noWrap/>
            <w:vAlign w:val="center"/>
            <w:hideMark/>
          </w:tcPr>
          <w:p w14:paraId="5F21911C" w14:textId="2C83FB34" w:rsidR="00276845" w:rsidRPr="00C448FD" w:rsidRDefault="00357847" w:rsidP="00357847">
            <w:pPr>
              <w:spacing w:after="0" w:line="240" w:lineRule="auto"/>
              <w:jc w:val="center"/>
              <w:rPr>
                <w:rFonts w:eastAsia="Calibri"/>
                <w:b/>
                <w:bCs/>
                <w:noProof/>
                <w:color w:val="FFFFFF" w:themeColor="background1"/>
                <w:sz w:val="22"/>
                <w:szCs w:val="22"/>
              </w:rPr>
            </w:pPr>
            <w:r w:rsidRPr="00C448FD">
              <w:rPr>
                <w:rFonts w:eastAsia="Calibri"/>
                <w:b/>
                <w:bCs/>
                <w:noProof/>
                <w:color w:val="FFFFFF" w:themeColor="background1"/>
                <w:sz w:val="22"/>
                <w:szCs w:val="22"/>
              </w:rPr>
              <w:t>C</w:t>
            </w:r>
            <w:r w:rsidR="00276845" w:rsidRPr="00C448FD">
              <w:rPr>
                <w:rFonts w:eastAsia="Calibri"/>
                <w:b/>
                <w:bCs/>
                <w:noProof/>
                <w:color w:val="FFFFFF" w:themeColor="background1"/>
                <w:sz w:val="22"/>
                <w:szCs w:val="22"/>
              </w:rPr>
              <w:t xml:space="preserve">alificación </w:t>
            </w:r>
            <w:r w:rsidRPr="00C448FD">
              <w:rPr>
                <w:rFonts w:eastAsia="Calibri"/>
                <w:b/>
                <w:bCs/>
                <w:noProof/>
                <w:color w:val="FFFFFF" w:themeColor="background1"/>
                <w:sz w:val="22"/>
                <w:szCs w:val="22"/>
              </w:rPr>
              <w:t>E</w:t>
            </w:r>
            <w:r w:rsidR="00276845" w:rsidRPr="00C448FD">
              <w:rPr>
                <w:rFonts w:eastAsia="Calibri"/>
                <w:b/>
                <w:bCs/>
                <w:noProof/>
                <w:color w:val="FFFFFF" w:themeColor="background1"/>
                <w:sz w:val="22"/>
                <w:szCs w:val="22"/>
              </w:rPr>
              <w:t>valuación</w:t>
            </w:r>
          </w:p>
        </w:tc>
      </w:tr>
      <w:tr w:rsidR="006D0445" w:rsidRPr="006D0445" w14:paraId="234001BB" w14:textId="77777777" w:rsidTr="00FD2CF8">
        <w:trPr>
          <w:trHeight w:val="269"/>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23261A78"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Enero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7D220C6" w14:textId="054496F6"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94.97</w:t>
            </w:r>
          </w:p>
        </w:tc>
      </w:tr>
      <w:tr w:rsidR="006D0445" w:rsidRPr="006D0445" w14:paraId="4EEC2EEB" w14:textId="77777777" w:rsidTr="00FD2CF8">
        <w:trPr>
          <w:trHeight w:val="273"/>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698F2671"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Febrero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3C2B024" w14:textId="059F633B"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98.4</w:t>
            </w:r>
          </w:p>
        </w:tc>
      </w:tr>
      <w:tr w:rsidR="006D0445" w:rsidRPr="006D0445" w14:paraId="1522BE31" w14:textId="77777777" w:rsidTr="001F5DC4">
        <w:trPr>
          <w:trHeight w:val="324"/>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55D0BF0B"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Marzo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43DE263" w14:textId="167737DE"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93.2</w:t>
            </w:r>
          </w:p>
        </w:tc>
      </w:tr>
      <w:tr w:rsidR="006D0445" w:rsidRPr="006D0445" w14:paraId="6B198D58" w14:textId="77777777" w:rsidTr="00FD2CF8">
        <w:trPr>
          <w:trHeight w:val="197"/>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70E7298D"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Abril</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F31F890" w14:textId="01141E69"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95.97</w:t>
            </w:r>
          </w:p>
        </w:tc>
      </w:tr>
      <w:tr w:rsidR="006D0445" w:rsidRPr="006D0445" w14:paraId="6F87AF96" w14:textId="77777777" w:rsidTr="00FD2CF8">
        <w:trPr>
          <w:trHeight w:val="201"/>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4E504B80"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Mayo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96D41F1" w14:textId="3F1BA682"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97.96</w:t>
            </w:r>
          </w:p>
        </w:tc>
      </w:tr>
      <w:tr w:rsidR="006D0445" w:rsidRPr="006D0445" w14:paraId="77F2AECE" w14:textId="77777777" w:rsidTr="00FD2CF8">
        <w:trPr>
          <w:trHeight w:val="291"/>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43680334"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Junio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84FC985" w14:textId="12481982"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99.39</w:t>
            </w:r>
          </w:p>
        </w:tc>
      </w:tr>
      <w:tr w:rsidR="006D0445" w:rsidRPr="006D0445" w14:paraId="1E727B22" w14:textId="77777777" w:rsidTr="00FD2CF8">
        <w:trPr>
          <w:trHeight w:val="181"/>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34291D95"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Julio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860A3A3" w14:textId="77E86BA1"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96.99</w:t>
            </w:r>
          </w:p>
        </w:tc>
      </w:tr>
      <w:tr w:rsidR="006D0445" w:rsidRPr="006D0445" w14:paraId="6DCE69F7" w14:textId="77777777" w:rsidTr="00FD2CF8">
        <w:trPr>
          <w:trHeight w:val="271"/>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28EA95CE"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Agosto</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A81BA21" w14:textId="0B82FF31"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99.73</w:t>
            </w:r>
          </w:p>
        </w:tc>
      </w:tr>
      <w:tr w:rsidR="006D0445" w:rsidRPr="006D0445" w14:paraId="10897198" w14:textId="77777777" w:rsidTr="00FD2CF8">
        <w:trPr>
          <w:trHeight w:val="261"/>
        </w:trPr>
        <w:tc>
          <w:tcPr>
            <w:tcW w:w="2840" w:type="dxa"/>
            <w:tcBorders>
              <w:top w:val="nil"/>
              <w:left w:val="single" w:sz="8" w:space="0" w:color="000000"/>
              <w:bottom w:val="single" w:sz="8" w:space="0" w:color="auto"/>
              <w:right w:val="single" w:sz="8" w:space="0" w:color="auto"/>
            </w:tcBorders>
            <w:shd w:val="clear" w:color="auto" w:fill="D9D9D9"/>
            <w:vAlign w:val="center"/>
            <w:hideMark/>
          </w:tcPr>
          <w:p w14:paraId="22C40ABD" w14:textId="77777777" w:rsidR="007D5044" w:rsidRPr="006D0445" w:rsidRDefault="007D5044" w:rsidP="007D5044">
            <w:pPr>
              <w:spacing w:after="0" w:line="240" w:lineRule="auto"/>
              <w:rPr>
                <w:rFonts w:eastAsia="Calibri"/>
                <w:b/>
                <w:bCs/>
                <w:noProof/>
                <w:color w:val="767171"/>
                <w:sz w:val="22"/>
                <w:szCs w:val="22"/>
              </w:rPr>
            </w:pPr>
            <w:r w:rsidRPr="006D0445">
              <w:rPr>
                <w:rFonts w:eastAsia="Calibri"/>
                <w:b/>
                <w:bCs/>
                <w:noProof/>
                <w:color w:val="767171"/>
                <w:sz w:val="22"/>
                <w:szCs w:val="22"/>
              </w:rPr>
              <w:t>Sept</w:t>
            </w:r>
          </w:p>
        </w:tc>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5DCBE9D" w14:textId="69DCE575" w:rsidR="007D5044" w:rsidRPr="006D0445" w:rsidRDefault="007D5044" w:rsidP="007D5044">
            <w:pPr>
              <w:spacing w:after="0" w:line="240" w:lineRule="auto"/>
              <w:jc w:val="center"/>
              <w:rPr>
                <w:rFonts w:eastAsia="Calibri"/>
                <w:noProof/>
                <w:color w:val="767171"/>
                <w:sz w:val="22"/>
                <w:szCs w:val="22"/>
              </w:rPr>
            </w:pPr>
            <w:r w:rsidRPr="006D0445">
              <w:rPr>
                <w:rFonts w:eastAsia="Times New Roman"/>
                <w:color w:val="767171"/>
                <w:sz w:val="22"/>
                <w:szCs w:val="22"/>
              </w:rPr>
              <w:t>96.81</w:t>
            </w:r>
          </w:p>
        </w:tc>
      </w:tr>
      <w:tr w:rsidR="00A37ECF" w:rsidRPr="006D0445" w14:paraId="44D24F35" w14:textId="77777777" w:rsidTr="00FD2CF8">
        <w:trPr>
          <w:trHeight w:val="261"/>
        </w:trPr>
        <w:tc>
          <w:tcPr>
            <w:tcW w:w="2840" w:type="dxa"/>
            <w:tcBorders>
              <w:top w:val="nil"/>
              <w:left w:val="single" w:sz="8" w:space="0" w:color="000000"/>
              <w:bottom w:val="single" w:sz="8" w:space="0" w:color="auto"/>
              <w:right w:val="single" w:sz="8" w:space="0" w:color="auto"/>
            </w:tcBorders>
            <w:shd w:val="clear" w:color="auto" w:fill="D9D9D9"/>
            <w:vAlign w:val="center"/>
          </w:tcPr>
          <w:p w14:paraId="47B8F1BE" w14:textId="2DB37665" w:rsidR="00A37ECF" w:rsidRPr="006D0445" w:rsidRDefault="00A37ECF" w:rsidP="007D5044">
            <w:pPr>
              <w:spacing w:after="0" w:line="240" w:lineRule="auto"/>
              <w:rPr>
                <w:rFonts w:eastAsia="Calibri"/>
                <w:b/>
                <w:bCs/>
                <w:noProof/>
                <w:color w:val="767171"/>
                <w:sz w:val="22"/>
                <w:szCs w:val="22"/>
              </w:rPr>
            </w:pPr>
            <w:r>
              <w:rPr>
                <w:rFonts w:eastAsia="Calibri"/>
                <w:b/>
                <w:bCs/>
                <w:noProof/>
                <w:color w:val="767171"/>
                <w:sz w:val="22"/>
                <w:szCs w:val="22"/>
              </w:rPr>
              <w:t>Octubre</w:t>
            </w:r>
          </w:p>
        </w:tc>
        <w:tc>
          <w:tcPr>
            <w:tcW w:w="2560" w:type="dxa"/>
            <w:tcBorders>
              <w:top w:val="nil"/>
              <w:left w:val="single" w:sz="4" w:space="0" w:color="auto"/>
              <w:bottom w:val="single" w:sz="4" w:space="0" w:color="auto"/>
              <w:right w:val="single" w:sz="4" w:space="0" w:color="auto"/>
            </w:tcBorders>
            <w:shd w:val="clear" w:color="auto" w:fill="auto"/>
            <w:noWrap/>
            <w:vAlign w:val="center"/>
          </w:tcPr>
          <w:p w14:paraId="1D1EE20A" w14:textId="38BDC0BF" w:rsidR="00A37ECF" w:rsidRPr="006D0445" w:rsidRDefault="00A37ECF" w:rsidP="007D5044">
            <w:pPr>
              <w:spacing w:after="0" w:line="240" w:lineRule="auto"/>
              <w:jc w:val="center"/>
              <w:rPr>
                <w:rFonts w:eastAsia="Times New Roman"/>
                <w:color w:val="767171"/>
                <w:sz w:val="22"/>
                <w:szCs w:val="22"/>
              </w:rPr>
            </w:pPr>
            <w:r>
              <w:rPr>
                <w:rFonts w:eastAsia="Times New Roman"/>
                <w:color w:val="767171"/>
                <w:sz w:val="22"/>
                <w:szCs w:val="22"/>
              </w:rPr>
              <w:t>99.93</w:t>
            </w:r>
          </w:p>
        </w:tc>
      </w:tr>
      <w:tr w:rsidR="006D0445" w:rsidRPr="006D0445" w14:paraId="237C0AF9" w14:textId="77777777" w:rsidTr="001F5DC4">
        <w:trPr>
          <w:trHeight w:val="324"/>
        </w:trPr>
        <w:tc>
          <w:tcPr>
            <w:tcW w:w="2840" w:type="dxa"/>
            <w:tcBorders>
              <w:top w:val="nil"/>
              <w:left w:val="single" w:sz="8" w:space="0" w:color="000000"/>
              <w:bottom w:val="single" w:sz="8" w:space="0" w:color="auto"/>
              <w:right w:val="single" w:sz="8" w:space="0" w:color="auto"/>
            </w:tcBorders>
            <w:shd w:val="clear" w:color="auto" w:fill="011C50"/>
            <w:vAlign w:val="center"/>
            <w:hideMark/>
          </w:tcPr>
          <w:p w14:paraId="03D77E8F" w14:textId="77777777" w:rsidR="007D5044" w:rsidRPr="00C448FD" w:rsidRDefault="007D5044" w:rsidP="007D5044">
            <w:pPr>
              <w:spacing w:after="0" w:line="240" w:lineRule="auto"/>
              <w:jc w:val="center"/>
              <w:rPr>
                <w:rFonts w:eastAsia="Times New Roman"/>
                <w:b/>
                <w:bCs/>
                <w:color w:val="FFFFFF" w:themeColor="background1"/>
                <w:sz w:val="22"/>
                <w:szCs w:val="22"/>
              </w:rPr>
            </w:pPr>
            <w:r w:rsidRPr="00C448FD">
              <w:rPr>
                <w:rFonts w:eastAsia="Times New Roman"/>
                <w:b/>
                <w:bCs/>
                <w:color w:val="FFFFFF" w:themeColor="background1"/>
                <w:sz w:val="22"/>
                <w:szCs w:val="22"/>
              </w:rPr>
              <w:t>Promedio</w:t>
            </w:r>
          </w:p>
        </w:tc>
        <w:tc>
          <w:tcPr>
            <w:tcW w:w="2560" w:type="dxa"/>
            <w:tcBorders>
              <w:top w:val="nil"/>
              <w:left w:val="single" w:sz="4" w:space="0" w:color="auto"/>
              <w:bottom w:val="single" w:sz="4" w:space="0" w:color="auto"/>
              <w:right w:val="single" w:sz="4" w:space="0" w:color="auto"/>
            </w:tcBorders>
            <w:shd w:val="clear" w:color="auto" w:fill="011C50"/>
            <w:noWrap/>
            <w:vAlign w:val="center"/>
            <w:hideMark/>
          </w:tcPr>
          <w:p w14:paraId="7D1ED91C" w14:textId="1C199B1A" w:rsidR="007D5044" w:rsidRPr="00C448FD" w:rsidRDefault="007D5044" w:rsidP="007D5044">
            <w:pPr>
              <w:spacing w:after="0" w:line="240" w:lineRule="auto"/>
              <w:jc w:val="center"/>
              <w:rPr>
                <w:rFonts w:eastAsia="Times New Roman"/>
                <w:b/>
                <w:bCs/>
                <w:color w:val="FFFFFF" w:themeColor="background1"/>
                <w:sz w:val="22"/>
                <w:szCs w:val="22"/>
              </w:rPr>
            </w:pPr>
            <w:r w:rsidRPr="00C448FD">
              <w:rPr>
                <w:rFonts w:eastAsia="Times New Roman"/>
                <w:color w:val="FFFFFF" w:themeColor="background1"/>
                <w:sz w:val="22"/>
                <w:szCs w:val="22"/>
              </w:rPr>
              <w:t>97.</w:t>
            </w:r>
            <w:r w:rsidR="00A37ECF">
              <w:rPr>
                <w:rFonts w:eastAsia="Times New Roman"/>
                <w:color w:val="FFFFFF" w:themeColor="background1"/>
                <w:sz w:val="22"/>
                <w:szCs w:val="22"/>
              </w:rPr>
              <w:t>335</w:t>
            </w:r>
          </w:p>
        </w:tc>
      </w:tr>
    </w:tbl>
    <w:p w14:paraId="7E4D4098" w14:textId="77777777" w:rsidR="0017691A" w:rsidRPr="006D0445" w:rsidRDefault="0017691A" w:rsidP="0017691A">
      <w:pPr>
        <w:ind w:left="1276"/>
        <w:rPr>
          <w:color w:val="767171"/>
        </w:rPr>
      </w:pPr>
      <w:r w:rsidRPr="006D0445">
        <w:rPr>
          <w:rFonts w:eastAsia="Times New Roman"/>
          <w:color w:val="767171"/>
          <w:sz w:val="16"/>
          <w:szCs w:val="16"/>
        </w:rPr>
        <w:t xml:space="preserve">Fuente: Oficinas </w:t>
      </w:r>
      <w:proofErr w:type="spellStart"/>
      <w:r w:rsidRPr="006D0445">
        <w:rPr>
          <w:rFonts w:eastAsia="Times New Roman"/>
          <w:color w:val="767171"/>
          <w:sz w:val="16"/>
          <w:szCs w:val="16"/>
        </w:rPr>
        <w:t>OAI</w:t>
      </w:r>
      <w:proofErr w:type="spellEnd"/>
      <w:r w:rsidRPr="006D0445">
        <w:rPr>
          <w:rFonts w:eastAsia="Times New Roman"/>
          <w:color w:val="767171"/>
          <w:sz w:val="16"/>
          <w:szCs w:val="16"/>
        </w:rPr>
        <w:t xml:space="preserve"> SIE</w:t>
      </w:r>
    </w:p>
    <w:p w14:paraId="0A24E88B" w14:textId="77777777" w:rsidR="007D5044" w:rsidRPr="006D0445" w:rsidRDefault="007D5044" w:rsidP="007D5044">
      <w:pPr>
        <w:rPr>
          <w:rFonts w:eastAsia="Calibri"/>
          <w:noProof/>
          <w:color w:val="767171"/>
        </w:rPr>
      </w:pPr>
      <w:r w:rsidRPr="006D0445">
        <w:rPr>
          <w:color w:val="767171"/>
        </w:rPr>
        <w:t xml:space="preserve">Es importante destacar que existe un retraso, a nivel general, en las entregas de las evaluaciones de todos los Portales de Transparencia, debido a un tema técnico de la propia </w:t>
      </w:r>
      <w:proofErr w:type="spellStart"/>
      <w:r w:rsidRPr="006D0445">
        <w:rPr>
          <w:color w:val="767171"/>
        </w:rPr>
        <w:t>DIGEIG</w:t>
      </w:r>
      <w:proofErr w:type="spellEnd"/>
      <w:r w:rsidRPr="006D0445">
        <w:rPr>
          <w:color w:val="767171"/>
        </w:rPr>
        <w:t xml:space="preserve">, situación que ha impactado el resultado de todos los semestres. </w:t>
      </w:r>
    </w:p>
    <w:p w14:paraId="517EF1DF" w14:textId="74B665B0" w:rsidR="00276845" w:rsidRPr="006D0445" w:rsidRDefault="00276845" w:rsidP="00276845">
      <w:pPr>
        <w:rPr>
          <w:rFonts w:eastAsia="Calibri"/>
          <w:noProof/>
          <w:color w:val="767171"/>
        </w:rPr>
      </w:pPr>
      <w:r w:rsidRPr="006D0445">
        <w:rPr>
          <w:rFonts w:eastAsia="Calibri"/>
          <w:noProof/>
          <w:color w:val="767171"/>
        </w:rPr>
        <w:t>Puntuaciones recibidas por Evaluación Portal Transparencia:</w:t>
      </w:r>
    </w:p>
    <w:p w14:paraId="043733A4" w14:textId="54C4DB04" w:rsidR="00A32195" w:rsidRPr="006D0445" w:rsidRDefault="007D5044" w:rsidP="00A32195">
      <w:pPr>
        <w:jc w:val="center"/>
        <w:rPr>
          <w:color w:val="767171"/>
        </w:rPr>
      </w:pPr>
      <w:r w:rsidRPr="006D0445">
        <w:rPr>
          <w:noProof/>
          <w:color w:val="767171"/>
        </w:rPr>
        <w:drawing>
          <wp:inline distT="0" distB="0" distL="0" distR="0" wp14:anchorId="16C6AEA5" wp14:editId="6F329C77">
            <wp:extent cx="3774440" cy="2224902"/>
            <wp:effectExtent l="0" t="0" r="16510" b="4445"/>
            <wp:docPr id="96713101" name="Gráfico 21">
              <a:extLst xmlns:a="http://schemas.openxmlformats.org/drawingml/2006/main">
                <a:ext uri="{FF2B5EF4-FFF2-40B4-BE49-F238E27FC236}">
                  <a16:creationId xmlns:a16="http://schemas.microsoft.com/office/drawing/2014/main" id="{EF59C709-FF6E-44ED-36AA-05A007A50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A32195" w:rsidRPr="006D0445">
        <w:rPr>
          <w:color w:val="767171"/>
        </w:rPr>
        <w:br w:type="page"/>
      </w:r>
    </w:p>
    <w:p w14:paraId="5164DF7D" w14:textId="787FC5F5" w:rsidR="00542134" w:rsidRPr="006D0445" w:rsidRDefault="007824F5" w:rsidP="007C76B6">
      <w:pPr>
        <w:pStyle w:val="Ttulo1"/>
      </w:pPr>
      <w:bookmarkStart w:id="85" w:name="_Toc186147731"/>
      <w:r w:rsidRPr="006D0445">
        <w:lastRenderedPageBreak/>
        <w:t>PROYECCIONES AL PR</w:t>
      </w:r>
      <w:r>
        <w:t>Ó</w:t>
      </w:r>
      <w:r w:rsidRPr="006D0445">
        <w:t>XIMO AÑO</w:t>
      </w:r>
      <w:bookmarkEnd w:id="85"/>
    </w:p>
    <w:p w14:paraId="759C9742" w14:textId="25DCF558" w:rsidR="00AE6336" w:rsidRPr="00946305" w:rsidRDefault="00AE6336" w:rsidP="00946305">
      <w:pPr>
        <w:pStyle w:val="Prrafodelista"/>
        <w:numPr>
          <w:ilvl w:val="0"/>
          <w:numId w:val="33"/>
        </w:numPr>
        <w:ind w:left="284"/>
        <w:jc w:val="left"/>
        <w:rPr>
          <w:color w:val="767171"/>
        </w:rPr>
      </w:pPr>
      <w:r w:rsidRPr="00946305">
        <w:rPr>
          <w:color w:val="767171"/>
        </w:rPr>
        <w:t>Reglamento de Ciberseguridad para el Subsector Eléctrico de la SIE</w:t>
      </w:r>
      <w:r w:rsidR="009144E8">
        <w:rPr>
          <w:color w:val="767171"/>
        </w:rPr>
        <w:t>.</w:t>
      </w:r>
    </w:p>
    <w:p w14:paraId="1363B7B0" w14:textId="73D0A1D2" w:rsidR="00AE6336" w:rsidRPr="00946305" w:rsidRDefault="00AE6336" w:rsidP="00946305">
      <w:pPr>
        <w:pStyle w:val="Prrafodelista"/>
        <w:numPr>
          <w:ilvl w:val="0"/>
          <w:numId w:val="33"/>
        </w:numPr>
        <w:ind w:left="284"/>
        <w:jc w:val="left"/>
        <w:rPr>
          <w:color w:val="767171"/>
        </w:rPr>
      </w:pPr>
      <w:r w:rsidRPr="00946305">
        <w:rPr>
          <w:color w:val="767171"/>
        </w:rPr>
        <w:t>Reglamento para la Aprobación, Interconexión y Operación de Instalaciones de Generación Distribuida de Energía</w:t>
      </w:r>
      <w:r w:rsidR="009144E8">
        <w:rPr>
          <w:color w:val="767171"/>
        </w:rPr>
        <w:t>.</w:t>
      </w:r>
    </w:p>
    <w:p w14:paraId="738AA663" w14:textId="28BCF4C8" w:rsidR="00AE6336" w:rsidRPr="00946305" w:rsidRDefault="00AE6336" w:rsidP="00946305">
      <w:pPr>
        <w:pStyle w:val="Prrafodelista"/>
        <w:numPr>
          <w:ilvl w:val="0"/>
          <w:numId w:val="33"/>
        </w:numPr>
        <w:ind w:left="284"/>
        <w:jc w:val="left"/>
        <w:rPr>
          <w:color w:val="767171"/>
        </w:rPr>
      </w:pPr>
      <w:r w:rsidRPr="00946305">
        <w:rPr>
          <w:color w:val="767171"/>
        </w:rPr>
        <w:t>Reglamento de Autorización y Ejercicio Condición Usuario no Regulado</w:t>
      </w:r>
      <w:r w:rsidR="009144E8">
        <w:rPr>
          <w:color w:val="767171"/>
        </w:rPr>
        <w:t>.</w:t>
      </w:r>
    </w:p>
    <w:p w14:paraId="291E20CC" w14:textId="18D68E0B" w:rsidR="00AE6336" w:rsidRPr="00946305" w:rsidRDefault="00AE6336" w:rsidP="00946305">
      <w:pPr>
        <w:pStyle w:val="Prrafodelista"/>
        <w:numPr>
          <w:ilvl w:val="0"/>
          <w:numId w:val="33"/>
        </w:numPr>
        <w:ind w:left="284"/>
        <w:jc w:val="left"/>
        <w:rPr>
          <w:color w:val="767171"/>
        </w:rPr>
      </w:pPr>
      <w:r w:rsidRPr="00946305">
        <w:rPr>
          <w:color w:val="767171"/>
        </w:rPr>
        <w:t>Actualización del Reglamento de Expedición, Vigilancia y Control de Licencias para Técnicos Electricistas (incluyendo instaladores de paneles solares)</w:t>
      </w:r>
      <w:r w:rsidR="009144E8">
        <w:rPr>
          <w:color w:val="767171"/>
        </w:rPr>
        <w:t>.</w:t>
      </w:r>
    </w:p>
    <w:p w14:paraId="03DCFD44" w14:textId="68EB113B" w:rsidR="00AE6336" w:rsidRPr="00946305" w:rsidRDefault="00AE6336" w:rsidP="00946305">
      <w:pPr>
        <w:pStyle w:val="Prrafodelista"/>
        <w:numPr>
          <w:ilvl w:val="0"/>
          <w:numId w:val="33"/>
        </w:numPr>
        <w:ind w:left="284"/>
        <w:jc w:val="left"/>
        <w:rPr>
          <w:color w:val="767171"/>
        </w:rPr>
      </w:pPr>
      <w:r w:rsidRPr="00946305">
        <w:rPr>
          <w:color w:val="767171"/>
        </w:rPr>
        <w:t>Reglamento / Procedimiento de Mediaciones</w:t>
      </w:r>
      <w:r w:rsidR="009144E8">
        <w:rPr>
          <w:color w:val="767171"/>
        </w:rPr>
        <w:t>.</w:t>
      </w:r>
    </w:p>
    <w:p w14:paraId="4FECD44C" w14:textId="340F833A" w:rsidR="00AE6336" w:rsidRPr="00946305" w:rsidRDefault="00AE6336" w:rsidP="00946305">
      <w:pPr>
        <w:pStyle w:val="Prrafodelista"/>
        <w:numPr>
          <w:ilvl w:val="0"/>
          <w:numId w:val="33"/>
        </w:numPr>
        <w:ind w:left="284"/>
        <w:jc w:val="left"/>
        <w:rPr>
          <w:color w:val="767171"/>
        </w:rPr>
      </w:pPr>
      <w:r w:rsidRPr="00946305">
        <w:rPr>
          <w:color w:val="767171"/>
        </w:rPr>
        <w:t>Reglamento de Designación de Árbitros para Disputas Tarifarias</w:t>
      </w:r>
      <w:r w:rsidR="009144E8">
        <w:rPr>
          <w:color w:val="767171"/>
        </w:rPr>
        <w:t>.</w:t>
      </w:r>
    </w:p>
    <w:p w14:paraId="4B994319" w14:textId="522A15B2" w:rsidR="00AE6336" w:rsidRPr="00946305" w:rsidRDefault="00AE6336" w:rsidP="00946305">
      <w:pPr>
        <w:pStyle w:val="Prrafodelista"/>
        <w:numPr>
          <w:ilvl w:val="0"/>
          <w:numId w:val="33"/>
        </w:numPr>
        <w:ind w:left="284"/>
        <w:jc w:val="left"/>
        <w:rPr>
          <w:color w:val="767171"/>
        </w:rPr>
      </w:pPr>
      <w:r w:rsidRPr="00946305">
        <w:rPr>
          <w:color w:val="767171"/>
        </w:rPr>
        <w:t>Proceso de Arbitraje de Disputas de peajes de Transmisión</w:t>
      </w:r>
      <w:r w:rsidR="009144E8">
        <w:rPr>
          <w:color w:val="767171"/>
        </w:rPr>
        <w:t>.</w:t>
      </w:r>
    </w:p>
    <w:p w14:paraId="51AFE79A" w14:textId="338F2E66" w:rsidR="00AE6336" w:rsidRPr="00946305" w:rsidRDefault="00AE6336" w:rsidP="00946305">
      <w:pPr>
        <w:pStyle w:val="Prrafodelista"/>
        <w:numPr>
          <w:ilvl w:val="0"/>
          <w:numId w:val="33"/>
        </w:numPr>
        <w:ind w:left="284"/>
        <w:jc w:val="left"/>
        <w:rPr>
          <w:color w:val="767171"/>
        </w:rPr>
      </w:pPr>
      <w:r w:rsidRPr="00946305">
        <w:rPr>
          <w:color w:val="767171"/>
        </w:rPr>
        <w:t>Actualización del Reglamento de Licitaciones</w:t>
      </w:r>
      <w:r w:rsidR="009144E8">
        <w:rPr>
          <w:color w:val="767171"/>
        </w:rPr>
        <w:t>.</w:t>
      </w:r>
      <w:r w:rsidRPr="00946305">
        <w:rPr>
          <w:color w:val="767171"/>
        </w:rPr>
        <w:t xml:space="preserve">  </w:t>
      </w:r>
    </w:p>
    <w:p w14:paraId="6454F0C2" w14:textId="77777777" w:rsidR="00AE6336" w:rsidRPr="00946305" w:rsidRDefault="00AE6336" w:rsidP="00946305">
      <w:pPr>
        <w:pStyle w:val="Prrafodelista"/>
        <w:numPr>
          <w:ilvl w:val="0"/>
          <w:numId w:val="33"/>
        </w:numPr>
        <w:ind w:left="284"/>
        <w:jc w:val="left"/>
        <w:rPr>
          <w:color w:val="767171"/>
        </w:rPr>
      </w:pPr>
      <w:r w:rsidRPr="00946305">
        <w:rPr>
          <w:color w:val="767171"/>
        </w:rPr>
        <w:t>Reglamento de Verificación de Suministros y Acometidas para el Tratamiento de las Denuncias de Fraude Eléctrico en la Relación Empresas Distribuidoras – Usuarios de la Vía Penal.</w:t>
      </w:r>
    </w:p>
    <w:p w14:paraId="29A53F4F" w14:textId="16F3C5A4" w:rsidR="00AE6336" w:rsidRPr="00946305" w:rsidRDefault="00AE6336" w:rsidP="00946305">
      <w:pPr>
        <w:pStyle w:val="Prrafodelista"/>
        <w:numPr>
          <w:ilvl w:val="0"/>
          <w:numId w:val="33"/>
        </w:numPr>
        <w:ind w:left="284"/>
        <w:jc w:val="left"/>
        <w:rPr>
          <w:color w:val="767171"/>
        </w:rPr>
      </w:pPr>
      <w:r w:rsidRPr="00946305">
        <w:rPr>
          <w:color w:val="767171"/>
        </w:rPr>
        <w:t>Reglamento de Verificación de Suministros y Acometidas para el Tratamiento de Irregularidades en las Relaciones Empresas Distribuidoras-Usuarios a través de la Vía Administrativa</w:t>
      </w:r>
      <w:r w:rsidR="009144E8">
        <w:rPr>
          <w:color w:val="767171"/>
        </w:rPr>
        <w:t>.</w:t>
      </w:r>
    </w:p>
    <w:p w14:paraId="437A84B4" w14:textId="20F1DC1A" w:rsidR="00AE6336" w:rsidRPr="00946305" w:rsidRDefault="00AE6336" w:rsidP="00946305">
      <w:pPr>
        <w:pStyle w:val="Prrafodelista"/>
        <w:numPr>
          <w:ilvl w:val="0"/>
          <w:numId w:val="33"/>
        </w:numPr>
        <w:ind w:left="284"/>
        <w:jc w:val="left"/>
        <w:rPr>
          <w:color w:val="767171"/>
        </w:rPr>
      </w:pPr>
      <w:r w:rsidRPr="00946305">
        <w:rPr>
          <w:color w:val="767171"/>
        </w:rPr>
        <w:t>Reglamento para la Presentación, Procesamiento y Decisión de las Reclamaciones Surgidas en la Relación Empresas Distribuidoras – Usuarios a través de la Vía Administrativa</w:t>
      </w:r>
      <w:r w:rsidR="009144E8">
        <w:rPr>
          <w:color w:val="767171"/>
        </w:rPr>
        <w:t>.</w:t>
      </w:r>
    </w:p>
    <w:p w14:paraId="4E41C069" w14:textId="79959BC5" w:rsidR="00AE6336" w:rsidRPr="00946305" w:rsidRDefault="00AE6336" w:rsidP="00946305">
      <w:pPr>
        <w:pStyle w:val="Prrafodelista"/>
        <w:numPr>
          <w:ilvl w:val="0"/>
          <w:numId w:val="33"/>
        </w:numPr>
        <w:ind w:left="284"/>
        <w:jc w:val="left"/>
        <w:rPr>
          <w:color w:val="767171"/>
        </w:rPr>
      </w:pPr>
      <w:r w:rsidRPr="00946305">
        <w:rPr>
          <w:color w:val="767171"/>
        </w:rPr>
        <w:t>Reglamento de Licitaciones para la Compraventa de Energía mediante Contratos de Largo Plazo</w:t>
      </w:r>
      <w:r w:rsidR="009144E8">
        <w:rPr>
          <w:color w:val="767171"/>
        </w:rPr>
        <w:t>.</w:t>
      </w:r>
    </w:p>
    <w:p w14:paraId="7E7BFCC2" w14:textId="62745CD9" w:rsidR="00AE6336" w:rsidRPr="00946305" w:rsidRDefault="00AE6336" w:rsidP="00946305">
      <w:pPr>
        <w:pStyle w:val="Prrafodelista"/>
        <w:numPr>
          <w:ilvl w:val="0"/>
          <w:numId w:val="33"/>
        </w:numPr>
        <w:ind w:left="284"/>
        <w:jc w:val="left"/>
        <w:rPr>
          <w:color w:val="767171"/>
        </w:rPr>
      </w:pPr>
      <w:r w:rsidRPr="00946305">
        <w:rPr>
          <w:color w:val="767171"/>
        </w:rPr>
        <w:t>Actualización Reglamento Alumbrado Vías Públicas.</w:t>
      </w:r>
    </w:p>
    <w:p w14:paraId="4FD50C72" w14:textId="7B85DBF5" w:rsidR="00F343F1" w:rsidRPr="00946305" w:rsidRDefault="006D04C8" w:rsidP="00946305">
      <w:pPr>
        <w:pStyle w:val="Prrafodelista"/>
        <w:numPr>
          <w:ilvl w:val="0"/>
          <w:numId w:val="33"/>
        </w:numPr>
        <w:ind w:left="284"/>
        <w:rPr>
          <w:color w:val="767171"/>
        </w:rPr>
      </w:pPr>
      <w:r w:rsidRPr="00946305">
        <w:rPr>
          <w:color w:val="767171"/>
        </w:rPr>
        <w:t xml:space="preserve">Actualización y mejora del Reglamento de </w:t>
      </w:r>
      <w:r w:rsidR="00914F21" w:rsidRPr="00946305">
        <w:rPr>
          <w:color w:val="767171"/>
        </w:rPr>
        <w:t>Autorización de Usuario no Regulado</w:t>
      </w:r>
      <w:r w:rsidR="009144E8">
        <w:rPr>
          <w:color w:val="767171"/>
        </w:rPr>
        <w:t>.</w:t>
      </w:r>
    </w:p>
    <w:p w14:paraId="01BCA267" w14:textId="210E4D75" w:rsidR="006D04C8" w:rsidRPr="00946305" w:rsidRDefault="006D04C8" w:rsidP="00946305">
      <w:pPr>
        <w:pStyle w:val="Prrafodelista"/>
        <w:numPr>
          <w:ilvl w:val="0"/>
          <w:numId w:val="33"/>
        </w:numPr>
        <w:ind w:left="284"/>
        <w:rPr>
          <w:color w:val="767171"/>
        </w:rPr>
      </w:pPr>
      <w:r w:rsidRPr="00946305">
        <w:rPr>
          <w:color w:val="767171"/>
        </w:rPr>
        <w:t xml:space="preserve">Actualización y mejora </w:t>
      </w:r>
      <w:r w:rsidR="00750300" w:rsidRPr="00946305">
        <w:rPr>
          <w:color w:val="767171"/>
        </w:rPr>
        <w:t xml:space="preserve">del Reglamento de </w:t>
      </w:r>
      <w:r w:rsidRPr="00946305">
        <w:rPr>
          <w:color w:val="767171"/>
        </w:rPr>
        <w:t>Puesta en Servicio Obras Eléctrica (PS)</w:t>
      </w:r>
      <w:r w:rsidR="00750300" w:rsidRPr="00946305">
        <w:rPr>
          <w:color w:val="767171"/>
        </w:rPr>
        <w:t>.</w:t>
      </w:r>
    </w:p>
    <w:p w14:paraId="020C0BAE" w14:textId="77777777" w:rsidR="00E138F6" w:rsidRPr="00946305" w:rsidRDefault="00E138F6" w:rsidP="00946305">
      <w:pPr>
        <w:pStyle w:val="Prrafodelista"/>
        <w:numPr>
          <w:ilvl w:val="0"/>
          <w:numId w:val="33"/>
        </w:numPr>
        <w:ind w:left="284"/>
        <w:rPr>
          <w:color w:val="767171"/>
        </w:rPr>
      </w:pPr>
      <w:r w:rsidRPr="00946305">
        <w:rPr>
          <w:color w:val="767171"/>
        </w:rPr>
        <w:t>Implementación de un sistema de gestión integrado que nos permita lograr las certificaciones ISO 9001:2015 sobre Sistemas de Gestión de Calidad, 37001:2016 sobre Anticorrupción y Ética Empresarial. Y 37301:2021 sobre Sistemas de Gestión de Cumplimiento.</w:t>
      </w:r>
    </w:p>
    <w:p w14:paraId="2E2ABA64" w14:textId="77777777" w:rsidR="00116411" w:rsidRPr="00946305" w:rsidRDefault="00116411" w:rsidP="00946305">
      <w:pPr>
        <w:pStyle w:val="Prrafodelista"/>
        <w:numPr>
          <w:ilvl w:val="0"/>
          <w:numId w:val="33"/>
        </w:numPr>
        <w:ind w:left="284"/>
        <w:rPr>
          <w:color w:val="767171"/>
        </w:rPr>
      </w:pPr>
      <w:r w:rsidRPr="00946305">
        <w:rPr>
          <w:color w:val="767171"/>
        </w:rPr>
        <w:t>Implementación de la Gestión Documental Institucional.</w:t>
      </w:r>
    </w:p>
    <w:p w14:paraId="2CB61073" w14:textId="190A00F7" w:rsidR="00E20816" w:rsidRPr="00946305" w:rsidRDefault="00E20816" w:rsidP="00946305">
      <w:pPr>
        <w:pStyle w:val="Prrafodelista"/>
        <w:numPr>
          <w:ilvl w:val="0"/>
          <w:numId w:val="33"/>
        </w:numPr>
        <w:ind w:left="284"/>
        <w:rPr>
          <w:color w:val="767171"/>
        </w:rPr>
      </w:pPr>
      <w:r w:rsidRPr="00946305">
        <w:rPr>
          <w:color w:val="767171"/>
        </w:rPr>
        <w:t xml:space="preserve">Habilitación de una ventanilla </w:t>
      </w:r>
      <w:r w:rsidR="00946305" w:rsidRPr="00946305">
        <w:rPr>
          <w:color w:val="767171"/>
        </w:rPr>
        <w:t>única</w:t>
      </w:r>
      <w:r w:rsidRPr="00946305">
        <w:rPr>
          <w:color w:val="767171"/>
        </w:rPr>
        <w:t xml:space="preserve"> para las solicitudes de Puesta en Servicio obra </w:t>
      </w:r>
      <w:r w:rsidR="00946305" w:rsidRPr="00946305">
        <w:rPr>
          <w:color w:val="767171"/>
        </w:rPr>
        <w:t>eléctrica</w:t>
      </w:r>
      <w:r w:rsidRPr="00946305">
        <w:rPr>
          <w:color w:val="767171"/>
        </w:rPr>
        <w:t xml:space="preserve"> con un avance de 95% Se encuentra en el proceso de audiencia pública a fijar fecha.</w:t>
      </w:r>
    </w:p>
    <w:p w14:paraId="1E4E684C" w14:textId="77777777" w:rsidR="004C4863" w:rsidRPr="006D0445" w:rsidRDefault="004C4863" w:rsidP="00AE6336">
      <w:pPr>
        <w:pStyle w:val="Prrafodelista"/>
        <w:numPr>
          <w:ilvl w:val="0"/>
          <w:numId w:val="17"/>
        </w:numPr>
        <w:rPr>
          <w:color w:val="767171"/>
        </w:rPr>
        <w:sectPr w:rsidR="004C4863" w:rsidRPr="006D0445" w:rsidSect="002F127B">
          <w:headerReference w:type="default" r:id="rId24"/>
          <w:footerReference w:type="default" r:id="rId25"/>
          <w:pgSz w:w="12240" w:h="20160" w:code="5"/>
          <w:pgMar w:top="1440" w:right="2160" w:bottom="1440" w:left="2160" w:header="720" w:footer="720" w:gutter="0"/>
          <w:cols w:space="720"/>
          <w:docGrid w:linePitch="360"/>
        </w:sectPr>
      </w:pPr>
    </w:p>
    <w:p w14:paraId="51C37823" w14:textId="2041DD43" w:rsidR="003D6947" w:rsidRPr="006D0445" w:rsidRDefault="007824F5" w:rsidP="003D6947">
      <w:pPr>
        <w:pStyle w:val="Ttulo1"/>
      </w:pPr>
      <w:bookmarkStart w:id="86" w:name="_Toc186147732"/>
      <w:r w:rsidRPr="006D0445">
        <w:lastRenderedPageBreak/>
        <w:t>ANEXOS</w:t>
      </w:r>
      <w:bookmarkEnd w:id="86"/>
    </w:p>
    <w:p w14:paraId="1153E9A5" w14:textId="2978BE90" w:rsidR="003D6947" w:rsidRDefault="003D6947" w:rsidP="007B1C12">
      <w:pPr>
        <w:pStyle w:val="Ttulo3"/>
        <w:numPr>
          <w:ilvl w:val="0"/>
          <w:numId w:val="30"/>
        </w:numPr>
        <w:rPr>
          <w:noProof/>
          <w:color w:val="767171"/>
          <w:lang w:val="es-DO"/>
        </w:rPr>
      </w:pPr>
      <w:bookmarkStart w:id="87" w:name="_Toc186147733"/>
      <w:r w:rsidRPr="003D6947">
        <w:rPr>
          <w:noProof/>
          <w:color w:val="767171"/>
          <w:lang w:val="es-DO"/>
        </w:rPr>
        <w:t xml:space="preserve">Matriz de </w:t>
      </w:r>
      <w:r w:rsidR="00A02312">
        <w:rPr>
          <w:noProof/>
          <w:color w:val="767171"/>
          <w:lang w:val="es-DO"/>
        </w:rPr>
        <w:t>logros relevantes</w:t>
      </w:r>
      <w:bookmarkEnd w:id="87"/>
    </w:p>
    <w:p w14:paraId="5344B95A" w14:textId="77777777" w:rsidR="003454FC" w:rsidRDefault="003454FC" w:rsidP="003454FC">
      <w:pPr>
        <w:pStyle w:val="Default"/>
        <w:jc w:val="center"/>
        <w:rPr>
          <w:rFonts w:ascii="Times New Roman" w:hAnsi="Times New Roman" w:cs="Times New Roman"/>
          <w:bCs/>
          <w:color w:val="4C4747"/>
          <w:sz w:val="28"/>
          <w:szCs w:val="28"/>
          <w:lang w:eastAsia="es-DO"/>
        </w:rPr>
      </w:pPr>
      <w:r>
        <w:rPr>
          <w:rFonts w:ascii="Times New Roman" w:hAnsi="Times New Roman" w:cs="Times New Roman"/>
          <w:bCs/>
          <w:color w:val="4C4747"/>
          <w:sz w:val="28"/>
          <w:szCs w:val="28"/>
          <w:lang w:eastAsia="es-DO"/>
        </w:rPr>
        <w:t>(Datos cuantitativos)</w:t>
      </w:r>
    </w:p>
    <w:p w14:paraId="5CD734CE" w14:textId="77777777" w:rsidR="003454FC" w:rsidRDefault="003454FC" w:rsidP="003454FC">
      <w:pPr>
        <w:pStyle w:val="Default"/>
        <w:jc w:val="center"/>
        <w:rPr>
          <w:color w:val="737373"/>
          <w:sz w:val="28"/>
          <w:szCs w:val="28"/>
        </w:rPr>
      </w:pPr>
    </w:p>
    <w:tbl>
      <w:tblPr>
        <w:tblStyle w:val="Tablaconcuadrcula"/>
        <w:tblW w:w="18489" w:type="dxa"/>
        <w:tblInd w:w="-1310" w:type="dxa"/>
        <w:tblLayout w:type="fixed"/>
        <w:tblLook w:val="04A0" w:firstRow="1" w:lastRow="0" w:firstColumn="1" w:lastColumn="0" w:noHBand="0" w:noVBand="1"/>
      </w:tblPr>
      <w:tblGrid>
        <w:gridCol w:w="3006"/>
        <w:gridCol w:w="1191"/>
        <w:gridCol w:w="1191"/>
        <w:gridCol w:w="1191"/>
        <w:gridCol w:w="1191"/>
        <w:gridCol w:w="1191"/>
        <w:gridCol w:w="1191"/>
        <w:gridCol w:w="1191"/>
        <w:gridCol w:w="1191"/>
        <w:gridCol w:w="1191"/>
        <w:gridCol w:w="1191"/>
        <w:gridCol w:w="1191"/>
        <w:gridCol w:w="1191"/>
        <w:gridCol w:w="1191"/>
      </w:tblGrid>
      <w:tr w:rsidR="00CD35CC" w:rsidRPr="006D0445" w14:paraId="00B5A8B4" w14:textId="344257DF" w:rsidTr="00CC0D74">
        <w:trPr>
          <w:trHeight w:val="626"/>
        </w:trPr>
        <w:tc>
          <w:tcPr>
            <w:tcW w:w="3006"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B372A18" w14:textId="77777777" w:rsidR="0029768B" w:rsidRPr="00832511" w:rsidRDefault="0029768B" w:rsidP="00CC0D74">
            <w:pPr>
              <w:spacing w:after="160"/>
              <w:jc w:val="center"/>
              <w:rPr>
                <w:b/>
                <w:bCs/>
                <w:color w:val="FFFFFF" w:themeColor="background1"/>
                <w:sz w:val="20"/>
                <w:szCs w:val="20"/>
                <w:lang w:val="es-ES"/>
              </w:rPr>
            </w:pPr>
            <w:r w:rsidRPr="00832511">
              <w:rPr>
                <w:b/>
                <w:bCs/>
                <w:color w:val="FFFFFF" w:themeColor="background1"/>
                <w:sz w:val="20"/>
                <w:szCs w:val="20"/>
                <w:lang w:val="es-ES"/>
              </w:rPr>
              <w:t>Productos</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6E56BBAC"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ENE</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106AB757"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FEB</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69082FD6"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MAR</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7A201D86"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ABR</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3D199664"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MAY</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19AB45C9"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JUN</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AA0E01F"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JUL</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68C2F6A0" w14:textId="77777777" w:rsidR="0029768B" w:rsidRPr="00CD35CC" w:rsidRDefault="0029768B" w:rsidP="00CC0D74">
            <w:pPr>
              <w:spacing w:after="160"/>
              <w:jc w:val="center"/>
              <w:rPr>
                <w:b/>
                <w:bCs/>
                <w:color w:val="FFFFFF" w:themeColor="background1"/>
                <w:sz w:val="16"/>
                <w:szCs w:val="16"/>
                <w:lang w:val="es-ES"/>
              </w:rPr>
            </w:pPr>
            <w:proofErr w:type="spellStart"/>
            <w:r w:rsidRPr="00CD35CC">
              <w:rPr>
                <w:b/>
                <w:bCs/>
                <w:color w:val="FFFFFF" w:themeColor="background1"/>
                <w:sz w:val="16"/>
                <w:szCs w:val="16"/>
                <w:lang w:val="es-ES"/>
              </w:rPr>
              <w:t>AGO</w:t>
            </w:r>
            <w:proofErr w:type="spellEnd"/>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1A7C5183"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SEPT</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2E4FCBF5" w14:textId="13B5655F"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OCT</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465046C7"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NOV</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10B812CB" w14:textId="77777777" w:rsidR="0029768B" w:rsidRPr="00CD35CC" w:rsidRDefault="0029768B" w:rsidP="00CC0D74">
            <w:pPr>
              <w:spacing w:after="160"/>
              <w:jc w:val="center"/>
              <w:rPr>
                <w:b/>
                <w:bCs/>
                <w:color w:val="FFFFFF" w:themeColor="background1"/>
                <w:sz w:val="16"/>
                <w:szCs w:val="16"/>
                <w:lang w:val="es-ES"/>
              </w:rPr>
            </w:pPr>
            <w:r w:rsidRPr="00CD35CC">
              <w:rPr>
                <w:b/>
                <w:bCs/>
                <w:color w:val="FFFFFF" w:themeColor="background1"/>
                <w:sz w:val="16"/>
                <w:szCs w:val="16"/>
                <w:lang w:val="es-ES"/>
              </w:rPr>
              <w:t>DIC</w:t>
            </w:r>
          </w:p>
        </w:tc>
        <w:tc>
          <w:tcPr>
            <w:tcW w:w="1191" w:type="dxa"/>
            <w:tcBorders>
              <w:top w:val="single" w:sz="4" w:space="0" w:color="auto"/>
              <w:left w:val="single" w:sz="4" w:space="0" w:color="auto"/>
              <w:bottom w:val="single" w:sz="4" w:space="0" w:color="auto"/>
              <w:right w:val="single" w:sz="4" w:space="0" w:color="auto"/>
            </w:tcBorders>
            <w:shd w:val="clear" w:color="auto" w:fill="011C50"/>
            <w:vAlign w:val="center"/>
          </w:tcPr>
          <w:p w14:paraId="2B62DCB6" w14:textId="6D2F1D5C" w:rsidR="0029768B" w:rsidRPr="0029768B" w:rsidRDefault="0029768B" w:rsidP="00CC0D74">
            <w:pPr>
              <w:jc w:val="center"/>
              <w:rPr>
                <w:b/>
                <w:bCs/>
                <w:color w:val="FFFFFF" w:themeColor="background1"/>
                <w:sz w:val="16"/>
                <w:szCs w:val="16"/>
                <w:lang w:val="es-ES"/>
              </w:rPr>
            </w:pPr>
            <w:r w:rsidRPr="0029768B">
              <w:rPr>
                <w:b/>
                <w:bCs/>
                <w:color w:val="FFFFFF" w:themeColor="background1"/>
                <w:sz w:val="16"/>
                <w:szCs w:val="16"/>
                <w:lang w:val="es-ES"/>
              </w:rPr>
              <w:t>Total</w:t>
            </w:r>
          </w:p>
          <w:p w14:paraId="7031D0B6" w14:textId="0ABA06B7" w:rsidR="0029768B" w:rsidRPr="00CD35CC" w:rsidRDefault="0029768B" w:rsidP="00CC0D74">
            <w:pPr>
              <w:jc w:val="center"/>
              <w:rPr>
                <w:b/>
                <w:bCs/>
                <w:color w:val="FFFFFF" w:themeColor="background1"/>
                <w:sz w:val="16"/>
                <w:szCs w:val="16"/>
                <w:lang w:val="es-ES"/>
              </w:rPr>
            </w:pPr>
            <w:r w:rsidRPr="00CD35CC">
              <w:rPr>
                <w:b/>
                <w:bCs/>
                <w:color w:val="FFFFFF" w:themeColor="background1"/>
                <w:sz w:val="16"/>
                <w:szCs w:val="16"/>
                <w:lang w:val="es-ES"/>
              </w:rPr>
              <w:t>año 2024</w:t>
            </w:r>
          </w:p>
        </w:tc>
      </w:tr>
      <w:tr w:rsidR="00CD35CC" w:rsidRPr="006D0445" w14:paraId="594CE444" w14:textId="4220D9FE" w:rsidTr="00A02312">
        <w:trPr>
          <w:trHeight w:val="2103"/>
        </w:trPr>
        <w:tc>
          <w:tcPr>
            <w:tcW w:w="3006" w:type="dxa"/>
            <w:tcBorders>
              <w:top w:val="single" w:sz="4" w:space="0" w:color="auto"/>
              <w:left w:val="single" w:sz="4" w:space="0" w:color="auto"/>
              <w:bottom w:val="single" w:sz="4" w:space="0" w:color="auto"/>
              <w:right w:val="single" w:sz="4" w:space="0" w:color="auto"/>
            </w:tcBorders>
            <w:vAlign w:val="center"/>
            <w:hideMark/>
          </w:tcPr>
          <w:p w14:paraId="5415A249" w14:textId="77777777" w:rsidR="0029768B" w:rsidRPr="003D6947" w:rsidRDefault="0029768B" w:rsidP="003D6947">
            <w:pPr>
              <w:spacing w:after="160"/>
              <w:rPr>
                <w:color w:val="767171"/>
                <w:sz w:val="20"/>
                <w:szCs w:val="20"/>
                <w:lang w:val="es-ES"/>
              </w:rPr>
            </w:pPr>
            <w:r w:rsidRPr="003D6947">
              <w:rPr>
                <w:color w:val="767171"/>
                <w:sz w:val="20"/>
                <w:szCs w:val="20"/>
                <w:lang w:val="es-ES"/>
              </w:rPr>
              <w:t>Agentes regulados y fiscalizados para el desarrollo del sector eléctrico por emisión de normativas, reglamentos, autorizaciones y licencias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CFF9A65" w14:textId="77777777" w:rsidR="0029768B" w:rsidRPr="00A02312" w:rsidRDefault="0029768B" w:rsidP="00A02312">
            <w:pPr>
              <w:spacing w:after="160"/>
              <w:jc w:val="center"/>
              <w:rPr>
                <w:color w:val="767171"/>
                <w:sz w:val="22"/>
                <w:szCs w:val="22"/>
                <w:lang w:val="en-US"/>
              </w:rPr>
            </w:pPr>
            <w:r w:rsidRPr="00A02312">
              <w:rPr>
                <w:color w:val="767171"/>
                <w:sz w:val="22"/>
                <w:szCs w:val="22"/>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4D2EBC2" w14:textId="77777777" w:rsidR="0029768B" w:rsidRPr="00A02312" w:rsidRDefault="0029768B" w:rsidP="00A02312">
            <w:pPr>
              <w:spacing w:after="160"/>
              <w:jc w:val="center"/>
              <w:rPr>
                <w:color w:val="767171"/>
                <w:sz w:val="22"/>
                <w:szCs w:val="22"/>
              </w:rPr>
            </w:pPr>
            <w:r w:rsidRPr="00A02312">
              <w:rPr>
                <w:color w:val="767171"/>
                <w:sz w:val="22"/>
                <w:szCs w:val="22"/>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AAB4DDD" w14:textId="77777777" w:rsidR="0029768B" w:rsidRPr="00A02312" w:rsidRDefault="0029768B" w:rsidP="00A02312">
            <w:pPr>
              <w:spacing w:after="160"/>
              <w:jc w:val="center"/>
              <w:rPr>
                <w:color w:val="767171"/>
                <w:sz w:val="22"/>
                <w:szCs w:val="22"/>
              </w:rPr>
            </w:pPr>
            <w:r w:rsidRPr="00A02312">
              <w:rPr>
                <w:color w:val="767171"/>
                <w:sz w:val="22"/>
                <w:szCs w:val="22"/>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8D6EFB3" w14:textId="77777777" w:rsidR="0029768B" w:rsidRPr="00A02312" w:rsidRDefault="0029768B" w:rsidP="00A02312">
            <w:pPr>
              <w:spacing w:after="160"/>
              <w:jc w:val="center"/>
              <w:rPr>
                <w:color w:val="767171"/>
                <w:sz w:val="22"/>
                <w:szCs w:val="22"/>
              </w:rPr>
            </w:pPr>
            <w:r w:rsidRPr="00A02312">
              <w:rPr>
                <w:color w:val="767171"/>
                <w:sz w:val="22"/>
                <w:szCs w:val="22"/>
              </w:rPr>
              <w:t>4</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8B68CC1" w14:textId="77777777" w:rsidR="0029768B" w:rsidRPr="00A02312" w:rsidRDefault="0029768B" w:rsidP="00A02312">
            <w:pPr>
              <w:spacing w:after="160"/>
              <w:jc w:val="center"/>
              <w:rPr>
                <w:color w:val="767171"/>
                <w:sz w:val="22"/>
                <w:szCs w:val="22"/>
              </w:rPr>
            </w:pPr>
            <w:r w:rsidRPr="00A02312">
              <w:rPr>
                <w:color w:val="767171"/>
                <w:sz w:val="22"/>
                <w:szCs w:val="22"/>
              </w:rPr>
              <w:t>4</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E42A314" w14:textId="77777777" w:rsidR="0029768B" w:rsidRPr="00A02312" w:rsidRDefault="0029768B" w:rsidP="00A02312">
            <w:pPr>
              <w:spacing w:after="160"/>
              <w:jc w:val="center"/>
              <w:rPr>
                <w:color w:val="767171"/>
                <w:sz w:val="22"/>
                <w:szCs w:val="22"/>
              </w:rPr>
            </w:pPr>
            <w:r w:rsidRPr="00A02312">
              <w:rPr>
                <w:color w:val="767171"/>
                <w:sz w:val="22"/>
                <w:szCs w:val="22"/>
              </w:rPr>
              <w:t>4</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D76FD5F" w14:textId="77777777" w:rsidR="0029768B" w:rsidRPr="00A02312" w:rsidRDefault="0029768B" w:rsidP="00A02312">
            <w:pPr>
              <w:spacing w:after="160"/>
              <w:jc w:val="center"/>
              <w:rPr>
                <w:color w:val="767171"/>
                <w:sz w:val="22"/>
                <w:szCs w:val="22"/>
              </w:rPr>
            </w:pPr>
            <w:r w:rsidRPr="00A02312">
              <w:rPr>
                <w:color w:val="767171"/>
                <w:sz w:val="22"/>
                <w:szCs w:val="22"/>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8E30DD0" w14:textId="77777777" w:rsidR="0029768B" w:rsidRPr="00A02312" w:rsidRDefault="0029768B" w:rsidP="00A02312">
            <w:pPr>
              <w:spacing w:after="160"/>
              <w:jc w:val="center"/>
              <w:rPr>
                <w:color w:val="767171"/>
                <w:sz w:val="22"/>
                <w:szCs w:val="22"/>
              </w:rPr>
            </w:pPr>
            <w:r w:rsidRPr="00A02312">
              <w:rPr>
                <w:color w:val="767171"/>
                <w:sz w:val="22"/>
                <w:szCs w:val="22"/>
              </w:rPr>
              <w:t>9</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995B869" w14:textId="77777777" w:rsidR="0029768B" w:rsidRPr="00A02312" w:rsidRDefault="0029768B" w:rsidP="00A02312">
            <w:pPr>
              <w:spacing w:after="160"/>
              <w:jc w:val="center"/>
              <w:rPr>
                <w:color w:val="767171"/>
                <w:sz w:val="22"/>
                <w:szCs w:val="22"/>
              </w:rPr>
            </w:pPr>
            <w:r w:rsidRPr="00A02312">
              <w:rPr>
                <w:color w:val="767171"/>
                <w:sz w:val="22"/>
                <w:szCs w:val="22"/>
              </w:rPr>
              <w:t>8</w:t>
            </w:r>
          </w:p>
        </w:tc>
        <w:tc>
          <w:tcPr>
            <w:tcW w:w="1191" w:type="dxa"/>
            <w:tcBorders>
              <w:top w:val="single" w:sz="4" w:space="0" w:color="auto"/>
              <w:left w:val="single" w:sz="4" w:space="0" w:color="auto"/>
              <w:bottom w:val="single" w:sz="4" w:space="0" w:color="auto"/>
              <w:right w:val="single" w:sz="4" w:space="0" w:color="auto"/>
            </w:tcBorders>
            <w:vAlign w:val="center"/>
          </w:tcPr>
          <w:p w14:paraId="1FD05170" w14:textId="58BDFA56" w:rsidR="0029768B" w:rsidRPr="00A02312" w:rsidRDefault="00E06CEB" w:rsidP="00A02312">
            <w:pPr>
              <w:spacing w:after="160"/>
              <w:jc w:val="center"/>
              <w:rPr>
                <w:color w:val="767171"/>
                <w:sz w:val="22"/>
                <w:szCs w:val="22"/>
              </w:rPr>
            </w:pPr>
            <w:r w:rsidRPr="00A02312">
              <w:rPr>
                <w:color w:val="767171"/>
                <w:sz w:val="22"/>
                <w:szCs w:val="22"/>
              </w:rPr>
              <w:t>6</w:t>
            </w:r>
          </w:p>
        </w:tc>
        <w:tc>
          <w:tcPr>
            <w:tcW w:w="1191" w:type="dxa"/>
            <w:tcBorders>
              <w:top w:val="single" w:sz="4" w:space="0" w:color="auto"/>
              <w:left w:val="single" w:sz="4" w:space="0" w:color="auto"/>
              <w:bottom w:val="single" w:sz="4" w:space="0" w:color="auto"/>
              <w:right w:val="single" w:sz="4" w:space="0" w:color="auto"/>
            </w:tcBorders>
            <w:vAlign w:val="center"/>
          </w:tcPr>
          <w:p w14:paraId="15D0FF7F" w14:textId="0B398EA3" w:rsidR="0029768B" w:rsidRPr="00A02312" w:rsidRDefault="00E06CEB" w:rsidP="00A02312">
            <w:pPr>
              <w:spacing w:after="160"/>
              <w:jc w:val="center"/>
              <w:rPr>
                <w:color w:val="767171"/>
                <w:sz w:val="22"/>
                <w:szCs w:val="22"/>
              </w:rPr>
            </w:pPr>
            <w:r w:rsidRPr="00A02312">
              <w:rPr>
                <w:color w:val="767171"/>
                <w:sz w:val="22"/>
                <w:szCs w:val="22"/>
              </w:rPr>
              <w:t>8</w:t>
            </w:r>
          </w:p>
        </w:tc>
        <w:tc>
          <w:tcPr>
            <w:tcW w:w="1191" w:type="dxa"/>
            <w:tcBorders>
              <w:top w:val="single" w:sz="4" w:space="0" w:color="auto"/>
              <w:left w:val="single" w:sz="4" w:space="0" w:color="auto"/>
              <w:bottom w:val="single" w:sz="4" w:space="0" w:color="auto"/>
              <w:right w:val="single" w:sz="4" w:space="0" w:color="auto"/>
            </w:tcBorders>
            <w:vAlign w:val="center"/>
          </w:tcPr>
          <w:p w14:paraId="0DE65B65" w14:textId="3A21AB14" w:rsidR="0029768B" w:rsidRPr="00A02312" w:rsidRDefault="00E06CEB" w:rsidP="00A02312">
            <w:pPr>
              <w:spacing w:after="160"/>
              <w:jc w:val="center"/>
              <w:rPr>
                <w:color w:val="767171"/>
                <w:sz w:val="22"/>
                <w:szCs w:val="22"/>
              </w:rPr>
            </w:pPr>
            <w:r w:rsidRPr="00A02312">
              <w:rPr>
                <w:color w:val="767171"/>
                <w:sz w:val="22"/>
                <w:szCs w:val="22"/>
              </w:rPr>
              <w:t>2</w:t>
            </w:r>
          </w:p>
        </w:tc>
        <w:tc>
          <w:tcPr>
            <w:tcW w:w="1191" w:type="dxa"/>
            <w:tcBorders>
              <w:top w:val="single" w:sz="4" w:space="0" w:color="auto"/>
              <w:left w:val="single" w:sz="4" w:space="0" w:color="auto"/>
              <w:bottom w:val="single" w:sz="4" w:space="0" w:color="auto"/>
              <w:right w:val="single" w:sz="4" w:space="0" w:color="auto"/>
            </w:tcBorders>
            <w:vAlign w:val="center"/>
          </w:tcPr>
          <w:p w14:paraId="0157B321" w14:textId="5C9A8DCB" w:rsidR="0029768B" w:rsidRPr="00A02312" w:rsidRDefault="00E06CEB" w:rsidP="00A02312">
            <w:pPr>
              <w:jc w:val="center"/>
              <w:rPr>
                <w:color w:val="767171"/>
                <w:sz w:val="22"/>
                <w:szCs w:val="22"/>
              </w:rPr>
            </w:pPr>
            <w:r w:rsidRPr="00A02312">
              <w:rPr>
                <w:color w:val="767171"/>
                <w:sz w:val="22"/>
                <w:szCs w:val="22"/>
              </w:rPr>
              <w:t>61</w:t>
            </w:r>
          </w:p>
        </w:tc>
      </w:tr>
      <w:tr w:rsidR="00CD35CC" w:rsidRPr="006D0445" w14:paraId="5A3333A2" w14:textId="1C7FA1E7" w:rsidTr="00CD35CC">
        <w:trPr>
          <w:trHeight w:val="562"/>
        </w:trPr>
        <w:tc>
          <w:tcPr>
            <w:tcW w:w="3006" w:type="dxa"/>
            <w:tcBorders>
              <w:top w:val="single" w:sz="4" w:space="0" w:color="auto"/>
              <w:left w:val="single" w:sz="4" w:space="0" w:color="auto"/>
              <w:bottom w:val="single" w:sz="4" w:space="0" w:color="auto"/>
              <w:right w:val="single" w:sz="4" w:space="0" w:color="auto"/>
            </w:tcBorders>
            <w:vAlign w:val="center"/>
            <w:hideMark/>
          </w:tcPr>
          <w:p w14:paraId="75DDF5D8" w14:textId="77777777" w:rsidR="00CD35CC" w:rsidRPr="003D6947" w:rsidRDefault="00CD35CC" w:rsidP="00CD35CC">
            <w:pPr>
              <w:spacing w:after="160"/>
              <w:rPr>
                <w:color w:val="767171"/>
                <w:sz w:val="20"/>
                <w:szCs w:val="20"/>
                <w:lang w:val="es-ES"/>
              </w:rPr>
            </w:pPr>
            <w:r w:rsidRPr="003D6947">
              <w:rPr>
                <w:color w:val="767171"/>
                <w:sz w:val="20"/>
                <w:szCs w:val="20"/>
                <w:lang w:val="es-ES"/>
              </w:rPr>
              <w:t>Inversión producto 1</w:t>
            </w:r>
          </w:p>
        </w:tc>
        <w:tc>
          <w:tcPr>
            <w:tcW w:w="1191" w:type="dxa"/>
            <w:tcBorders>
              <w:top w:val="single" w:sz="4" w:space="0" w:color="auto"/>
              <w:left w:val="single" w:sz="4" w:space="0" w:color="auto"/>
              <w:bottom w:val="single" w:sz="4" w:space="0" w:color="auto"/>
              <w:right w:val="single" w:sz="4" w:space="0" w:color="auto"/>
            </w:tcBorders>
            <w:vAlign w:val="bottom"/>
            <w:hideMark/>
          </w:tcPr>
          <w:p w14:paraId="5F2D43F2" w14:textId="1AB0EEF9" w:rsidR="00CD35CC" w:rsidRPr="00CD35CC" w:rsidRDefault="00CD35CC" w:rsidP="00CD35CC">
            <w:pPr>
              <w:spacing w:after="160"/>
              <w:jc w:val="center"/>
              <w:rPr>
                <w:b/>
                <w:bCs/>
                <w:color w:val="767171"/>
                <w:sz w:val="16"/>
                <w:szCs w:val="16"/>
                <w:lang w:val="en-US"/>
              </w:rPr>
            </w:pPr>
            <w:r w:rsidRPr="00CD35CC">
              <w:rPr>
                <w:b/>
                <w:bCs/>
                <w:color w:val="767171"/>
                <w:sz w:val="16"/>
                <w:szCs w:val="16"/>
              </w:rPr>
              <w:t>18,457,624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6948B14" w14:textId="1051AD48" w:rsidR="00CD35CC" w:rsidRPr="00CD35CC" w:rsidRDefault="00CD35CC" w:rsidP="00CD35CC">
            <w:pPr>
              <w:spacing w:after="160"/>
              <w:jc w:val="center"/>
              <w:rPr>
                <w:b/>
                <w:bCs/>
                <w:color w:val="767171"/>
                <w:sz w:val="16"/>
                <w:szCs w:val="16"/>
              </w:rPr>
            </w:pPr>
            <w:r w:rsidRPr="00CD35CC">
              <w:rPr>
                <w:b/>
                <w:bCs/>
                <w:color w:val="767171"/>
                <w:sz w:val="16"/>
                <w:szCs w:val="16"/>
              </w:rPr>
              <w:t>17,457,624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BA87B3E" w14:textId="21F8154A" w:rsidR="00CD35CC" w:rsidRPr="00CD35CC" w:rsidRDefault="00CD35CC" w:rsidP="00CD35CC">
            <w:pPr>
              <w:spacing w:after="160"/>
              <w:jc w:val="center"/>
              <w:rPr>
                <w:b/>
                <w:bCs/>
                <w:color w:val="767171"/>
                <w:sz w:val="16"/>
                <w:szCs w:val="16"/>
              </w:rPr>
            </w:pPr>
            <w:r w:rsidRPr="00CD35CC">
              <w:rPr>
                <w:b/>
                <w:bCs/>
                <w:color w:val="767171"/>
                <w:sz w:val="16"/>
                <w:szCs w:val="16"/>
              </w:rPr>
              <w:t>19,457,624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398CF8D4" w14:textId="7B3500DF" w:rsidR="00CD35CC" w:rsidRPr="00CD35CC" w:rsidRDefault="00CD35CC" w:rsidP="00CD35CC">
            <w:pPr>
              <w:spacing w:after="160"/>
              <w:jc w:val="center"/>
              <w:rPr>
                <w:b/>
                <w:bCs/>
                <w:color w:val="767171"/>
                <w:sz w:val="16"/>
                <w:szCs w:val="16"/>
              </w:rPr>
            </w:pPr>
            <w:r w:rsidRPr="00CD35CC">
              <w:rPr>
                <w:b/>
                <w:bCs/>
                <w:color w:val="767171"/>
                <w:sz w:val="16"/>
                <w:szCs w:val="16"/>
              </w:rPr>
              <w:t>18,457,624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7032A7DE" w14:textId="3CAD4BF0" w:rsidR="00CD35CC" w:rsidRPr="00CD35CC" w:rsidRDefault="00CD35CC" w:rsidP="00CD35CC">
            <w:pPr>
              <w:spacing w:after="160"/>
              <w:jc w:val="center"/>
              <w:rPr>
                <w:b/>
                <w:bCs/>
                <w:color w:val="767171"/>
                <w:sz w:val="16"/>
                <w:szCs w:val="16"/>
              </w:rPr>
            </w:pPr>
            <w:r w:rsidRPr="00CD35CC">
              <w:rPr>
                <w:b/>
                <w:bCs/>
                <w:color w:val="767171"/>
                <w:sz w:val="16"/>
                <w:szCs w:val="16"/>
              </w:rPr>
              <w:t>17,457,624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25EDB18" w14:textId="42B4DFEF" w:rsidR="00CD35CC" w:rsidRPr="00CD35CC" w:rsidRDefault="00CD35CC" w:rsidP="00CD35CC">
            <w:pPr>
              <w:spacing w:after="160"/>
              <w:jc w:val="center"/>
              <w:rPr>
                <w:b/>
                <w:bCs/>
                <w:color w:val="767171"/>
                <w:sz w:val="16"/>
                <w:szCs w:val="16"/>
              </w:rPr>
            </w:pPr>
            <w:r w:rsidRPr="00CD35CC">
              <w:rPr>
                <w:b/>
                <w:bCs/>
                <w:color w:val="767171"/>
                <w:sz w:val="16"/>
                <w:szCs w:val="16"/>
              </w:rPr>
              <w:t>19,457,624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C0813D7" w14:textId="7D0417F4" w:rsidR="00CD35CC" w:rsidRPr="00CD35CC" w:rsidRDefault="00CD35CC" w:rsidP="00CD35CC">
            <w:pPr>
              <w:spacing w:after="160"/>
              <w:jc w:val="center"/>
              <w:rPr>
                <w:b/>
                <w:bCs/>
                <w:color w:val="767171"/>
                <w:sz w:val="16"/>
                <w:szCs w:val="16"/>
              </w:rPr>
            </w:pPr>
            <w:r w:rsidRPr="00CD35CC">
              <w:rPr>
                <w:b/>
                <w:bCs/>
                <w:color w:val="767171"/>
                <w:sz w:val="16"/>
                <w:szCs w:val="16"/>
              </w:rPr>
              <w:t>11,629,758.82</w:t>
            </w:r>
          </w:p>
        </w:tc>
        <w:tc>
          <w:tcPr>
            <w:tcW w:w="1191" w:type="dxa"/>
            <w:tcBorders>
              <w:top w:val="single" w:sz="4" w:space="0" w:color="auto"/>
              <w:left w:val="single" w:sz="4" w:space="0" w:color="auto"/>
              <w:bottom w:val="single" w:sz="4" w:space="0" w:color="auto"/>
              <w:right w:val="single" w:sz="4" w:space="0" w:color="auto"/>
            </w:tcBorders>
            <w:vAlign w:val="bottom"/>
            <w:hideMark/>
          </w:tcPr>
          <w:p w14:paraId="0CEDFD12" w14:textId="087D4AC9" w:rsidR="00CD35CC" w:rsidRPr="00CD35CC" w:rsidRDefault="00CD35CC" w:rsidP="00CD35CC">
            <w:pPr>
              <w:spacing w:after="160"/>
              <w:jc w:val="center"/>
              <w:rPr>
                <w:b/>
                <w:bCs/>
                <w:color w:val="767171"/>
                <w:sz w:val="16"/>
                <w:szCs w:val="16"/>
              </w:rPr>
            </w:pPr>
            <w:r>
              <w:rPr>
                <w:b/>
                <w:bCs/>
                <w:color w:val="767171"/>
                <w:sz w:val="16"/>
                <w:szCs w:val="16"/>
              </w:rPr>
              <w:t>11,552,811.32</w:t>
            </w:r>
          </w:p>
        </w:tc>
        <w:tc>
          <w:tcPr>
            <w:tcW w:w="1191" w:type="dxa"/>
            <w:tcBorders>
              <w:top w:val="single" w:sz="4" w:space="0" w:color="auto"/>
              <w:left w:val="single" w:sz="4" w:space="0" w:color="auto"/>
              <w:bottom w:val="single" w:sz="4" w:space="0" w:color="auto"/>
              <w:right w:val="single" w:sz="4" w:space="0" w:color="auto"/>
            </w:tcBorders>
            <w:vAlign w:val="bottom"/>
            <w:hideMark/>
          </w:tcPr>
          <w:p w14:paraId="211246A0" w14:textId="6C5FF04B" w:rsidR="00CD35CC" w:rsidRPr="00CD35CC" w:rsidRDefault="00CD35CC" w:rsidP="00CD35CC">
            <w:pPr>
              <w:spacing w:after="160"/>
              <w:jc w:val="center"/>
              <w:rPr>
                <w:b/>
                <w:bCs/>
                <w:color w:val="767171"/>
                <w:sz w:val="16"/>
                <w:szCs w:val="16"/>
              </w:rPr>
            </w:pPr>
            <w:r w:rsidRPr="00CD35CC">
              <w:rPr>
                <w:b/>
                <w:bCs/>
                <w:color w:val="767171"/>
                <w:sz w:val="16"/>
                <w:szCs w:val="16"/>
              </w:rPr>
              <w:t>11,446,334.06</w:t>
            </w:r>
          </w:p>
        </w:tc>
        <w:tc>
          <w:tcPr>
            <w:tcW w:w="1191" w:type="dxa"/>
            <w:tcBorders>
              <w:top w:val="single" w:sz="4" w:space="0" w:color="auto"/>
              <w:left w:val="single" w:sz="4" w:space="0" w:color="auto"/>
              <w:bottom w:val="single" w:sz="4" w:space="0" w:color="auto"/>
              <w:right w:val="single" w:sz="4" w:space="0" w:color="auto"/>
            </w:tcBorders>
            <w:vAlign w:val="bottom"/>
            <w:hideMark/>
          </w:tcPr>
          <w:p w14:paraId="552C2C9C" w14:textId="5B0512AB" w:rsidR="00CD35CC" w:rsidRPr="00CD35CC" w:rsidRDefault="00CD35CC" w:rsidP="00CD35CC">
            <w:pPr>
              <w:spacing w:after="160"/>
              <w:jc w:val="center"/>
              <w:rPr>
                <w:b/>
                <w:bCs/>
                <w:color w:val="767171"/>
                <w:sz w:val="16"/>
                <w:szCs w:val="16"/>
              </w:rPr>
            </w:pPr>
            <w:r>
              <w:rPr>
                <w:b/>
                <w:bCs/>
                <w:color w:val="767171"/>
                <w:sz w:val="16"/>
                <w:szCs w:val="16"/>
              </w:rPr>
              <w:t>11,262,664.70</w:t>
            </w:r>
          </w:p>
        </w:tc>
        <w:tc>
          <w:tcPr>
            <w:tcW w:w="1191" w:type="dxa"/>
            <w:tcBorders>
              <w:top w:val="single" w:sz="4" w:space="0" w:color="auto"/>
              <w:left w:val="single" w:sz="4" w:space="0" w:color="auto"/>
              <w:bottom w:val="single" w:sz="4" w:space="0" w:color="auto"/>
              <w:right w:val="single" w:sz="4" w:space="0" w:color="auto"/>
            </w:tcBorders>
            <w:vAlign w:val="bottom"/>
            <w:hideMark/>
          </w:tcPr>
          <w:p w14:paraId="1AB83743" w14:textId="4C64F535" w:rsidR="00CD35CC" w:rsidRPr="00CD35CC" w:rsidRDefault="00CD35CC" w:rsidP="00CD35CC">
            <w:pPr>
              <w:spacing w:after="160"/>
              <w:jc w:val="center"/>
              <w:rPr>
                <w:b/>
                <w:bCs/>
                <w:color w:val="767171"/>
                <w:sz w:val="16"/>
                <w:szCs w:val="16"/>
              </w:rPr>
            </w:pPr>
            <w:r w:rsidRPr="00CD35CC">
              <w:rPr>
                <w:b/>
                <w:bCs/>
                <w:color w:val="767171"/>
                <w:sz w:val="16"/>
                <w:szCs w:val="16"/>
              </w:rPr>
              <w:t>11,253,554.69</w:t>
            </w:r>
          </w:p>
        </w:tc>
        <w:tc>
          <w:tcPr>
            <w:tcW w:w="1191" w:type="dxa"/>
            <w:tcBorders>
              <w:top w:val="single" w:sz="4" w:space="0" w:color="auto"/>
              <w:left w:val="single" w:sz="4" w:space="0" w:color="auto"/>
              <w:bottom w:val="single" w:sz="4" w:space="0" w:color="auto"/>
              <w:right w:val="single" w:sz="4" w:space="0" w:color="auto"/>
            </w:tcBorders>
            <w:vAlign w:val="bottom"/>
            <w:hideMark/>
          </w:tcPr>
          <w:p w14:paraId="282CCFF8" w14:textId="431F63EA" w:rsidR="00CD35CC" w:rsidRPr="00CD35CC" w:rsidRDefault="00CD35CC" w:rsidP="00CD35CC">
            <w:pPr>
              <w:spacing w:after="160"/>
              <w:jc w:val="center"/>
              <w:rPr>
                <w:b/>
                <w:bCs/>
                <w:color w:val="767171"/>
                <w:sz w:val="16"/>
                <w:szCs w:val="16"/>
              </w:rPr>
            </w:pPr>
            <w:r>
              <w:rPr>
                <w:b/>
                <w:bCs/>
                <w:color w:val="767171"/>
                <w:sz w:val="16"/>
                <w:szCs w:val="16"/>
              </w:rPr>
              <w:t>11,344,942.89</w:t>
            </w:r>
          </w:p>
        </w:tc>
        <w:tc>
          <w:tcPr>
            <w:tcW w:w="1191" w:type="dxa"/>
            <w:tcBorders>
              <w:top w:val="single" w:sz="4" w:space="0" w:color="auto"/>
              <w:left w:val="single" w:sz="4" w:space="0" w:color="auto"/>
              <w:bottom w:val="single" w:sz="4" w:space="0" w:color="auto"/>
              <w:right w:val="single" w:sz="4" w:space="0" w:color="auto"/>
            </w:tcBorders>
            <w:vAlign w:val="center"/>
          </w:tcPr>
          <w:p w14:paraId="6772D523" w14:textId="4076A740" w:rsidR="00CD35CC" w:rsidRPr="00CD35CC" w:rsidRDefault="00CD35CC" w:rsidP="00CD35CC">
            <w:pPr>
              <w:jc w:val="center"/>
              <w:rPr>
                <w:b/>
                <w:bCs/>
                <w:color w:val="767171"/>
                <w:sz w:val="16"/>
                <w:szCs w:val="16"/>
              </w:rPr>
            </w:pPr>
            <w:r w:rsidRPr="00CD35CC">
              <w:rPr>
                <w:b/>
                <w:bCs/>
                <w:color w:val="767171"/>
                <w:sz w:val="16"/>
                <w:szCs w:val="16"/>
              </w:rPr>
              <w:t>179,235,810</w:t>
            </w:r>
          </w:p>
        </w:tc>
      </w:tr>
      <w:tr w:rsidR="00CD35CC" w:rsidRPr="006D0445" w14:paraId="3DF0EAF9" w14:textId="3B678A3A" w:rsidTr="00CD35CC">
        <w:trPr>
          <w:trHeight w:val="1981"/>
        </w:trPr>
        <w:tc>
          <w:tcPr>
            <w:tcW w:w="3006" w:type="dxa"/>
            <w:tcBorders>
              <w:top w:val="single" w:sz="4" w:space="0" w:color="auto"/>
              <w:left w:val="single" w:sz="4" w:space="0" w:color="auto"/>
              <w:bottom w:val="single" w:sz="4" w:space="0" w:color="auto"/>
              <w:right w:val="single" w:sz="4" w:space="0" w:color="auto"/>
            </w:tcBorders>
            <w:vAlign w:val="center"/>
            <w:hideMark/>
          </w:tcPr>
          <w:p w14:paraId="7950C62F" w14:textId="77777777" w:rsidR="0029768B" w:rsidRPr="003D6947" w:rsidRDefault="0029768B" w:rsidP="003D6947">
            <w:pPr>
              <w:spacing w:after="160"/>
              <w:rPr>
                <w:color w:val="767171"/>
                <w:sz w:val="20"/>
                <w:szCs w:val="20"/>
                <w:lang w:val="es-ES"/>
              </w:rPr>
            </w:pPr>
            <w:r w:rsidRPr="003D6947">
              <w:rPr>
                <w:color w:val="767171"/>
                <w:sz w:val="20"/>
                <w:szCs w:val="20"/>
                <w:lang w:val="es-ES"/>
              </w:rPr>
              <w:t>Consumidores del servicio eléctrico reciben atención a sus reclamos en contra de empresas distribuidoras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ACFEE57" w14:textId="77777777" w:rsidR="0029768B" w:rsidRPr="00A02312" w:rsidRDefault="0029768B" w:rsidP="00CD35CC">
            <w:pPr>
              <w:spacing w:after="160"/>
              <w:jc w:val="center"/>
              <w:rPr>
                <w:color w:val="767171"/>
                <w:sz w:val="22"/>
                <w:szCs w:val="22"/>
                <w:lang w:val="en-US"/>
              </w:rPr>
            </w:pPr>
            <w:r w:rsidRPr="00A02312">
              <w:rPr>
                <w:color w:val="767171"/>
                <w:sz w:val="22"/>
                <w:szCs w:val="22"/>
              </w:rPr>
              <w:t>3,996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F73D6D" w14:textId="77777777" w:rsidR="0029768B" w:rsidRPr="00A02312" w:rsidRDefault="0029768B" w:rsidP="00CD35CC">
            <w:pPr>
              <w:spacing w:after="160"/>
              <w:jc w:val="center"/>
              <w:rPr>
                <w:color w:val="767171"/>
                <w:sz w:val="22"/>
                <w:szCs w:val="22"/>
              </w:rPr>
            </w:pPr>
            <w:r w:rsidRPr="00A02312">
              <w:rPr>
                <w:color w:val="767171"/>
                <w:sz w:val="22"/>
                <w:szCs w:val="22"/>
              </w:rPr>
              <w:t>3,998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8FC2C73" w14:textId="77777777" w:rsidR="0029768B" w:rsidRPr="00A02312" w:rsidRDefault="0029768B" w:rsidP="00CD35CC">
            <w:pPr>
              <w:spacing w:after="160"/>
              <w:jc w:val="center"/>
              <w:rPr>
                <w:color w:val="767171"/>
                <w:sz w:val="22"/>
                <w:szCs w:val="22"/>
              </w:rPr>
            </w:pPr>
            <w:r w:rsidRPr="00A02312">
              <w:rPr>
                <w:color w:val="767171"/>
                <w:sz w:val="22"/>
                <w:szCs w:val="22"/>
              </w:rPr>
              <w:t>3,996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D423E45" w14:textId="77777777" w:rsidR="0029768B" w:rsidRPr="00A02312" w:rsidRDefault="0029768B" w:rsidP="00CD35CC">
            <w:pPr>
              <w:spacing w:after="160"/>
              <w:jc w:val="center"/>
              <w:rPr>
                <w:color w:val="767171"/>
                <w:sz w:val="22"/>
                <w:szCs w:val="22"/>
              </w:rPr>
            </w:pPr>
            <w:r w:rsidRPr="00A02312">
              <w:rPr>
                <w:color w:val="767171"/>
                <w:sz w:val="22"/>
                <w:szCs w:val="22"/>
              </w:rPr>
              <w:t>5,781</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5BDF10" w14:textId="77777777" w:rsidR="0029768B" w:rsidRPr="00A02312" w:rsidRDefault="0029768B" w:rsidP="00CD35CC">
            <w:pPr>
              <w:spacing w:after="160"/>
              <w:jc w:val="center"/>
              <w:rPr>
                <w:color w:val="767171"/>
                <w:sz w:val="22"/>
                <w:szCs w:val="22"/>
              </w:rPr>
            </w:pPr>
            <w:r w:rsidRPr="00A02312">
              <w:rPr>
                <w:color w:val="767171"/>
                <w:sz w:val="22"/>
                <w:szCs w:val="22"/>
              </w:rPr>
              <w:t>5,782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C896EB5" w14:textId="66365DA1" w:rsidR="0029768B" w:rsidRPr="00A02312" w:rsidRDefault="0029768B" w:rsidP="00CD35CC">
            <w:pPr>
              <w:spacing w:after="160"/>
              <w:jc w:val="center"/>
              <w:rPr>
                <w:color w:val="767171"/>
                <w:sz w:val="22"/>
                <w:szCs w:val="22"/>
              </w:rPr>
            </w:pPr>
            <w:r w:rsidRPr="00A02312">
              <w:rPr>
                <w:color w:val="767171"/>
                <w:sz w:val="22"/>
                <w:szCs w:val="22"/>
              </w:rPr>
              <w:t>5,035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F69065E" w14:textId="77777777" w:rsidR="0029768B" w:rsidRPr="00A02312" w:rsidRDefault="0029768B" w:rsidP="00CD35CC">
            <w:pPr>
              <w:spacing w:after="160"/>
              <w:jc w:val="center"/>
              <w:rPr>
                <w:color w:val="767171"/>
                <w:sz w:val="22"/>
                <w:szCs w:val="22"/>
              </w:rPr>
            </w:pPr>
            <w:r w:rsidRPr="00A02312">
              <w:rPr>
                <w:color w:val="767171"/>
                <w:sz w:val="22"/>
                <w:szCs w:val="22"/>
              </w:rPr>
              <w:t>8,307</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B2644A7" w14:textId="77777777" w:rsidR="0029768B" w:rsidRPr="00A02312" w:rsidRDefault="0029768B" w:rsidP="00CD35CC">
            <w:pPr>
              <w:spacing w:after="160"/>
              <w:jc w:val="center"/>
              <w:rPr>
                <w:color w:val="767171"/>
                <w:sz w:val="22"/>
                <w:szCs w:val="22"/>
              </w:rPr>
            </w:pPr>
            <w:r w:rsidRPr="00A02312">
              <w:rPr>
                <w:color w:val="767171"/>
                <w:sz w:val="22"/>
                <w:szCs w:val="22"/>
              </w:rPr>
              <w:t>8,635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62481EC" w14:textId="77777777" w:rsidR="0029768B" w:rsidRPr="00A02312" w:rsidRDefault="0029768B" w:rsidP="00CD35CC">
            <w:pPr>
              <w:spacing w:after="160"/>
              <w:jc w:val="center"/>
              <w:rPr>
                <w:color w:val="767171"/>
                <w:sz w:val="22"/>
                <w:szCs w:val="22"/>
              </w:rPr>
            </w:pPr>
            <w:r w:rsidRPr="00A02312">
              <w:rPr>
                <w:color w:val="767171"/>
                <w:sz w:val="22"/>
                <w:szCs w:val="22"/>
              </w:rPr>
              <w:t>9,603</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9930F8" w14:textId="65DA5683" w:rsidR="0029768B" w:rsidRPr="00A02312" w:rsidRDefault="0029768B" w:rsidP="00CD35CC">
            <w:pPr>
              <w:spacing w:after="160"/>
              <w:jc w:val="center"/>
              <w:rPr>
                <w:color w:val="767171"/>
                <w:sz w:val="22"/>
                <w:szCs w:val="22"/>
              </w:rPr>
            </w:pPr>
            <w:r w:rsidRPr="00A02312">
              <w:rPr>
                <w:color w:val="767171"/>
                <w:sz w:val="22"/>
                <w:szCs w:val="22"/>
              </w:rPr>
              <w:t>10,293</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CF88C36" w14:textId="1B249EA8" w:rsidR="0029768B" w:rsidRPr="00A02312" w:rsidRDefault="0029768B" w:rsidP="00CD35CC">
            <w:pPr>
              <w:spacing w:after="160"/>
              <w:jc w:val="center"/>
              <w:rPr>
                <w:color w:val="767171"/>
                <w:sz w:val="22"/>
                <w:szCs w:val="22"/>
              </w:rPr>
            </w:pPr>
            <w:r w:rsidRPr="00A02312">
              <w:rPr>
                <w:color w:val="767171"/>
                <w:sz w:val="22"/>
                <w:szCs w:val="22"/>
              </w:rPr>
              <w:t>8,836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627BFAC" w14:textId="375A6618" w:rsidR="0029768B" w:rsidRPr="00A02312" w:rsidRDefault="00633300" w:rsidP="00CD35CC">
            <w:pPr>
              <w:spacing w:after="160"/>
              <w:jc w:val="center"/>
              <w:rPr>
                <w:color w:val="767171"/>
                <w:sz w:val="22"/>
                <w:szCs w:val="22"/>
              </w:rPr>
            </w:pPr>
            <w:r>
              <w:rPr>
                <w:color w:val="767171"/>
                <w:sz w:val="22"/>
                <w:szCs w:val="22"/>
              </w:rPr>
              <w:t>4962</w:t>
            </w:r>
            <w:r w:rsidR="00BC70BC">
              <w:rPr>
                <w:color w:val="767171"/>
                <w:sz w:val="22"/>
                <w:szCs w:val="22"/>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14:paraId="0E2EA173" w14:textId="7D3529FA" w:rsidR="0029768B" w:rsidRPr="00A02312" w:rsidRDefault="00633300" w:rsidP="00CD35CC">
            <w:pPr>
              <w:jc w:val="center"/>
              <w:rPr>
                <w:color w:val="767171"/>
                <w:sz w:val="22"/>
                <w:szCs w:val="22"/>
              </w:rPr>
            </w:pPr>
            <w:r>
              <w:rPr>
                <w:color w:val="767171"/>
                <w:sz w:val="22"/>
                <w:szCs w:val="22"/>
              </w:rPr>
              <w:t>79,224</w:t>
            </w:r>
          </w:p>
        </w:tc>
      </w:tr>
      <w:tr w:rsidR="00CD35CC" w:rsidRPr="006D0445" w14:paraId="222EE34B" w14:textId="2DF46C1B" w:rsidTr="00CD35CC">
        <w:trPr>
          <w:trHeight w:val="562"/>
        </w:trPr>
        <w:tc>
          <w:tcPr>
            <w:tcW w:w="3006" w:type="dxa"/>
            <w:tcBorders>
              <w:top w:val="single" w:sz="4" w:space="0" w:color="auto"/>
              <w:left w:val="single" w:sz="4" w:space="0" w:color="auto"/>
              <w:bottom w:val="single" w:sz="4" w:space="0" w:color="auto"/>
              <w:right w:val="single" w:sz="4" w:space="0" w:color="auto"/>
            </w:tcBorders>
            <w:vAlign w:val="center"/>
            <w:hideMark/>
          </w:tcPr>
          <w:p w14:paraId="5E7322DB" w14:textId="77777777" w:rsidR="00CD35CC" w:rsidRPr="003D6947" w:rsidRDefault="00CD35CC" w:rsidP="00CD35CC">
            <w:pPr>
              <w:spacing w:after="160"/>
              <w:rPr>
                <w:color w:val="767171"/>
                <w:sz w:val="20"/>
                <w:szCs w:val="20"/>
                <w:lang w:val="es-ES"/>
              </w:rPr>
            </w:pPr>
            <w:r w:rsidRPr="003D6947">
              <w:rPr>
                <w:color w:val="767171"/>
                <w:sz w:val="20"/>
                <w:szCs w:val="20"/>
                <w:lang w:val="es-ES"/>
              </w:rPr>
              <w:t>Inversión producto II</w:t>
            </w:r>
          </w:p>
        </w:tc>
        <w:tc>
          <w:tcPr>
            <w:tcW w:w="1191" w:type="dxa"/>
            <w:tcBorders>
              <w:top w:val="single" w:sz="4" w:space="0" w:color="auto"/>
              <w:left w:val="single" w:sz="4" w:space="0" w:color="auto"/>
              <w:bottom w:val="single" w:sz="4" w:space="0" w:color="auto"/>
              <w:right w:val="single" w:sz="4" w:space="0" w:color="auto"/>
            </w:tcBorders>
            <w:vAlign w:val="bottom"/>
            <w:hideMark/>
          </w:tcPr>
          <w:p w14:paraId="020D0195" w14:textId="4F695C9F" w:rsidR="00CD35CC" w:rsidRPr="00C830E8" w:rsidRDefault="00CD35CC" w:rsidP="00CD35CC">
            <w:pPr>
              <w:spacing w:after="160"/>
              <w:jc w:val="center"/>
              <w:rPr>
                <w:b/>
                <w:bCs/>
                <w:color w:val="767171"/>
                <w:sz w:val="16"/>
                <w:szCs w:val="16"/>
              </w:rPr>
            </w:pPr>
            <w:r w:rsidRPr="00C830E8">
              <w:rPr>
                <w:b/>
                <w:bCs/>
                <w:color w:val="767171"/>
                <w:sz w:val="16"/>
                <w:szCs w:val="16"/>
              </w:rPr>
              <w:t>14,994,115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48025252" w14:textId="2EF8240F" w:rsidR="00CD35CC" w:rsidRPr="00C830E8" w:rsidRDefault="00CD35CC" w:rsidP="00CD35CC">
            <w:pPr>
              <w:spacing w:after="160"/>
              <w:jc w:val="center"/>
              <w:rPr>
                <w:b/>
                <w:bCs/>
                <w:color w:val="767171"/>
                <w:sz w:val="16"/>
                <w:szCs w:val="16"/>
              </w:rPr>
            </w:pPr>
            <w:r w:rsidRPr="00C830E8">
              <w:rPr>
                <w:b/>
                <w:bCs/>
                <w:color w:val="767171"/>
                <w:sz w:val="16"/>
                <w:szCs w:val="16"/>
              </w:rPr>
              <w:t>12,994,115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1C1CFF8A" w14:textId="1BB82CCF" w:rsidR="00CD35CC" w:rsidRPr="00C830E8" w:rsidRDefault="00CD35CC" w:rsidP="00CD35CC">
            <w:pPr>
              <w:spacing w:after="160"/>
              <w:jc w:val="center"/>
              <w:rPr>
                <w:b/>
                <w:bCs/>
                <w:color w:val="767171"/>
                <w:sz w:val="16"/>
                <w:szCs w:val="16"/>
              </w:rPr>
            </w:pPr>
            <w:r w:rsidRPr="00C830E8">
              <w:rPr>
                <w:b/>
                <w:bCs/>
                <w:color w:val="767171"/>
                <w:sz w:val="16"/>
                <w:szCs w:val="16"/>
              </w:rPr>
              <w:t>16,994,115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1F842342" w14:textId="095AB7E9" w:rsidR="00CD35CC" w:rsidRPr="00C830E8" w:rsidRDefault="00CD35CC" w:rsidP="00CD35CC">
            <w:pPr>
              <w:spacing w:after="160"/>
              <w:jc w:val="center"/>
              <w:rPr>
                <w:b/>
                <w:bCs/>
                <w:color w:val="767171"/>
                <w:sz w:val="16"/>
                <w:szCs w:val="16"/>
              </w:rPr>
            </w:pPr>
            <w:r w:rsidRPr="00C830E8">
              <w:rPr>
                <w:b/>
                <w:bCs/>
                <w:color w:val="767171"/>
                <w:sz w:val="16"/>
                <w:szCs w:val="16"/>
              </w:rPr>
              <w:t>14,994,115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2B495173" w14:textId="6727FBDE" w:rsidR="00CD35CC" w:rsidRPr="00C830E8" w:rsidRDefault="00CD35CC" w:rsidP="00CD35CC">
            <w:pPr>
              <w:spacing w:after="160"/>
              <w:jc w:val="center"/>
              <w:rPr>
                <w:b/>
                <w:bCs/>
                <w:color w:val="767171"/>
                <w:sz w:val="16"/>
                <w:szCs w:val="16"/>
              </w:rPr>
            </w:pPr>
            <w:r w:rsidRPr="00C830E8">
              <w:rPr>
                <w:b/>
                <w:bCs/>
                <w:color w:val="767171"/>
                <w:sz w:val="16"/>
                <w:szCs w:val="16"/>
              </w:rPr>
              <w:t>12,994,115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36C684A4" w14:textId="1D8B691E" w:rsidR="00CD35CC" w:rsidRPr="00C830E8" w:rsidRDefault="00CD35CC" w:rsidP="00CD35CC">
            <w:pPr>
              <w:spacing w:after="160"/>
              <w:jc w:val="center"/>
              <w:rPr>
                <w:b/>
                <w:bCs/>
                <w:color w:val="767171"/>
                <w:sz w:val="16"/>
                <w:szCs w:val="16"/>
              </w:rPr>
            </w:pPr>
            <w:r w:rsidRPr="00C830E8">
              <w:rPr>
                <w:b/>
                <w:bCs/>
                <w:color w:val="767171"/>
                <w:sz w:val="16"/>
                <w:szCs w:val="16"/>
              </w:rPr>
              <w:t>16,994,115</w:t>
            </w:r>
          </w:p>
        </w:tc>
        <w:tc>
          <w:tcPr>
            <w:tcW w:w="1191" w:type="dxa"/>
            <w:tcBorders>
              <w:top w:val="single" w:sz="4" w:space="0" w:color="auto"/>
              <w:left w:val="single" w:sz="4" w:space="0" w:color="auto"/>
              <w:bottom w:val="single" w:sz="4" w:space="0" w:color="auto"/>
              <w:right w:val="single" w:sz="4" w:space="0" w:color="auto"/>
            </w:tcBorders>
            <w:vAlign w:val="bottom"/>
            <w:hideMark/>
          </w:tcPr>
          <w:p w14:paraId="78DB5593" w14:textId="73539475" w:rsidR="00CD35CC" w:rsidRPr="00C830E8" w:rsidRDefault="00CD35CC" w:rsidP="00CD35CC">
            <w:pPr>
              <w:spacing w:after="160"/>
              <w:jc w:val="center"/>
              <w:rPr>
                <w:b/>
                <w:bCs/>
                <w:color w:val="767171"/>
                <w:sz w:val="16"/>
                <w:szCs w:val="16"/>
              </w:rPr>
            </w:pPr>
            <w:r w:rsidRPr="00C830E8">
              <w:rPr>
                <w:b/>
                <w:bCs/>
                <w:color w:val="767171"/>
                <w:sz w:val="16"/>
                <w:szCs w:val="16"/>
              </w:rPr>
              <w:t>14,854,104.06</w:t>
            </w:r>
          </w:p>
        </w:tc>
        <w:tc>
          <w:tcPr>
            <w:tcW w:w="1191" w:type="dxa"/>
            <w:tcBorders>
              <w:top w:val="single" w:sz="4" w:space="0" w:color="auto"/>
              <w:left w:val="single" w:sz="4" w:space="0" w:color="auto"/>
              <w:bottom w:val="single" w:sz="4" w:space="0" w:color="auto"/>
              <w:right w:val="single" w:sz="4" w:space="0" w:color="auto"/>
            </w:tcBorders>
            <w:vAlign w:val="bottom"/>
            <w:hideMark/>
          </w:tcPr>
          <w:p w14:paraId="116EEBFB" w14:textId="2CCC0D45" w:rsidR="00CD35CC" w:rsidRPr="00C830E8" w:rsidRDefault="00CD35CC" w:rsidP="00CD35CC">
            <w:pPr>
              <w:spacing w:after="160"/>
              <w:jc w:val="center"/>
              <w:rPr>
                <w:b/>
                <w:bCs/>
                <w:color w:val="767171"/>
                <w:sz w:val="16"/>
                <w:szCs w:val="16"/>
              </w:rPr>
            </w:pPr>
            <w:r w:rsidRPr="00C830E8">
              <w:rPr>
                <w:b/>
                <w:bCs/>
                <w:color w:val="767171"/>
                <w:sz w:val="16"/>
                <w:szCs w:val="16"/>
              </w:rPr>
              <w:t>15,075,562.34</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75FAE29" w14:textId="0E8BD454" w:rsidR="00CD35CC" w:rsidRPr="00C830E8" w:rsidRDefault="00CD35CC" w:rsidP="00CD35CC">
            <w:pPr>
              <w:spacing w:after="160"/>
              <w:jc w:val="center"/>
              <w:rPr>
                <w:b/>
                <w:bCs/>
                <w:color w:val="767171"/>
                <w:sz w:val="16"/>
                <w:szCs w:val="16"/>
              </w:rPr>
            </w:pPr>
            <w:r w:rsidRPr="00C830E8">
              <w:rPr>
                <w:b/>
                <w:bCs/>
                <w:color w:val="767171"/>
                <w:sz w:val="16"/>
                <w:szCs w:val="16"/>
              </w:rPr>
              <w:t>15,121,518.10</w:t>
            </w:r>
          </w:p>
        </w:tc>
        <w:tc>
          <w:tcPr>
            <w:tcW w:w="1191" w:type="dxa"/>
            <w:tcBorders>
              <w:top w:val="single" w:sz="4" w:space="0" w:color="auto"/>
              <w:left w:val="single" w:sz="4" w:space="0" w:color="auto"/>
              <w:bottom w:val="single" w:sz="4" w:space="0" w:color="auto"/>
              <w:right w:val="single" w:sz="4" w:space="0" w:color="auto"/>
            </w:tcBorders>
            <w:vAlign w:val="bottom"/>
            <w:hideMark/>
          </w:tcPr>
          <w:p w14:paraId="5CA93AA7" w14:textId="7C669EA7" w:rsidR="00CD35CC" w:rsidRPr="00C830E8" w:rsidRDefault="00CD35CC" w:rsidP="00CD35CC">
            <w:pPr>
              <w:spacing w:after="160"/>
              <w:jc w:val="center"/>
              <w:rPr>
                <w:b/>
                <w:bCs/>
                <w:color w:val="767171"/>
                <w:sz w:val="16"/>
                <w:szCs w:val="16"/>
              </w:rPr>
            </w:pPr>
            <w:r w:rsidRPr="00C830E8">
              <w:rPr>
                <w:b/>
                <w:bCs/>
                <w:color w:val="767171"/>
                <w:sz w:val="16"/>
                <w:szCs w:val="16"/>
              </w:rPr>
              <w:t>14,840,007.62</w:t>
            </w:r>
          </w:p>
        </w:tc>
        <w:tc>
          <w:tcPr>
            <w:tcW w:w="1191" w:type="dxa"/>
            <w:tcBorders>
              <w:top w:val="single" w:sz="4" w:space="0" w:color="auto"/>
              <w:left w:val="single" w:sz="4" w:space="0" w:color="auto"/>
              <w:bottom w:val="single" w:sz="4" w:space="0" w:color="auto"/>
              <w:right w:val="single" w:sz="4" w:space="0" w:color="auto"/>
            </w:tcBorders>
            <w:vAlign w:val="bottom"/>
            <w:hideMark/>
          </w:tcPr>
          <w:p w14:paraId="633BF7C0" w14:textId="60DA64A3" w:rsidR="00CD35CC" w:rsidRPr="00C830E8" w:rsidRDefault="00CD35CC" w:rsidP="00CD35CC">
            <w:pPr>
              <w:spacing w:after="160"/>
              <w:jc w:val="center"/>
              <w:rPr>
                <w:b/>
                <w:bCs/>
                <w:color w:val="767171"/>
                <w:sz w:val="16"/>
                <w:szCs w:val="16"/>
              </w:rPr>
            </w:pPr>
            <w:r w:rsidRPr="00C830E8">
              <w:rPr>
                <w:b/>
                <w:bCs/>
                <w:color w:val="767171"/>
                <w:sz w:val="16"/>
                <w:szCs w:val="16"/>
              </w:rPr>
              <w:t>14,942,571.96</w:t>
            </w:r>
          </w:p>
        </w:tc>
        <w:tc>
          <w:tcPr>
            <w:tcW w:w="1191" w:type="dxa"/>
            <w:tcBorders>
              <w:top w:val="single" w:sz="4" w:space="0" w:color="auto"/>
              <w:left w:val="single" w:sz="4" w:space="0" w:color="auto"/>
              <w:bottom w:val="single" w:sz="4" w:space="0" w:color="auto"/>
              <w:right w:val="single" w:sz="4" w:space="0" w:color="auto"/>
            </w:tcBorders>
            <w:vAlign w:val="bottom"/>
            <w:hideMark/>
          </w:tcPr>
          <w:p w14:paraId="0E9C6DD9" w14:textId="3F359447" w:rsidR="00CD35CC" w:rsidRPr="00C830E8" w:rsidRDefault="00CD35CC" w:rsidP="00CD35CC">
            <w:pPr>
              <w:spacing w:after="160"/>
              <w:jc w:val="center"/>
              <w:rPr>
                <w:b/>
                <w:bCs/>
                <w:color w:val="767171"/>
                <w:sz w:val="16"/>
                <w:szCs w:val="16"/>
              </w:rPr>
            </w:pPr>
            <w:r w:rsidRPr="00C830E8">
              <w:rPr>
                <w:b/>
                <w:bCs/>
                <w:color w:val="767171"/>
                <w:sz w:val="16"/>
                <w:szCs w:val="16"/>
              </w:rPr>
              <w:t>15,035,564.68</w:t>
            </w:r>
          </w:p>
        </w:tc>
        <w:tc>
          <w:tcPr>
            <w:tcW w:w="1191" w:type="dxa"/>
            <w:tcBorders>
              <w:top w:val="single" w:sz="4" w:space="0" w:color="auto"/>
              <w:left w:val="single" w:sz="4" w:space="0" w:color="auto"/>
              <w:bottom w:val="single" w:sz="4" w:space="0" w:color="auto"/>
              <w:right w:val="single" w:sz="4" w:space="0" w:color="auto"/>
            </w:tcBorders>
            <w:vAlign w:val="center"/>
          </w:tcPr>
          <w:p w14:paraId="14E40B8C" w14:textId="3B49E0C6" w:rsidR="00CD35CC" w:rsidRPr="00C830E8" w:rsidRDefault="00CD35CC" w:rsidP="00CD35CC">
            <w:pPr>
              <w:jc w:val="center"/>
              <w:rPr>
                <w:b/>
                <w:bCs/>
                <w:color w:val="767171"/>
                <w:sz w:val="16"/>
                <w:szCs w:val="16"/>
              </w:rPr>
            </w:pPr>
            <w:r w:rsidRPr="00C830E8">
              <w:rPr>
                <w:b/>
                <w:bCs/>
                <w:color w:val="767171"/>
                <w:sz w:val="16"/>
                <w:szCs w:val="16"/>
              </w:rPr>
              <w:t>179,834,019</w:t>
            </w:r>
          </w:p>
        </w:tc>
      </w:tr>
    </w:tbl>
    <w:p w14:paraId="29B3C904" w14:textId="77777777" w:rsidR="003D6947" w:rsidRDefault="003D6947" w:rsidP="003D6947">
      <w:pPr>
        <w:rPr>
          <w:color w:val="767171"/>
          <w:lang w:val="es-ES"/>
        </w:rPr>
      </w:pPr>
    </w:p>
    <w:p w14:paraId="400B855D" w14:textId="77777777" w:rsidR="00755C71" w:rsidRPr="00755C71" w:rsidRDefault="00755C71" w:rsidP="00755C71">
      <w:pPr>
        <w:rPr>
          <w:lang w:val="es-ES"/>
        </w:rPr>
      </w:pPr>
    </w:p>
    <w:p w14:paraId="7BD27654" w14:textId="77777777" w:rsidR="00755C71" w:rsidRPr="00755C71" w:rsidRDefault="00755C71" w:rsidP="00755C71">
      <w:pPr>
        <w:tabs>
          <w:tab w:val="left" w:pos="9750"/>
        </w:tabs>
        <w:rPr>
          <w:lang w:val="es-ES"/>
        </w:rPr>
        <w:sectPr w:rsidR="00755C71" w:rsidRPr="00755C71" w:rsidSect="00755C71">
          <w:headerReference w:type="default" r:id="rId26"/>
          <w:footerReference w:type="default" r:id="rId27"/>
          <w:pgSz w:w="20160" w:h="12240" w:orient="landscape" w:code="5"/>
          <w:pgMar w:top="1440" w:right="2160" w:bottom="1440" w:left="2160" w:header="720" w:footer="486" w:gutter="0"/>
          <w:cols w:space="720"/>
          <w:docGrid w:linePitch="326"/>
        </w:sectPr>
      </w:pPr>
    </w:p>
    <w:p w14:paraId="62E45FBB" w14:textId="353312B6" w:rsidR="002639F7" w:rsidRPr="002639F7" w:rsidRDefault="007B1C12" w:rsidP="002639F7">
      <w:pPr>
        <w:pStyle w:val="Ttulo3"/>
        <w:numPr>
          <w:ilvl w:val="0"/>
          <w:numId w:val="30"/>
        </w:numPr>
        <w:rPr>
          <w:noProof/>
          <w:color w:val="767171"/>
          <w:lang w:val="es-DO"/>
        </w:rPr>
      </w:pPr>
      <w:bookmarkStart w:id="88" w:name="_Toc186147734"/>
      <w:r w:rsidRPr="00895E91">
        <w:rPr>
          <w:noProof/>
          <w:color w:val="767171"/>
          <w:lang w:val="es-DO"/>
        </w:rPr>
        <w:lastRenderedPageBreak/>
        <w:t>Matriz de Ejecución Presupuestaria Anual</w:t>
      </w:r>
      <w:bookmarkEnd w:id="88"/>
    </w:p>
    <w:p w14:paraId="5894CD19" w14:textId="37BEC3B1" w:rsidR="007B1C12" w:rsidRPr="002639F7" w:rsidRDefault="007B1C12" w:rsidP="002639F7">
      <w:pPr>
        <w:jc w:val="center"/>
      </w:pPr>
    </w:p>
    <w:tbl>
      <w:tblPr>
        <w:tblStyle w:val="TableNormal"/>
        <w:tblpPr w:leftFromText="141" w:rightFromText="141" w:vertAnchor="text" w:horzAnchor="margin" w:tblpXSpec="center" w:tblpY="24"/>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0"/>
        <w:gridCol w:w="1474"/>
        <w:gridCol w:w="1984"/>
        <w:gridCol w:w="1701"/>
        <w:gridCol w:w="885"/>
        <w:gridCol w:w="1241"/>
        <w:gridCol w:w="1418"/>
      </w:tblGrid>
      <w:tr w:rsidR="006D0445" w:rsidRPr="006D0445" w14:paraId="45175853" w14:textId="77777777" w:rsidTr="00FF2210">
        <w:trPr>
          <w:trHeight w:val="556"/>
        </w:trPr>
        <w:tc>
          <w:tcPr>
            <w:tcW w:w="9913" w:type="dxa"/>
            <w:gridSpan w:val="7"/>
            <w:tcBorders>
              <w:top w:val="single" w:sz="8" w:space="0" w:color="000000"/>
              <w:left w:val="single" w:sz="8" w:space="0" w:color="000000"/>
              <w:bottom w:val="single" w:sz="8" w:space="0" w:color="000000"/>
              <w:right w:val="single" w:sz="8" w:space="0" w:color="000000"/>
            </w:tcBorders>
            <w:shd w:val="clear" w:color="auto" w:fill="011C50"/>
            <w:vAlign w:val="center"/>
          </w:tcPr>
          <w:p w14:paraId="5F8D26D3" w14:textId="77777777" w:rsidR="007B1C12" w:rsidRPr="00832511" w:rsidRDefault="007B1C12" w:rsidP="00FF2210">
            <w:pPr>
              <w:spacing w:before="2"/>
              <w:ind w:left="1836" w:right="1835"/>
              <w:jc w:val="center"/>
              <w:rPr>
                <w:b/>
                <w:bCs/>
                <w:color w:val="FFFFFF" w:themeColor="background1"/>
                <w:sz w:val="20"/>
                <w:szCs w:val="20"/>
              </w:rPr>
            </w:pPr>
            <w:r w:rsidRPr="00832511">
              <w:rPr>
                <w:b/>
                <w:bCs/>
                <w:color w:val="FFFFFF" w:themeColor="background1"/>
                <w:sz w:val="20"/>
                <w:szCs w:val="20"/>
              </w:rPr>
              <w:t>ÍNDICE</w:t>
            </w:r>
            <w:r w:rsidRPr="00832511">
              <w:rPr>
                <w:b/>
                <w:bCs/>
                <w:color w:val="FFFFFF" w:themeColor="background1"/>
                <w:spacing w:val="-4"/>
                <w:sz w:val="20"/>
                <w:szCs w:val="20"/>
              </w:rPr>
              <w:t xml:space="preserve"> </w:t>
            </w:r>
            <w:r w:rsidRPr="00832511">
              <w:rPr>
                <w:b/>
                <w:bCs/>
                <w:color w:val="FFFFFF" w:themeColor="background1"/>
                <w:sz w:val="20"/>
                <w:szCs w:val="20"/>
              </w:rPr>
              <w:t>DE</w:t>
            </w:r>
            <w:r w:rsidRPr="00832511">
              <w:rPr>
                <w:b/>
                <w:bCs/>
                <w:color w:val="FFFFFF" w:themeColor="background1"/>
                <w:spacing w:val="4"/>
                <w:sz w:val="20"/>
                <w:szCs w:val="20"/>
              </w:rPr>
              <w:t xml:space="preserve"> </w:t>
            </w:r>
            <w:r w:rsidRPr="00832511">
              <w:rPr>
                <w:b/>
                <w:bCs/>
                <w:color w:val="FFFFFF" w:themeColor="background1"/>
                <w:sz w:val="20"/>
                <w:szCs w:val="20"/>
              </w:rPr>
              <w:t>GESTIÓN</w:t>
            </w:r>
            <w:r w:rsidRPr="00832511">
              <w:rPr>
                <w:b/>
                <w:bCs/>
                <w:color w:val="FFFFFF" w:themeColor="background1"/>
                <w:spacing w:val="-2"/>
                <w:sz w:val="20"/>
                <w:szCs w:val="20"/>
              </w:rPr>
              <w:t xml:space="preserve"> </w:t>
            </w:r>
            <w:r w:rsidRPr="00832511">
              <w:rPr>
                <w:b/>
                <w:bCs/>
                <w:color w:val="FFFFFF" w:themeColor="background1"/>
                <w:sz w:val="20"/>
                <w:szCs w:val="20"/>
              </w:rPr>
              <w:t>PRESUPUESTARIA</w:t>
            </w:r>
          </w:p>
        </w:tc>
      </w:tr>
      <w:tr w:rsidR="006D0445" w:rsidRPr="006D0445" w14:paraId="12BF9A23" w14:textId="77777777" w:rsidTr="002639F7">
        <w:trPr>
          <w:trHeight w:val="1242"/>
        </w:trPr>
        <w:tc>
          <w:tcPr>
            <w:tcW w:w="1210"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2BA442AB" w14:textId="77777777" w:rsidR="007B1C12" w:rsidRPr="00832511" w:rsidRDefault="007B1C12" w:rsidP="00FF2210">
            <w:pPr>
              <w:pStyle w:val="TableParagraph"/>
              <w:jc w:val="center"/>
              <w:rPr>
                <w:color w:val="FFFFFF" w:themeColor="background1"/>
                <w:sz w:val="20"/>
                <w:szCs w:val="20"/>
              </w:rPr>
            </w:pPr>
          </w:p>
          <w:p w14:paraId="579E5DC8" w14:textId="77777777" w:rsidR="007B1C12" w:rsidRPr="00832511" w:rsidRDefault="007B1C12" w:rsidP="00FF2210">
            <w:pPr>
              <w:pStyle w:val="TableParagraph"/>
              <w:ind w:left="115" w:right="91"/>
              <w:jc w:val="center"/>
              <w:rPr>
                <w:b/>
                <w:color w:val="FFFFFF" w:themeColor="background1"/>
                <w:sz w:val="20"/>
                <w:szCs w:val="20"/>
              </w:rPr>
            </w:pPr>
            <w:r w:rsidRPr="00832511">
              <w:rPr>
                <w:b/>
                <w:color w:val="FFFFFF" w:themeColor="background1"/>
                <w:sz w:val="20"/>
                <w:szCs w:val="20"/>
              </w:rPr>
              <w:t>Código</w:t>
            </w:r>
            <w:r w:rsidRPr="00832511">
              <w:rPr>
                <w:b/>
                <w:color w:val="FFFFFF" w:themeColor="background1"/>
                <w:spacing w:val="1"/>
                <w:sz w:val="20"/>
                <w:szCs w:val="20"/>
              </w:rPr>
              <w:t xml:space="preserve"> </w:t>
            </w:r>
            <w:r w:rsidRPr="00832511">
              <w:rPr>
                <w:b/>
                <w:color w:val="FFFFFF" w:themeColor="background1"/>
                <w:sz w:val="20"/>
                <w:szCs w:val="20"/>
              </w:rPr>
              <w:t>Programa /</w:t>
            </w:r>
            <w:r w:rsidRPr="00832511">
              <w:rPr>
                <w:b/>
                <w:color w:val="FFFFFF" w:themeColor="background1"/>
                <w:spacing w:val="1"/>
                <w:sz w:val="20"/>
                <w:szCs w:val="20"/>
              </w:rPr>
              <w:t xml:space="preserve"> </w:t>
            </w:r>
            <w:r w:rsidRPr="00832511">
              <w:rPr>
                <w:b/>
                <w:color w:val="FFFFFF" w:themeColor="background1"/>
                <w:sz w:val="20"/>
                <w:szCs w:val="20"/>
              </w:rPr>
              <w:t>Subprograma</w:t>
            </w:r>
          </w:p>
        </w:tc>
        <w:tc>
          <w:tcPr>
            <w:tcW w:w="1474"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71809C51" w14:textId="77777777" w:rsidR="007B1C12" w:rsidRPr="00832511" w:rsidRDefault="007B1C12" w:rsidP="00FF2210">
            <w:pPr>
              <w:pStyle w:val="TableParagraph"/>
              <w:ind w:left="71" w:right="50"/>
              <w:jc w:val="center"/>
              <w:rPr>
                <w:b/>
                <w:color w:val="FFFFFF" w:themeColor="background1"/>
                <w:sz w:val="20"/>
                <w:szCs w:val="20"/>
              </w:rPr>
            </w:pPr>
            <w:r w:rsidRPr="00832511">
              <w:rPr>
                <w:b/>
                <w:color w:val="FFFFFF" w:themeColor="background1"/>
                <w:sz w:val="20"/>
                <w:szCs w:val="20"/>
              </w:rPr>
              <w:t>Nombre</w:t>
            </w:r>
            <w:r w:rsidRPr="00832511">
              <w:rPr>
                <w:b/>
                <w:color w:val="FFFFFF" w:themeColor="background1"/>
                <w:spacing w:val="-4"/>
                <w:sz w:val="20"/>
                <w:szCs w:val="20"/>
              </w:rPr>
              <w:t xml:space="preserve"> </w:t>
            </w:r>
            <w:r w:rsidRPr="00832511">
              <w:rPr>
                <w:b/>
                <w:color w:val="FFFFFF" w:themeColor="background1"/>
                <w:sz w:val="20"/>
                <w:szCs w:val="20"/>
              </w:rPr>
              <w:t>del</w:t>
            </w:r>
            <w:r w:rsidRPr="00832511">
              <w:rPr>
                <w:b/>
                <w:color w:val="FFFFFF" w:themeColor="background1"/>
                <w:spacing w:val="2"/>
                <w:sz w:val="20"/>
                <w:szCs w:val="20"/>
              </w:rPr>
              <w:t xml:space="preserve"> </w:t>
            </w:r>
            <w:r w:rsidRPr="00832511">
              <w:rPr>
                <w:b/>
                <w:color w:val="FFFFFF" w:themeColor="background1"/>
                <w:sz w:val="20"/>
                <w:szCs w:val="20"/>
              </w:rPr>
              <w:t>Programa</w:t>
            </w:r>
          </w:p>
        </w:tc>
        <w:tc>
          <w:tcPr>
            <w:tcW w:w="1984"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6DF9C762" w14:textId="46341864" w:rsidR="007B1C12" w:rsidRPr="00832511" w:rsidRDefault="007B1C12" w:rsidP="00FF2210">
            <w:pPr>
              <w:pStyle w:val="TableParagraph"/>
              <w:ind w:left="179" w:right="76" w:hanging="75"/>
              <w:jc w:val="center"/>
              <w:rPr>
                <w:b/>
                <w:color w:val="FFFFFF" w:themeColor="background1"/>
                <w:sz w:val="20"/>
                <w:szCs w:val="20"/>
              </w:rPr>
            </w:pPr>
            <w:r w:rsidRPr="00832511">
              <w:rPr>
                <w:b/>
                <w:color w:val="FFFFFF" w:themeColor="background1"/>
                <w:sz w:val="20"/>
                <w:szCs w:val="20"/>
              </w:rPr>
              <w:t>Asignación Presupuestaria 2024</w:t>
            </w:r>
            <w:r w:rsidRPr="00832511">
              <w:rPr>
                <w:b/>
                <w:color w:val="FFFFFF" w:themeColor="background1"/>
                <w:spacing w:val="-2"/>
                <w:sz w:val="20"/>
                <w:szCs w:val="20"/>
              </w:rPr>
              <w:t xml:space="preserve"> </w:t>
            </w:r>
            <w:r w:rsidRPr="00832511">
              <w:rPr>
                <w:b/>
                <w:color w:val="FFFFFF" w:themeColor="background1"/>
                <w:sz w:val="20"/>
                <w:szCs w:val="20"/>
              </w:rPr>
              <w:t>(RD$)</w:t>
            </w:r>
          </w:p>
        </w:tc>
        <w:tc>
          <w:tcPr>
            <w:tcW w:w="1701"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2262F377" w14:textId="77777777" w:rsidR="007B1C12" w:rsidRPr="00832511" w:rsidRDefault="007B1C12" w:rsidP="00FF2210">
            <w:pPr>
              <w:pStyle w:val="TableParagraph"/>
              <w:ind w:left="647" w:right="261" w:hanging="351"/>
              <w:jc w:val="center"/>
              <w:rPr>
                <w:b/>
                <w:color w:val="FFFFFF" w:themeColor="background1"/>
                <w:sz w:val="20"/>
                <w:szCs w:val="20"/>
              </w:rPr>
            </w:pPr>
            <w:r w:rsidRPr="00832511">
              <w:rPr>
                <w:b/>
                <w:color w:val="FFFFFF" w:themeColor="background1"/>
                <w:sz w:val="20"/>
                <w:szCs w:val="20"/>
              </w:rPr>
              <w:t>Ejecución</w:t>
            </w:r>
          </w:p>
          <w:p w14:paraId="4922CF42" w14:textId="765084A6" w:rsidR="007B1C12" w:rsidRPr="00832511" w:rsidRDefault="007B1C12" w:rsidP="00FF2210">
            <w:pPr>
              <w:pStyle w:val="TableParagraph"/>
              <w:ind w:left="647" w:right="261" w:hanging="351"/>
              <w:jc w:val="center"/>
              <w:rPr>
                <w:b/>
                <w:color w:val="FFFFFF" w:themeColor="background1"/>
                <w:sz w:val="20"/>
                <w:szCs w:val="20"/>
              </w:rPr>
            </w:pPr>
            <w:r w:rsidRPr="00832511">
              <w:rPr>
                <w:b/>
                <w:color w:val="FFFFFF" w:themeColor="background1"/>
                <w:sz w:val="20"/>
                <w:szCs w:val="20"/>
              </w:rPr>
              <w:t>202</w:t>
            </w:r>
            <w:r w:rsidR="00895E91">
              <w:rPr>
                <w:b/>
                <w:color w:val="FFFFFF" w:themeColor="background1"/>
                <w:sz w:val="20"/>
                <w:szCs w:val="20"/>
              </w:rPr>
              <w:t>4</w:t>
            </w:r>
            <w:r w:rsidRPr="00832511">
              <w:rPr>
                <w:b/>
                <w:color w:val="FFFFFF" w:themeColor="background1"/>
                <w:spacing w:val="-42"/>
                <w:sz w:val="20"/>
                <w:szCs w:val="20"/>
              </w:rPr>
              <w:t xml:space="preserve"> </w:t>
            </w:r>
            <w:r w:rsidRPr="00832511">
              <w:rPr>
                <w:b/>
                <w:color w:val="FFFFFF" w:themeColor="background1"/>
                <w:sz w:val="20"/>
                <w:szCs w:val="20"/>
              </w:rPr>
              <w:t>(RD$)</w:t>
            </w:r>
          </w:p>
        </w:tc>
        <w:tc>
          <w:tcPr>
            <w:tcW w:w="885"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5775E533" w14:textId="77777777" w:rsidR="007B1C12" w:rsidRPr="00832511" w:rsidRDefault="007B1C12" w:rsidP="00FF2210">
            <w:pPr>
              <w:pStyle w:val="TableParagraph"/>
              <w:ind w:left="80" w:right="53" w:firstLine="1"/>
              <w:jc w:val="center"/>
              <w:rPr>
                <w:b/>
                <w:color w:val="FFFFFF" w:themeColor="background1"/>
                <w:sz w:val="20"/>
                <w:szCs w:val="20"/>
              </w:rPr>
            </w:pPr>
            <w:r w:rsidRPr="00832511">
              <w:rPr>
                <w:b/>
                <w:color w:val="FFFFFF" w:themeColor="background1"/>
                <w:sz w:val="20"/>
                <w:szCs w:val="20"/>
              </w:rPr>
              <w:t>Productos Generados</w:t>
            </w:r>
            <w:r w:rsidRPr="00832511">
              <w:rPr>
                <w:b/>
                <w:color w:val="FFFFFF" w:themeColor="background1"/>
                <w:spacing w:val="-42"/>
                <w:sz w:val="20"/>
                <w:szCs w:val="20"/>
              </w:rPr>
              <w:t xml:space="preserve"> </w:t>
            </w:r>
            <w:r w:rsidRPr="00832511">
              <w:rPr>
                <w:b/>
                <w:color w:val="FFFFFF" w:themeColor="background1"/>
                <w:sz w:val="20"/>
                <w:szCs w:val="20"/>
              </w:rPr>
              <w:t>por</w:t>
            </w:r>
            <w:r w:rsidRPr="00832511">
              <w:rPr>
                <w:b/>
                <w:color w:val="FFFFFF" w:themeColor="background1"/>
                <w:spacing w:val="2"/>
                <w:sz w:val="20"/>
                <w:szCs w:val="20"/>
              </w:rPr>
              <w:t xml:space="preserve"> </w:t>
            </w:r>
            <w:r w:rsidRPr="00832511">
              <w:rPr>
                <w:b/>
                <w:color w:val="FFFFFF" w:themeColor="background1"/>
                <w:sz w:val="20"/>
                <w:szCs w:val="20"/>
              </w:rPr>
              <w:t>Programa</w:t>
            </w:r>
          </w:p>
        </w:tc>
        <w:tc>
          <w:tcPr>
            <w:tcW w:w="1241"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60E6C7A4" w14:textId="77777777" w:rsidR="007B1C12" w:rsidRPr="00832511" w:rsidRDefault="007B1C12" w:rsidP="00FF2210">
            <w:pPr>
              <w:pStyle w:val="TableParagraph"/>
              <w:ind w:left="99" w:right="73" w:firstLine="139"/>
              <w:jc w:val="center"/>
              <w:rPr>
                <w:b/>
                <w:color w:val="FFFFFF" w:themeColor="background1"/>
                <w:sz w:val="20"/>
                <w:szCs w:val="20"/>
              </w:rPr>
            </w:pPr>
            <w:r w:rsidRPr="00832511">
              <w:rPr>
                <w:b/>
                <w:color w:val="FFFFFF" w:themeColor="background1"/>
                <w:sz w:val="20"/>
                <w:szCs w:val="20"/>
              </w:rPr>
              <w:t>Índice de</w:t>
            </w:r>
            <w:r w:rsidRPr="00832511">
              <w:rPr>
                <w:b/>
                <w:color w:val="FFFFFF" w:themeColor="background1"/>
                <w:spacing w:val="1"/>
                <w:sz w:val="20"/>
                <w:szCs w:val="20"/>
              </w:rPr>
              <w:t xml:space="preserve"> </w:t>
            </w:r>
            <w:r w:rsidRPr="00832511">
              <w:rPr>
                <w:b/>
                <w:color w:val="FFFFFF" w:themeColor="background1"/>
                <w:sz w:val="20"/>
                <w:szCs w:val="20"/>
              </w:rPr>
              <w:t>Ejecución</w:t>
            </w:r>
            <w:r w:rsidRPr="00832511">
              <w:rPr>
                <w:b/>
                <w:color w:val="FFFFFF" w:themeColor="background1"/>
                <w:spacing w:val="-11"/>
                <w:sz w:val="20"/>
                <w:szCs w:val="20"/>
              </w:rPr>
              <w:t xml:space="preserve"> </w:t>
            </w:r>
            <w:r w:rsidRPr="00832511">
              <w:rPr>
                <w:b/>
                <w:color w:val="FFFFFF" w:themeColor="background1"/>
                <w:sz w:val="20"/>
                <w:szCs w:val="20"/>
              </w:rPr>
              <w:t>%</w:t>
            </w:r>
          </w:p>
        </w:tc>
        <w:tc>
          <w:tcPr>
            <w:tcW w:w="1418"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78ACA840" w14:textId="77777777" w:rsidR="007B1C12" w:rsidRPr="00832511" w:rsidRDefault="007B1C12" w:rsidP="00FF2210">
            <w:pPr>
              <w:pStyle w:val="TableParagraph"/>
              <w:ind w:left="186" w:right="162" w:firstLine="4"/>
              <w:jc w:val="center"/>
              <w:rPr>
                <w:b/>
                <w:color w:val="FFFFFF" w:themeColor="background1"/>
                <w:sz w:val="20"/>
                <w:szCs w:val="20"/>
              </w:rPr>
            </w:pPr>
            <w:proofErr w:type="gramStart"/>
            <w:r w:rsidRPr="00832511">
              <w:rPr>
                <w:b/>
                <w:color w:val="FFFFFF" w:themeColor="background1"/>
                <w:sz w:val="20"/>
                <w:szCs w:val="20"/>
              </w:rPr>
              <w:t>Participación</w:t>
            </w:r>
            <w:r w:rsidRPr="00832511">
              <w:rPr>
                <w:b/>
                <w:color w:val="FFFFFF" w:themeColor="background1"/>
                <w:spacing w:val="-42"/>
                <w:sz w:val="20"/>
                <w:szCs w:val="20"/>
              </w:rPr>
              <w:t xml:space="preserve">  </w:t>
            </w:r>
            <w:r w:rsidRPr="00832511">
              <w:rPr>
                <w:b/>
                <w:color w:val="FFFFFF" w:themeColor="background1"/>
                <w:sz w:val="20"/>
                <w:szCs w:val="20"/>
              </w:rPr>
              <w:t>ejecución</w:t>
            </w:r>
            <w:proofErr w:type="gramEnd"/>
            <w:r w:rsidRPr="00832511">
              <w:rPr>
                <w:b/>
                <w:color w:val="FFFFFF" w:themeColor="background1"/>
                <w:sz w:val="20"/>
                <w:szCs w:val="20"/>
              </w:rPr>
              <w:t xml:space="preserve"> por</w:t>
            </w:r>
            <w:r w:rsidRPr="00832511">
              <w:rPr>
                <w:b/>
                <w:color w:val="FFFFFF" w:themeColor="background1"/>
                <w:spacing w:val="-42"/>
                <w:sz w:val="20"/>
                <w:szCs w:val="20"/>
              </w:rPr>
              <w:t xml:space="preserve"> </w:t>
            </w:r>
            <w:r w:rsidRPr="00832511">
              <w:rPr>
                <w:b/>
                <w:color w:val="FFFFFF" w:themeColor="background1"/>
                <w:sz w:val="20"/>
                <w:szCs w:val="20"/>
              </w:rPr>
              <w:t>programa</w:t>
            </w:r>
          </w:p>
        </w:tc>
      </w:tr>
      <w:tr w:rsidR="006D0445" w:rsidRPr="006D0445" w14:paraId="6F625A90" w14:textId="77777777" w:rsidTr="002639F7">
        <w:trPr>
          <w:trHeight w:val="1216"/>
        </w:trPr>
        <w:tc>
          <w:tcPr>
            <w:tcW w:w="1210" w:type="dxa"/>
            <w:tcBorders>
              <w:top w:val="single" w:sz="8" w:space="0" w:color="000000"/>
              <w:left w:val="single" w:sz="8" w:space="0" w:color="000000"/>
              <w:bottom w:val="single" w:sz="8" w:space="0" w:color="000000"/>
              <w:right w:val="single" w:sz="8" w:space="0" w:color="000000"/>
            </w:tcBorders>
            <w:vAlign w:val="center"/>
          </w:tcPr>
          <w:p w14:paraId="2D0604B7" w14:textId="77777777" w:rsidR="007B1C12" w:rsidRPr="006D0445" w:rsidRDefault="007B1C12" w:rsidP="00FF2210">
            <w:pPr>
              <w:pStyle w:val="TableParagraph"/>
              <w:ind w:left="18"/>
              <w:jc w:val="center"/>
              <w:rPr>
                <w:b/>
                <w:color w:val="767171"/>
                <w:sz w:val="20"/>
                <w:szCs w:val="20"/>
              </w:rPr>
            </w:pPr>
            <w:r w:rsidRPr="006D0445">
              <w:rPr>
                <w:color w:val="767171"/>
                <w:sz w:val="20"/>
                <w:szCs w:val="20"/>
              </w:rPr>
              <w:t>11</w:t>
            </w:r>
          </w:p>
        </w:tc>
        <w:tc>
          <w:tcPr>
            <w:tcW w:w="1474" w:type="dxa"/>
            <w:tcBorders>
              <w:top w:val="single" w:sz="8" w:space="0" w:color="000000"/>
              <w:left w:val="single" w:sz="8" w:space="0" w:color="000000"/>
              <w:bottom w:val="single" w:sz="8" w:space="0" w:color="000000"/>
              <w:right w:val="single" w:sz="8" w:space="0" w:color="000000"/>
            </w:tcBorders>
            <w:vAlign w:val="center"/>
            <w:hideMark/>
          </w:tcPr>
          <w:p w14:paraId="5AEFBA78" w14:textId="77777777" w:rsidR="007B1C12" w:rsidRPr="006D0445" w:rsidRDefault="007B1C12" w:rsidP="00FF2210">
            <w:pPr>
              <w:pStyle w:val="TableParagraph"/>
              <w:ind w:left="153" w:right="153"/>
              <w:jc w:val="center"/>
              <w:rPr>
                <w:color w:val="767171"/>
                <w:sz w:val="20"/>
                <w:szCs w:val="20"/>
              </w:rPr>
            </w:pPr>
            <w:r w:rsidRPr="006D0445">
              <w:rPr>
                <w:color w:val="767171"/>
                <w:sz w:val="20"/>
                <w:szCs w:val="20"/>
              </w:rPr>
              <w:t>11-Protección al consumidor, regulación y fiscalización</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39D16D34" w14:textId="14A820BA" w:rsidR="007B1C12" w:rsidRPr="006D0445" w:rsidRDefault="009D0C33" w:rsidP="00F004F9">
            <w:pPr>
              <w:pStyle w:val="TableParagraph"/>
              <w:spacing w:before="158"/>
              <w:ind w:left="243" w:right="228"/>
              <w:jc w:val="center"/>
              <w:rPr>
                <w:color w:val="767171"/>
                <w:sz w:val="20"/>
                <w:szCs w:val="20"/>
              </w:rPr>
            </w:pPr>
            <w:r>
              <w:rPr>
                <w:color w:val="767171"/>
                <w:sz w:val="20"/>
                <w:szCs w:val="20"/>
              </w:rPr>
              <w:t>2,014,621,917.33</w:t>
            </w:r>
          </w:p>
        </w:tc>
        <w:tc>
          <w:tcPr>
            <w:tcW w:w="1701" w:type="dxa"/>
            <w:tcBorders>
              <w:top w:val="single" w:sz="8" w:space="0" w:color="000000"/>
              <w:left w:val="single" w:sz="8" w:space="0" w:color="000000"/>
              <w:bottom w:val="single" w:sz="8" w:space="0" w:color="000000"/>
              <w:right w:val="single" w:sz="8" w:space="0" w:color="000000"/>
            </w:tcBorders>
            <w:vAlign w:val="center"/>
          </w:tcPr>
          <w:p w14:paraId="3257350A" w14:textId="50F4CA49" w:rsidR="007B1C12" w:rsidRPr="006D0445" w:rsidRDefault="00F004F9" w:rsidP="00F004F9">
            <w:pPr>
              <w:pStyle w:val="TableParagraph"/>
              <w:tabs>
                <w:tab w:val="left" w:pos="1413"/>
              </w:tabs>
              <w:spacing w:before="158"/>
              <w:ind w:right="228"/>
              <w:jc w:val="center"/>
              <w:rPr>
                <w:color w:val="767171"/>
                <w:sz w:val="20"/>
                <w:szCs w:val="20"/>
              </w:rPr>
            </w:pPr>
            <w:r>
              <w:rPr>
                <w:color w:val="767171"/>
                <w:sz w:val="20"/>
                <w:szCs w:val="20"/>
              </w:rPr>
              <w:t>1,630,452,379.00</w:t>
            </w:r>
          </w:p>
        </w:tc>
        <w:tc>
          <w:tcPr>
            <w:tcW w:w="885" w:type="dxa"/>
            <w:tcBorders>
              <w:top w:val="single" w:sz="8" w:space="0" w:color="000000"/>
              <w:left w:val="single" w:sz="8" w:space="0" w:color="000000"/>
              <w:bottom w:val="single" w:sz="8" w:space="0" w:color="000000"/>
              <w:right w:val="single" w:sz="8" w:space="0" w:color="000000"/>
            </w:tcBorders>
            <w:vAlign w:val="center"/>
            <w:hideMark/>
          </w:tcPr>
          <w:p w14:paraId="569A8F9B" w14:textId="77777777" w:rsidR="007B1C12" w:rsidRPr="006D0445" w:rsidRDefault="007B1C12" w:rsidP="00FF2210">
            <w:pPr>
              <w:pStyle w:val="TableParagraph"/>
              <w:spacing w:before="158"/>
              <w:ind w:left="243" w:right="228"/>
              <w:jc w:val="center"/>
              <w:rPr>
                <w:color w:val="767171"/>
                <w:sz w:val="20"/>
                <w:szCs w:val="20"/>
              </w:rPr>
            </w:pPr>
            <w:r w:rsidRPr="006D0445">
              <w:rPr>
                <w:color w:val="767171"/>
                <w:sz w:val="20"/>
                <w:szCs w:val="20"/>
              </w:rPr>
              <w:t>3</w:t>
            </w:r>
          </w:p>
        </w:tc>
        <w:tc>
          <w:tcPr>
            <w:tcW w:w="1241" w:type="dxa"/>
            <w:tcBorders>
              <w:top w:val="single" w:sz="8" w:space="0" w:color="000000"/>
              <w:left w:val="single" w:sz="8" w:space="0" w:color="000000"/>
              <w:bottom w:val="single" w:sz="8" w:space="0" w:color="000000"/>
              <w:right w:val="single" w:sz="8" w:space="0" w:color="000000"/>
            </w:tcBorders>
            <w:vAlign w:val="center"/>
            <w:hideMark/>
          </w:tcPr>
          <w:p w14:paraId="02841863" w14:textId="581B57B2" w:rsidR="007B1C12" w:rsidRPr="006D0445" w:rsidRDefault="00927A99" w:rsidP="00FF2210">
            <w:pPr>
              <w:pStyle w:val="TableParagraph"/>
              <w:spacing w:before="158"/>
              <w:ind w:left="243" w:right="228"/>
              <w:jc w:val="center"/>
              <w:rPr>
                <w:color w:val="767171"/>
                <w:sz w:val="20"/>
                <w:szCs w:val="20"/>
              </w:rPr>
            </w:pPr>
            <w:r>
              <w:rPr>
                <w:color w:val="767171"/>
                <w:sz w:val="20"/>
                <w:szCs w:val="20"/>
              </w:rPr>
              <w:t>80.93</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20A830BC" w14:textId="603CF782" w:rsidR="007B1C12" w:rsidRPr="006D0445" w:rsidRDefault="00927A99" w:rsidP="00FF2210">
            <w:pPr>
              <w:pStyle w:val="TableParagraph"/>
              <w:spacing w:before="158"/>
              <w:ind w:left="243" w:right="228"/>
              <w:jc w:val="center"/>
              <w:rPr>
                <w:color w:val="767171"/>
                <w:sz w:val="20"/>
                <w:szCs w:val="20"/>
              </w:rPr>
            </w:pPr>
            <w:r>
              <w:rPr>
                <w:color w:val="767171"/>
                <w:sz w:val="20"/>
                <w:szCs w:val="20"/>
              </w:rPr>
              <w:t>80.93</w:t>
            </w:r>
          </w:p>
        </w:tc>
      </w:tr>
      <w:tr w:rsidR="002E696B" w:rsidRPr="006D0445" w14:paraId="5A72B295" w14:textId="77777777" w:rsidTr="002639F7">
        <w:trPr>
          <w:trHeight w:val="581"/>
        </w:trPr>
        <w:tc>
          <w:tcPr>
            <w:tcW w:w="1210" w:type="dxa"/>
            <w:tcBorders>
              <w:top w:val="single" w:sz="8" w:space="0" w:color="000000"/>
              <w:left w:val="single" w:sz="8" w:space="0" w:color="000000"/>
              <w:bottom w:val="single" w:sz="8" w:space="0" w:color="000000"/>
              <w:right w:val="single" w:sz="8" w:space="0" w:color="000000"/>
            </w:tcBorders>
            <w:shd w:val="clear" w:color="auto" w:fill="011C50"/>
            <w:vAlign w:val="center"/>
            <w:hideMark/>
          </w:tcPr>
          <w:p w14:paraId="2B3934FC" w14:textId="77777777" w:rsidR="002E696B" w:rsidRPr="002E696B" w:rsidRDefault="002E696B" w:rsidP="002E696B">
            <w:pPr>
              <w:pStyle w:val="TableParagraph"/>
              <w:ind w:left="115" w:right="91"/>
              <w:jc w:val="center"/>
              <w:rPr>
                <w:b/>
                <w:color w:val="FFFFFF" w:themeColor="background1"/>
                <w:sz w:val="20"/>
                <w:szCs w:val="20"/>
              </w:rPr>
            </w:pPr>
            <w:proofErr w:type="gramStart"/>
            <w:r w:rsidRPr="002E696B">
              <w:rPr>
                <w:b/>
                <w:color w:val="FFFFFF" w:themeColor="background1"/>
                <w:sz w:val="20"/>
                <w:szCs w:val="20"/>
              </w:rPr>
              <w:t>Total</w:t>
            </w:r>
            <w:proofErr w:type="gramEnd"/>
            <w:r w:rsidRPr="002E696B">
              <w:rPr>
                <w:b/>
                <w:color w:val="FFFFFF" w:themeColor="background1"/>
                <w:spacing w:val="-1"/>
                <w:sz w:val="20"/>
                <w:szCs w:val="20"/>
              </w:rPr>
              <w:t xml:space="preserve"> </w:t>
            </w:r>
            <w:r w:rsidRPr="002E696B">
              <w:rPr>
                <w:b/>
                <w:color w:val="FFFFFF" w:themeColor="background1"/>
                <w:sz w:val="20"/>
                <w:szCs w:val="20"/>
              </w:rPr>
              <w:t>General</w:t>
            </w:r>
          </w:p>
        </w:tc>
        <w:tc>
          <w:tcPr>
            <w:tcW w:w="1474"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4CB265F6" w14:textId="77777777" w:rsidR="002E696B" w:rsidRPr="002E696B" w:rsidRDefault="002E696B" w:rsidP="002E696B">
            <w:pPr>
              <w:pStyle w:val="TableParagraph"/>
              <w:jc w:val="center"/>
              <w:rPr>
                <w:color w:val="FFFFFF" w:themeColor="background1"/>
                <w:sz w:val="20"/>
                <w:szCs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011C50"/>
            <w:vAlign w:val="center"/>
            <w:hideMark/>
          </w:tcPr>
          <w:p w14:paraId="72FE73F8" w14:textId="315E7B7A" w:rsidR="002E696B" w:rsidRPr="002E696B" w:rsidRDefault="002E696B" w:rsidP="002E696B">
            <w:pPr>
              <w:pStyle w:val="TableParagraph"/>
              <w:ind w:left="359"/>
              <w:jc w:val="center"/>
              <w:rPr>
                <w:b/>
                <w:color w:val="FFFFFF" w:themeColor="background1"/>
                <w:sz w:val="20"/>
                <w:szCs w:val="20"/>
              </w:rPr>
            </w:pPr>
            <w:r w:rsidRPr="002E696B">
              <w:rPr>
                <w:color w:val="FFFFFF" w:themeColor="background1"/>
                <w:sz w:val="20"/>
                <w:szCs w:val="20"/>
              </w:rPr>
              <w:t>2,014,621,917.33</w:t>
            </w:r>
          </w:p>
        </w:tc>
        <w:tc>
          <w:tcPr>
            <w:tcW w:w="1701"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26B3D6A0" w14:textId="76879109" w:rsidR="002E696B" w:rsidRPr="002E696B" w:rsidRDefault="002E696B" w:rsidP="002E696B">
            <w:pPr>
              <w:pStyle w:val="TableParagraph"/>
              <w:ind w:right="85"/>
              <w:jc w:val="center"/>
              <w:rPr>
                <w:b/>
                <w:color w:val="FFFFFF" w:themeColor="background1"/>
                <w:sz w:val="20"/>
                <w:szCs w:val="20"/>
              </w:rPr>
            </w:pPr>
            <w:r w:rsidRPr="002E696B">
              <w:rPr>
                <w:color w:val="FFFFFF" w:themeColor="background1"/>
                <w:sz w:val="20"/>
                <w:szCs w:val="20"/>
              </w:rPr>
              <w:t>1,630,452,379.00</w:t>
            </w:r>
          </w:p>
        </w:tc>
        <w:tc>
          <w:tcPr>
            <w:tcW w:w="885"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5C3D7065" w14:textId="609D4873" w:rsidR="002E696B" w:rsidRPr="002E696B" w:rsidRDefault="002E696B" w:rsidP="002E696B">
            <w:pPr>
              <w:pStyle w:val="TableParagraph"/>
              <w:jc w:val="center"/>
              <w:rPr>
                <w:b/>
                <w:color w:val="FFFFFF" w:themeColor="background1"/>
                <w:sz w:val="20"/>
                <w:szCs w:val="20"/>
              </w:rPr>
            </w:pPr>
            <w:r w:rsidRPr="002E696B">
              <w:rPr>
                <w:b/>
                <w:color w:val="FFFFFF" w:themeColor="background1"/>
                <w:sz w:val="20"/>
                <w:szCs w:val="20"/>
              </w:rPr>
              <w:t>3</w:t>
            </w:r>
          </w:p>
        </w:tc>
        <w:tc>
          <w:tcPr>
            <w:tcW w:w="1241"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3C0DBC57" w14:textId="64F94537" w:rsidR="002E696B" w:rsidRPr="002E696B" w:rsidRDefault="002E696B" w:rsidP="002E696B">
            <w:pPr>
              <w:pStyle w:val="TableParagraph"/>
              <w:jc w:val="center"/>
              <w:rPr>
                <w:color w:val="FFFFFF" w:themeColor="background1"/>
              </w:rPr>
            </w:pPr>
            <w:r w:rsidRPr="002E696B">
              <w:rPr>
                <w:color w:val="FFFFFF" w:themeColor="background1"/>
                <w:sz w:val="20"/>
                <w:szCs w:val="20"/>
              </w:rPr>
              <w:t>80.93</w:t>
            </w:r>
          </w:p>
        </w:tc>
        <w:tc>
          <w:tcPr>
            <w:tcW w:w="1418" w:type="dxa"/>
            <w:tcBorders>
              <w:top w:val="single" w:sz="8" w:space="0" w:color="000000"/>
              <w:left w:val="single" w:sz="8" w:space="0" w:color="000000"/>
              <w:bottom w:val="single" w:sz="8" w:space="0" w:color="000000"/>
              <w:right w:val="single" w:sz="8" w:space="0" w:color="000000"/>
            </w:tcBorders>
            <w:shd w:val="clear" w:color="auto" w:fill="011C50"/>
            <w:vAlign w:val="center"/>
          </w:tcPr>
          <w:p w14:paraId="75FF33CA" w14:textId="5F29C37A" w:rsidR="002E696B" w:rsidRPr="002E696B" w:rsidRDefault="002E696B" w:rsidP="002E696B">
            <w:pPr>
              <w:pStyle w:val="TableParagraph"/>
              <w:jc w:val="center"/>
              <w:rPr>
                <w:color w:val="FFFFFF" w:themeColor="background1"/>
              </w:rPr>
            </w:pPr>
            <w:r w:rsidRPr="002E696B">
              <w:rPr>
                <w:color w:val="FFFFFF" w:themeColor="background1"/>
                <w:sz w:val="20"/>
                <w:szCs w:val="20"/>
              </w:rPr>
              <w:t>80.93</w:t>
            </w:r>
          </w:p>
        </w:tc>
      </w:tr>
    </w:tbl>
    <w:p w14:paraId="407E7B0E" w14:textId="77777777" w:rsidR="002820B7" w:rsidRDefault="002820B7" w:rsidP="007B1C12">
      <w:pPr>
        <w:jc w:val="left"/>
        <w:rPr>
          <w:color w:val="767171"/>
          <w:sz w:val="16"/>
          <w:szCs w:val="16"/>
          <w:lang w:val="es-ES"/>
        </w:rPr>
      </w:pPr>
    </w:p>
    <w:p w14:paraId="1D153376" w14:textId="77777777" w:rsidR="007B1C12" w:rsidRPr="006D0445" w:rsidRDefault="007B1C12" w:rsidP="007B1C12">
      <w:pPr>
        <w:jc w:val="left"/>
        <w:rPr>
          <w:color w:val="767171"/>
          <w:sz w:val="16"/>
          <w:szCs w:val="16"/>
        </w:rPr>
      </w:pPr>
    </w:p>
    <w:p w14:paraId="6F4ED785" w14:textId="2F962AAB" w:rsidR="007B1C12" w:rsidRDefault="007B1C12">
      <w:pPr>
        <w:spacing w:line="259" w:lineRule="auto"/>
        <w:jc w:val="left"/>
        <w:rPr>
          <w:noProof/>
          <w:color w:val="767171"/>
        </w:rPr>
      </w:pPr>
      <w:r w:rsidRPr="006D0445">
        <w:rPr>
          <w:noProof/>
          <w:color w:val="767171"/>
        </w:rPr>
        <w:br w:type="page"/>
      </w:r>
    </w:p>
    <w:p w14:paraId="7C9D5C76" w14:textId="221E10D8" w:rsidR="00437B38" w:rsidRDefault="00437B38" w:rsidP="00437B38">
      <w:pPr>
        <w:pStyle w:val="Ttulo3"/>
        <w:rPr>
          <w:noProof/>
          <w:color w:val="767171"/>
          <w:lang w:val="es-DO"/>
        </w:rPr>
      </w:pPr>
      <w:bookmarkStart w:id="89" w:name="_Toc186147735"/>
      <w:r w:rsidRPr="00946305">
        <w:rPr>
          <w:noProof/>
          <w:color w:val="767171"/>
          <w:lang w:val="es-DO"/>
        </w:rPr>
        <w:lastRenderedPageBreak/>
        <w:t xml:space="preserve">Matriz </w:t>
      </w:r>
      <w:r w:rsidR="005C1067" w:rsidRPr="00946305">
        <w:rPr>
          <w:noProof/>
          <w:color w:val="767171"/>
          <w:lang w:val="es-DO"/>
        </w:rPr>
        <w:t>de Principales Indicadores</w:t>
      </w:r>
      <w:r w:rsidR="00AF65DA">
        <w:rPr>
          <w:noProof/>
          <w:color w:val="767171"/>
          <w:lang w:val="es-DO"/>
        </w:rPr>
        <w:t xml:space="preserve"> del </w:t>
      </w:r>
      <w:r w:rsidR="00541128">
        <w:rPr>
          <w:noProof/>
          <w:color w:val="767171"/>
          <w:lang w:val="es-DO"/>
        </w:rPr>
        <w:t>Plan Operativo Anual (</w:t>
      </w:r>
      <w:r w:rsidR="00AF65DA">
        <w:rPr>
          <w:noProof/>
          <w:color w:val="767171"/>
          <w:lang w:val="es-DO"/>
        </w:rPr>
        <w:t>POA</w:t>
      </w:r>
      <w:r w:rsidR="00541128">
        <w:rPr>
          <w:noProof/>
          <w:color w:val="767171"/>
          <w:lang w:val="es-DO"/>
        </w:rPr>
        <w:t>)</w:t>
      </w:r>
      <w:bookmarkEnd w:id="89"/>
    </w:p>
    <w:p w14:paraId="4709C16C" w14:textId="4B5F8C6D" w:rsidR="00AF65DA" w:rsidRDefault="00AF65DA" w:rsidP="00AF65DA">
      <w:pPr>
        <w:pStyle w:val="Descripcin"/>
        <w:keepNext/>
      </w:pPr>
      <w:r>
        <w:t xml:space="preserve">Tabla </w:t>
      </w:r>
      <w:r>
        <w:fldChar w:fldCharType="begin"/>
      </w:r>
      <w:r>
        <w:instrText xml:space="preserve"> SEQ Tabla \* ARABIC </w:instrText>
      </w:r>
      <w:r>
        <w:fldChar w:fldCharType="separate"/>
      </w:r>
      <w:r w:rsidR="002F127B">
        <w:rPr>
          <w:noProof/>
        </w:rPr>
        <w:t>18</w:t>
      </w:r>
      <w:r>
        <w:fldChar w:fldCharType="end"/>
      </w:r>
      <w:r>
        <w:t xml:space="preserve"> Matriz de Principales indicadores POA</w:t>
      </w:r>
      <w:r w:rsidR="004F6D3F">
        <w:t xml:space="preserve"> (enero-</w:t>
      </w:r>
      <w:r w:rsidR="00BC62D3">
        <w:t>diciembre</w:t>
      </w:r>
      <w:r w:rsidR="004F6D3F">
        <w:t xml:space="preserve"> 2024)</w:t>
      </w:r>
    </w:p>
    <w:tbl>
      <w:tblPr>
        <w:tblStyle w:val="Tablaconcuadrcula"/>
        <w:tblpPr w:leftFromText="141" w:rightFromText="141" w:vertAnchor="text" w:tblpXSpec="center" w:tblpY="1"/>
        <w:tblOverlap w:val="never"/>
        <w:tblW w:w="10911" w:type="dxa"/>
        <w:tblLayout w:type="fixed"/>
        <w:tblLook w:val="04A0" w:firstRow="1" w:lastRow="0" w:firstColumn="1" w:lastColumn="0" w:noHBand="0" w:noVBand="1"/>
      </w:tblPr>
      <w:tblGrid>
        <w:gridCol w:w="562"/>
        <w:gridCol w:w="1702"/>
        <w:gridCol w:w="2262"/>
        <w:gridCol w:w="2127"/>
        <w:gridCol w:w="1275"/>
        <w:gridCol w:w="851"/>
        <w:gridCol w:w="850"/>
        <w:gridCol w:w="1282"/>
      </w:tblGrid>
      <w:tr w:rsidR="00BC62D3" w:rsidRPr="006D0445" w14:paraId="72EB3C6E" w14:textId="77777777" w:rsidTr="00BC62D3">
        <w:trPr>
          <w:trHeight w:val="696"/>
          <w:tblHeader/>
        </w:trPr>
        <w:tc>
          <w:tcPr>
            <w:tcW w:w="562" w:type="dxa"/>
            <w:shd w:val="clear" w:color="auto" w:fill="011C50"/>
            <w:vAlign w:val="center"/>
          </w:tcPr>
          <w:p w14:paraId="5B6AF59B" w14:textId="42EF4187" w:rsidR="00BC62D3" w:rsidRPr="00832511" w:rsidRDefault="00BC62D3" w:rsidP="00BC62D3">
            <w:pPr>
              <w:spacing w:line="240" w:lineRule="auto"/>
              <w:jc w:val="center"/>
              <w:rPr>
                <w:color w:val="FFFFFF" w:themeColor="background1"/>
                <w:lang w:val="es-ES"/>
              </w:rPr>
            </w:pPr>
            <w:r>
              <w:rPr>
                <w:color w:val="FFFFFF" w:themeColor="background1"/>
                <w:lang w:val="es-ES"/>
              </w:rPr>
              <w:t>No</w:t>
            </w:r>
          </w:p>
        </w:tc>
        <w:tc>
          <w:tcPr>
            <w:tcW w:w="1702" w:type="dxa"/>
            <w:shd w:val="clear" w:color="auto" w:fill="011C50"/>
            <w:vAlign w:val="center"/>
          </w:tcPr>
          <w:p w14:paraId="705AC6E3" w14:textId="07802DD5"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Área</w:t>
            </w:r>
          </w:p>
        </w:tc>
        <w:tc>
          <w:tcPr>
            <w:tcW w:w="2262" w:type="dxa"/>
            <w:shd w:val="clear" w:color="auto" w:fill="011C50"/>
            <w:vAlign w:val="center"/>
          </w:tcPr>
          <w:p w14:paraId="658CD3B8"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Producto</w:t>
            </w:r>
          </w:p>
        </w:tc>
        <w:tc>
          <w:tcPr>
            <w:tcW w:w="2127" w:type="dxa"/>
            <w:shd w:val="clear" w:color="auto" w:fill="011C50"/>
            <w:vAlign w:val="center"/>
          </w:tcPr>
          <w:p w14:paraId="66A3315A"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Nombre del Indicador</w:t>
            </w:r>
          </w:p>
        </w:tc>
        <w:tc>
          <w:tcPr>
            <w:tcW w:w="1275" w:type="dxa"/>
            <w:shd w:val="clear" w:color="auto" w:fill="011C50"/>
            <w:vAlign w:val="center"/>
          </w:tcPr>
          <w:p w14:paraId="1DA93F09"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Frecuencia</w:t>
            </w:r>
          </w:p>
        </w:tc>
        <w:tc>
          <w:tcPr>
            <w:tcW w:w="851" w:type="dxa"/>
            <w:shd w:val="clear" w:color="auto" w:fill="011C50"/>
            <w:vAlign w:val="center"/>
          </w:tcPr>
          <w:p w14:paraId="00E400FC"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Línea Base</w:t>
            </w:r>
          </w:p>
        </w:tc>
        <w:tc>
          <w:tcPr>
            <w:tcW w:w="850" w:type="dxa"/>
            <w:shd w:val="clear" w:color="auto" w:fill="011C50"/>
            <w:vAlign w:val="center"/>
          </w:tcPr>
          <w:p w14:paraId="46066650"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Meta</w:t>
            </w:r>
          </w:p>
        </w:tc>
        <w:tc>
          <w:tcPr>
            <w:tcW w:w="1282" w:type="dxa"/>
            <w:shd w:val="clear" w:color="auto" w:fill="011C50"/>
            <w:vAlign w:val="center"/>
          </w:tcPr>
          <w:p w14:paraId="7E8FEFB0" w14:textId="77777777" w:rsidR="00BC62D3" w:rsidRPr="00832511" w:rsidRDefault="00BC62D3" w:rsidP="00151441">
            <w:pPr>
              <w:spacing w:line="240" w:lineRule="auto"/>
              <w:jc w:val="center"/>
              <w:rPr>
                <w:color w:val="FFFFFF" w:themeColor="background1"/>
                <w:lang w:val="es-ES"/>
              </w:rPr>
            </w:pPr>
            <w:r w:rsidRPr="00832511">
              <w:rPr>
                <w:color w:val="FFFFFF" w:themeColor="background1"/>
                <w:lang w:val="es-ES"/>
              </w:rPr>
              <w:t>Porcentaje de Avance</w:t>
            </w:r>
          </w:p>
        </w:tc>
      </w:tr>
      <w:tr w:rsidR="00BC62D3" w:rsidRPr="006D0445" w14:paraId="43D63AA1" w14:textId="77777777" w:rsidTr="00BC62D3">
        <w:trPr>
          <w:trHeight w:val="1191"/>
        </w:trPr>
        <w:tc>
          <w:tcPr>
            <w:tcW w:w="562" w:type="dxa"/>
            <w:vAlign w:val="center"/>
          </w:tcPr>
          <w:p w14:paraId="5CF26E1A" w14:textId="30BC5419"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1</w:t>
            </w:r>
          </w:p>
        </w:tc>
        <w:tc>
          <w:tcPr>
            <w:tcW w:w="1702" w:type="dxa"/>
            <w:vAlign w:val="center"/>
          </w:tcPr>
          <w:p w14:paraId="457A2DCA" w14:textId="315D221D"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7B3B728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del Sistema de Gestión Integrado de Calidad, Antisoborno y Cumplimiento Regulatorio.</w:t>
            </w:r>
          </w:p>
        </w:tc>
        <w:tc>
          <w:tcPr>
            <w:tcW w:w="2127" w:type="dxa"/>
            <w:vAlign w:val="center"/>
          </w:tcPr>
          <w:p w14:paraId="32A57E3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cumplimiento del cronograma de implementación</w:t>
            </w:r>
          </w:p>
        </w:tc>
        <w:tc>
          <w:tcPr>
            <w:tcW w:w="1275" w:type="dxa"/>
            <w:vAlign w:val="center"/>
          </w:tcPr>
          <w:p w14:paraId="11E7971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p w14:paraId="7C9C0D0B" w14:textId="77777777" w:rsidR="00BC62D3" w:rsidRPr="006D0445" w:rsidRDefault="00BC62D3" w:rsidP="00151441">
            <w:pPr>
              <w:spacing w:line="240" w:lineRule="auto"/>
              <w:jc w:val="center"/>
              <w:rPr>
                <w:rFonts w:eastAsia="Calibri"/>
                <w:noProof/>
                <w:color w:val="767171"/>
                <w:sz w:val="22"/>
                <w:szCs w:val="22"/>
              </w:rPr>
            </w:pPr>
          </w:p>
        </w:tc>
        <w:tc>
          <w:tcPr>
            <w:tcW w:w="851" w:type="dxa"/>
            <w:vAlign w:val="center"/>
          </w:tcPr>
          <w:p w14:paraId="09AD47F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7AEE15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60%</w:t>
            </w:r>
          </w:p>
        </w:tc>
        <w:tc>
          <w:tcPr>
            <w:tcW w:w="1282" w:type="dxa"/>
            <w:vAlign w:val="center"/>
          </w:tcPr>
          <w:p w14:paraId="6B0898AE" w14:textId="00CDC8EF" w:rsidR="00BC62D3" w:rsidRPr="006D0445" w:rsidRDefault="000A6778" w:rsidP="00151441">
            <w:pPr>
              <w:spacing w:line="240" w:lineRule="auto"/>
              <w:jc w:val="center"/>
              <w:rPr>
                <w:b/>
                <w:bCs/>
                <w:color w:val="767171"/>
                <w:sz w:val="22"/>
                <w:szCs w:val="22"/>
              </w:rPr>
            </w:pPr>
            <w:r>
              <w:rPr>
                <w:b/>
                <w:bCs/>
                <w:color w:val="767171"/>
                <w:sz w:val="22"/>
                <w:szCs w:val="22"/>
              </w:rPr>
              <w:t>70</w:t>
            </w:r>
            <w:r w:rsidR="00BC62D3" w:rsidRPr="006D0445">
              <w:rPr>
                <w:b/>
                <w:bCs/>
                <w:color w:val="767171"/>
                <w:sz w:val="22"/>
                <w:szCs w:val="22"/>
              </w:rPr>
              <w:t>%</w:t>
            </w:r>
          </w:p>
        </w:tc>
      </w:tr>
      <w:tr w:rsidR="00BC62D3" w:rsidRPr="006D0445" w14:paraId="6F123C4C" w14:textId="77777777" w:rsidTr="00BC62D3">
        <w:trPr>
          <w:cantSplit/>
          <w:trHeight w:val="1134"/>
        </w:trPr>
        <w:tc>
          <w:tcPr>
            <w:tcW w:w="562" w:type="dxa"/>
            <w:vAlign w:val="center"/>
          </w:tcPr>
          <w:p w14:paraId="7668886B" w14:textId="43F30C49"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2</w:t>
            </w:r>
          </w:p>
        </w:tc>
        <w:tc>
          <w:tcPr>
            <w:tcW w:w="1702" w:type="dxa"/>
            <w:vAlign w:val="center"/>
          </w:tcPr>
          <w:p w14:paraId="0C94103A" w14:textId="5B76C4CB"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273F3D7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Encuesta externa de niveles de satisfacción de los agentes y usuarios de los servicios de la SIE</w:t>
            </w:r>
          </w:p>
        </w:tc>
        <w:tc>
          <w:tcPr>
            <w:tcW w:w="2127" w:type="dxa"/>
            <w:vAlign w:val="center"/>
          </w:tcPr>
          <w:p w14:paraId="4025C12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Plan de trabajo de mejora ejecutado</w:t>
            </w:r>
          </w:p>
        </w:tc>
        <w:tc>
          <w:tcPr>
            <w:tcW w:w="1275" w:type="dxa"/>
            <w:vAlign w:val="center"/>
          </w:tcPr>
          <w:p w14:paraId="036F63C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353EA7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556A5E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827847C"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100%</w:t>
            </w:r>
          </w:p>
        </w:tc>
      </w:tr>
      <w:tr w:rsidR="00BC62D3" w:rsidRPr="006D0445" w14:paraId="2F69A233" w14:textId="77777777" w:rsidTr="00BC62D3">
        <w:trPr>
          <w:trHeight w:val="564"/>
        </w:trPr>
        <w:tc>
          <w:tcPr>
            <w:tcW w:w="562" w:type="dxa"/>
            <w:vAlign w:val="center"/>
          </w:tcPr>
          <w:p w14:paraId="5EFFA7FF" w14:textId="5E2B381D"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3</w:t>
            </w:r>
          </w:p>
        </w:tc>
        <w:tc>
          <w:tcPr>
            <w:tcW w:w="1702" w:type="dxa"/>
            <w:vAlign w:val="center"/>
          </w:tcPr>
          <w:p w14:paraId="29A012BE" w14:textId="2346678F"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7CFBC27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Formulación Plan Estratégico Institucional 2025-2028</w:t>
            </w:r>
          </w:p>
        </w:tc>
        <w:tc>
          <w:tcPr>
            <w:tcW w:w="2127" w:type="dxa"/>
            <w:vAlign w:val="center"/>
          </w:tcPr>
          <w:p w14:paraId="6161097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al plan de trabajo del proyecto</w:t>
            </w:r>
          </w:p>
        </w:tc>
        <w:tc>
          <w:tcPr>
            <w:tcW w:w="1275" w:type="dxa"/>
            <w:vAlign w:val="center"/>
          </w:tcPr>
          <w:p w14:paraId="62B5860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8E3AC4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1553C0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DEC5AF1" w14:textId="72FF9247"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12991F3E" w14:textId="77777777" w:rsidTr="00BC62D3">
        <w:trPr>
          <w:trHeight w:val="983"/>
        </w:trPr>
        <w:tc>
          <w:tcPr>
            <w:tcW w:w="562" w:type="dxa"/>
            <w:vAlign w:val="center"/>
          </w:tcPr>
          <w:p w14:paraId="02B17F39" w14:textId="3B14AA72"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4</w:t>
            </w:r>
          </w:p>
        </w:tc>
        <w:tc>
          <w:tcPr>
            <w:tcW w:w="1702" w:type="dxa"/>
            <w:vAlign w:val="center"/>
          </w:tcPr>
          <w:p w14:paraId="02804AE2" w14:textId="10DCD3A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0EC5771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Revisión, adecuación y socialización de la estructura y manuales organizacionales</w:t>
            </w:r>
          </w:p>
        </w:tc>
        <w:tc>
          <w:tcPr>
            <w:tcW w:w="2127" w:type="dxa"/>
            <w:vAlign w:val="center"/>
          </w:tcPr>
          <w:p w14:paraId="4876E05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cumplimento plan de trabajo</w:t>
            </w:r>
          </w:p>
        </w:tc>
        <w:tc>
          <w:tcPr>
            <w:tcW w:w="1275" w:type="dxa"/>
            <w:vAlign w:val="center"/>
          </w:tcPr>
          <w:p w14:paraId="138A17F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3C54F5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380BD4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CEB1BDF" w14:textId="33127243" w:rsidR="00BC62D3" w:rsidRPr="006D0445" w:rsidRDefault="00BC62D3" w:rsidP="00151441">
            <w:pPr>
              <w:spacing w:line="240" w:lineRule="auto"/>
              <w:jc w:val="center"/>
              <w:rPr>
                <w:b/>
                <w:bCs/>
                <w:color w:val="767171"/>
                <w:sz w:val="22"/>
                <w:szCs w:val="22"/>
              </w:rPr>
            </w:pPr>
            <w:r>
              <w:rPr>
                <w:b/>
                <w:bCs/>
                <w:color w:val="767171"/>
                <w:sz w:val="22"/>
                <w:szCs w:val="22"/>
              </w:rPr>
              <w:t>67</w:t>
            </w:r>
            <w:r w:rsidRPr="006D0445">
              <w:rPr>
                <w:b/>
                <w:bCs/>
                <w:color w:val="767171"/>
                <w:sz w:val="22"/>
                <w:szCs w:val="22"/>
              </w:rPr>
              <w:t>%</w:t>
            </w:r>
          </w:p>
        </w:tc>
      </w:tr>
      <w:tr w:rsidR="00BC62D3" w:rsidRPr="006D0445" w14:paraId="5EB32616" w14:textId="77777777" w:rsidTr="00BC62D3">
        <w:tc>
          <w:tcPr>
            <w:tcW w:w="562" w:type="dxa"/>
            <w:vAlign w:val="center"/>
          </w:tcPr>
          <w:p w14:paraId="03CB667C" w14:textId="22DB9F33"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5</w:t>
            </w:r>
          </w:p>
        </w:tc>
        <w:tc>
          <w:tcPr>
            <w:tcW w:w="1702" w:type="dxa"/>
            <w:vAlign w:val="center"/>
          </w:tcPr>
          <w:p w14:paraId="1750504A" w14:textId="6E6A6C5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7F24D44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Programa de implementación de Unidad de Igualdad de Género (UIG)</w:t>
            </w:r>
          </w:p>
        </w:tc>
        <w:tc>
          <w:tcPr>
            <w:tcW w:w="2127" w:type="dxa"/>
            <w:vAlign w:val="center"/>
          </w:tcPr>
          <w:p w14:paraId="42F0F79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avance al programa de implementación de Unidad de Igualdad de Género (UIG)</w:t>
            </w:r>
          </w:p>
        </w:tc>
        <w:tc>
          <w:tcPr>
            <w:tcW w:w="1275" w:type="dxa"/>
            <w:vAlign w:val="center"/>
          </w:tcPr>
          <w:p w14:paraId="31566A0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B2EDED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027DCC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44ED0F6" w14:textId="1DB9CE32" w:rsidR="00BC62D3" w:rsidRPr="006D0445" w:rsidRDefault="00BC62D3" w:rsidP="00151441">
            <w:pPr>
              <w:spacing w:line="240" w:lineRule="auto"/>
              <w:jc w:val="center"/>
              <w:rPr>
                <w:b/>
                <w:bCs/>
                <w:color w:val="767171"/>
                <w:sz w:val="22"/>
                <w:szCs w:val="22"/>
              </w:rPr>
            </w:pPr>
            <w:r w:rsidRPr="006D0445">
              <w:rPr>
                <w:b/>
                <w:bCs/>
                <w:color w:val="767171"/>
                <w:sz w:val="22"/>
                <w:szCs w:val="22"/>
              </w:rPr>
              <w:t>9</w:t>
            </w:r>
            <w:r>
              <w:rPr>
                <w:b/>
                <w:bCs/>
                <w:color w:val="767171"/>
                <w:sz w:val="22"/>
                <w:szCs w:val="22"/>
              </w:rPr>
              <w:t>5</w:t>
            </w:r>
            <w:r w:rsidRPr="006D0445">
              <w:rPr>
                <w:b/>
                <w:bCs/>
                <w:color w:val="767171"/>
                <w:sz w:val="22"/>
                <w:szCs w:val="22"/>
              </w:rPr>
              <w:t>%</w:t>
            </w:r>
          </w:p>
        </w:tc>
      </w:tr>
      <w:tr w:rsidR="00BC62D3" w:rsidRPr="006D0445" w14:paraId="5CE7821D" w14:textId="77777777" w:rsidTr="00BC62D3">
        <w:tc>
          <w:tcPr>
            <w:tcW w:w="562" w:type="dxa"/>
            <w:vAlign w:val="center"/>
          </w:tcPr>
          <w:p w14:paraId="56C80007" w14:textId="5E771B73"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6</w:t>
            </w:r>
          </w:p>
        </w:tc>
        <w:tc>
          <w:tcPr>
            <w:tcW w:w="1702" w:type="dxa"/>
            <w:vAlign w:val="center"/>
          </w:tcPr>
          <w:p w14:paraId="19C90717" w14:textId="2D27467D"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5021C2D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Proyecto Sello Igualando RD (Fase de autodiagnóstico)</w:t>
            </w:r>
          </w:p>
        </w:tc>
        <w:tc>
          <w:tcPr>
            <w:tcW w:w="2127" w:type="dxa"/>
            <w:vAlign w:val="center"/>
          </w:tcPr>
          <w:p w14:paraId="3A3B8E0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requerimientos del sello implementado</w:t>
            </w:r>
          </w:p>
        </w:tc>
        <w:tc>
          <w:tcPr>
            <w:tcW w:w="1275" w:type="dxa"/>
            <w:vAlign w:val="center"/>
          </w:tcPr>
          <w:p w14:paraId="19C3EAE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C16486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DE5482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00DCFBD" w14:textId="5392DD3C" w:rsidR="00BC62D3" w:rsidRPr="006D0445" w:rsidRDefault="00BC62D3" w:rsidP="00151441">
            <w:pPr>
              <w:spacing w:line="240" w:lineRule="auto"/>
              <w:jc w:val="center"/>
              <w:rPr>
                <w:b/>
                <w:bCs/>
                <w:color w:val="767171"/>
                <w:sz w:val="22"/>
                <w:szCs w:val="22"/>
                <w:lang w:val="es-ES"/>
              </w:rPr>
            </w:pPr>
            <w:r>
              <w:rPr>
                <w:b/>
                <w:bCs/>
                <w:color w:val="767171"/>
                <w:sz w:val="22"/>
                <w:szCs w:val="22"/>
                <w:lang w:val="es-ES"/>
              </w:rPr>
              <w:t>10</w:t>
            </w:r>
            <w:r w:rsidRPr="006D0445">
              <w:rPr>
                <w:b/>
                <w:bCs/>
                <w:color w:val="767171"/>
                <w:sz w:val="22"/>
                <w:szCs w:val="22"/>
                <w:lang w:val="es-ES"/>
              </w:rPr>
              <w:t>0%</w:t>
            </w:r>
          </w:p>
        </w:tc>
      </w:tr>
      <w:tr w:rsidR="00BC62D3" w:rsidRPr="006D0445" w14:paraId="48C933E1" w14:textId="77777777" w:rsidTr="00BC62D3">
        <w:trPr>
          <w:trHeight w:val="639"/>
        </w:trPr>
        <w:tc>
          <w:tcPr>
            <w:tcW w:w="562" w:type="dxa"/>
            <w:vAlign w:val="center"/>
          </w:tcPr>
          <w:p w14:paraId="4A3190D3" w14:textId="1A650643"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7</w:t>
            </w:r>
          </w:p>
        </w:tc>
        <w:tc>
          <w:tcPr>
            <w:tcW w:w="1702" w:type="dxa"/>
            <w:vAlign w:val="center"/>
          </w:tcPr>
          <w:p w14:paraId="38778780" w14:textId="51B5E57B"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Planificación y Desarrollo</w:t>
            </w:r>
          </w:p>
        </w:tc>
        <w:tc>
          <w:tcPr>
            <w:tcW w:w="2262" w:type="dxa"/>
            <w:vAlign w:val="center"/>
          </w:tcPr>
          <w:p w14:paraId="5C9601B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Programa Becas PIES</w:t>
            </w:r>
          </w:p>
        </w:tc>
        <w:tc>
          <w:tcPr>
            <w:tcW w:w="2127" w:type="dxa"/>
            <w:vAlign w:val="center"/>
          </w:tcPr>
          <w:p w14:paraId="01CD40A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becas implementadas</w:t>
            </w:r>
          </w:p>
        </w:tc>
        <w:tc>
          <w:tcPr>
            <w:tcW w:w="1275" w:type="dxa"/>
            <w:vAlign w:val="center"/>
          </w:tcPr>
          <w:p w14:paraId="3A36C2E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1DEF4A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15C7D0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434CDD6"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100%</w:t>
            </w:r>
          </w:p>
        </w:tc>
      </w:tr>
      <w:tr w:rsidR="00BC62D3" w:rsidRPr="006D0445" w14:paraId="487E458B" w14:textId="77777777" w:rsidTr="00BC62D3">
        <w:trPr>
          <w:trHeight w:val="704"/>
        </w:trPr>
        <w:tc>
          <w:tcPr>
            <w:tcW w:w="562" w:type="dxa"/>
            <w:vAlign w:val="center"/>
          </w:tcPr>
          <w:p w14:paraId="5DE98914" w14:textId="30ADF901"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8</w:t>
            </w:r>
          </w:p>
        </w:tc>
        <w:tc>
          <w:tcPr>
            <w:tcW w:w="1702" w:type="dxa"/>
            <w:vAlign w:val="center"/>
          </w:tcPr>
          <w:p w14:paraId="69D80DDC" w14:textId="6A8DD321"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2098A9E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Medición de la satisfacción de los colaboradores y plan de mejora ejecutado</w:t>
            </w:r>
          </w:p>
        </w:tc>
        <w:tc>
          <w:tcPr>
            <w:tcW w:w="2127" w:type="dxa"/>
            <w:vAlign w:val="center"/>
          </w:tcPr>
          <w:p w14:paraId="1BBBF6B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ejecución del plan de mejora</w:t>
            </w:r>
          </w:p>
        </w:tc>
        <w:tc>
          <w:tcPr>
            <w:tcW w:w="1275" w:type="dxa"/>
            <w:vAlign w:val="center"/>
          </w:tcPr>
          <w:p w14:paraId="14F4898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44B9DC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3F0066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A32589D" w14:textId="3A11F3CB"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5E96D960" w14:textId="77777777" w:rsidTr="00BC62D3">
        <w:tc>
          <w:tcPr>
            <w:tcW w:w="562" w:type="dxa"/>
            <w:vAlign w:val="center"/>
          </w:tcPr>
          <w:p w14:paraId="2BC312DB" w14:textId="1D366BD7"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9</w:t>
            </w:r>
          </w:p>
        </w:tc>
        <w:tc>
          <w:tcPr>
            <w:tcW w:w="1702" w:type="dxa"/>
            <w:vAlign w:val="center"/>
          </w:tcPr>
          <w:p w14:paraId="2F3EBC6A" w14:textId="633CBA4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14CEFCF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del Sistema de Salud y Seguridad en el trabajo</w:t>
            </w:r>
          </w:p>
        </w:tc>
        <w:tc>
          <w:tcPr>
            <w:tcW w:w="2127" w:type="dxa"/>
            <w:vAlign w:val="center"/>
          </w:tcPr>
          <w:p w14:paraId="63CB23A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ejecución del plan de seguridad</w:t>
            </w:r>
          </w:p>
          <w:p w14:paraId="14C94E8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2) Porcentaje de ejecución del programa de salud y bienestar SIE</w:t>
            </w:r>
          </w:p>
        </w:tc>
        <w:tc>
          <w:tcPr>
            <w:tcW w:w="1275" w:type="dxa"/>
            <w:vAlign w:val="center"/>
          </w:tcPr>
          <w:p w14:paraId="09D60E4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3EE689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C3089C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D21A3D5" w14:textId="51F26F57"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74D28569" w14:textId="77777777" w:rsidTr="00BC62D3">
        <w:tc>
          <w:tcPr>
            <w:tcW w:w="562" w:type="dxa"/>
            <w:vAlign w:val="center"/>
          </w:tcPr>
          <w:p w14:paraId="0E38365F" w14:textId="57D48ABE"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lastRenderedPageBreak/>
              <w:t>1</w:t>
            </w:r>
            <w:r w:rsidR="00225A28">
              <w:rPr>
                <w:rFonts w:eastAsia="Calibri"/>
                <w:noProof/>
                <w:color w:val="767171"/>
                <w:sz w:val="22"/>
                <w:szCs w:val="22"/>
              </w:rPr>
              <w:t>0</w:t>
            </w:r>
          </w:p>
        </w:tc>
        <w:tc>
          <w:tcPr>
            <w:tcW w:w="1702" w:type="dxa"/>
            <w:vAlign w:val="center"/>
          </w:tcPr>
          <w:p w14:paraId="5C1E1E27" w14:textId="75B725F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0A7795B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Ejecución del Plan de Capacitación</w:t>
            </w:r>
          </w:p>
        </w:tc>
        <w:tc>
          <w:tcPr>
            <w:tcW w:w="2127" w:type="dxa"/>
            <w:vAlign w:val="center"/>
          </w:tcPr>
          <w:p w14:paraId="28B63A6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ejecución del plan de capacitación y desarrollo                                2) Nivel de eficacia de las capacitaciones</w:t>
            </w:r>
          </w:p>
        </w:tc>
        <w:tc>
          <w:tcPr>
            <w:tcW w:w="1275" w:type="dxa"/>
            <w:vAlign w:val="center"/>
          </w:tcPr>
          <w:p w14:paraId="71EB8DD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4AD0D5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DE621F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0B1ECB3" w14:textId="0FB6C1FF" w:rsidR="00BC62D3" w:rsidRPr="006D0445" w:rsidRDefault="000A6778" w:rsidP="00151441">
            <w:pPr>
              <w:spacing w:line="240" w:lineRule="auto"/>
              <w:jc w:val="center"/>
              <w:rPr>
                <w:b/>
                <w:bCs/>
                <w:color w:val="767171"/>
                <w:sz w:val="22"/>
                <w:szCs w:val="22"/>
              </w:rPr>
            </w:pPr>
            <w:r>
              <w:rPr>
                <w:b/>
                <w:bCs/>
                <w:color w:val="767171"/>
                <w:sz w:val="22"/>
                <w:szCs w:val="22"/>
              </w:rPr>
              <w:t>90</w:t>
            </w:r>
            <w:r w:rsidR="00BC62D3" w:rsidRPr="006D0445">
              <w:rPr>
                <w:b/>
                <w:bCs/>
                <w:color w:val="767171"/>
                <w:sz w:val="22"/>
                <w:szCs w:val="22"/>
              </w:rPr>
              <w:t>%</w:t>
            </w:r>
          </w:p>
        </w:tc>
      </w:tr>
      <w:tr w:rsidR="00BC62D3" w:rsidRPr="006D0445" w14:paraId="0361A90B" w14:textId="77777777" w:rsidTr="00BC62D3">
        <w:tc>
          <w:tcPr>
            <w:tcW w:w="562" w:type="dxa"/>
            <w:vAlign w:val="center"/>
          </w:tcPr>
          <w:p w14:paraId="68226CD2" w14:textId="7180CF8F"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1</w:t>
            </w:r>
          </w:p>
        </w:tc>
        <w:tc>
          <w:tcPr>
            <w:tcW w:w="1702" w:type="dxa"/>
            <w:vAlign w:val="center"/>
          </w:tcPr>
          <w:p w14:paraId="4B550D0C" w14:textId="1D8A927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18E2619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Ejecución de la Evaluación anual por desempeño</w:t>
            </w:r>
          </w:p>
        </w:tc>
        <w:tc>
          <w:tcPr>
            <w:tcW w:w="2127" w:type="dxa"/>
            <w:vAlign w:val="center"/>
          </w:tcPr>
          <w:p w14:paraId="3FC6F51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1)Porcentaje de colaboradores evaluados</w:t>
            </w:r>
          </w:p>
        </w:tc>
        <w:tc>
          <w:tcPr>
            <w:tcW w:w="1275" w:type="dxa"/>
            <w:vAlign w:val="center"/>
          </w:tcPr>
          <w:p w14:paraId="4EB42F6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18BF61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16C782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949E84D"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20%</w:t>
            </w:r>
          </w:p>
        </w:tc>
      </w:tr>
      <w:tr w:rsidR="00BC62D3" w:rsidRPr="006D0445" w14:paraId="5D521BB7" w14:textId="77777777" w:rsidTr="00BC62D3">
        <w:tc>
          <w:tcPr>
            <w:tcW w:w="562" w:type="dxa"/>
            <w:vAlign w:val="center"/>
          </w:tcPr>
          <w:p w14:paraId="523975B5" w14:textId="370CD2E3" w:rsidR="00BC62D3" w:rsidRPr="006D0445" w:rsidRDefault="00BC62D3"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2</w:t>
            </w:r>
          </w:p>
        </w:tc>
        <w:tc>
          <w:tcPr>
            <w:tcW w:w="1702" w:type="dxa"/>
            <w:vAlign w:val="center"/>
          </w:tcPr>
          <w:p w14:paraId="549EC105" w14:textId="0BB5A2F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695FB53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Revisión, adecuación y socialización de la estructura y manuales organizacionales</w:t>
            </w:r>
          </w:p>
        </w:tc>
        <w:tc>
          <w:tcPr>
            <w:tcW w:w="2127" w:type="dxa"/>
            <w:vAlign w:val="center"/>
          </w:tcPr>
          <w:p w14:paraId="17B87F2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avance rediseño estructura organizativa acorde a lo planificado                           2) Porcentaje de avance de la escala salarial</w:t>
            </w:r>
          </w:p>
        </w:tc>
        <w:tc>
          <w:tcPr>
            <w:tcW w:w="1275" w:type="dxa"/>
            <w:vAlign w:val="center"/>
          </w:tcPr>
          <w:p w14:paraId="1BF322D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98D190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50609D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3B47751" w14:textId="123E07CC"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0E3C5D97" w14:textId="77777777" w:rsidTr="00BC62D3">
        <w:tc>
          <w:tcPr>
            <w:tcW w:w="562" w:type="dxa"/>
            <w:vAlign w:val="center"/>
          </w:tcPr>
          <w:p w14:paraId="2DD4E29D" w14:textId="4C6D9E2F"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3</w:t>
            </w:r>
          </w:p>
        </w:tc>
        <w:tc>
          <w:tcPr>
            <w:tcW w:w="1702" w:type="dxa"/>
            <w:vAlign w:val="center"/>
          </w:tcPr>
          <w:p w14:paraId="31FE2BA6" w14:textId="01657F64"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7EDD55E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Programa Técnico Especializado Regulatorio</w:t>
            </w:r>
          </w:p>
        </w:tc>
        <w:tc>
          <w:tcPr>
            <w:tcW w:w="2127" w:type="dxa"/>
            <w:vAlign w:val="center"/>
          </w:tcPr>
          <w:p w14:paraId="0C3617A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implementación del programa Técnico Especializado Regulatorio</w:t>
            </w:r>
          </w:p>
        </w:tc>
        <w:tc>
          <w:tcPr>
            <w:tcW w:w="1275" w:type="dxa"/>
            <w:vAlign w:val="center"/>
          </w:tcPr>
          <w:p w14:paraId="123712B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5D5487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24A35E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403BB7C" w14:textId="110862FE"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10B0C0FF" w14:textId="77777777" w:rsidTr="00BC62D3">
        <w:tc>
          <w:tcPr>
            <w:tcW w:w="562" w:type="dxa"/>
            <w:vAlign w:val="center"/>
          </w:tcPr>
          <w:p w14:paraId="234B790D" w14:textId="35832C7F"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4</w:t>
            </w:r>
          </w:p>
        </w:tc>
        <w:tc>
          <w:tcPr>
            <w:tcW w:w="1702" w:type="dxa"/>
            <w:vAlign w:val="center"/>
          </w:tcPr>
          <w:p w14:paraId="3CDF1FA8" w14:textId="5B067F3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56CE338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Programa Implementación y Monitoreo Cultura de Servicios</w:t>
            </w:r>
          </w:p>
        </w:tc>
        <w:tc>
          <w:tcPr>
            <w:tcW w:w="2127" w:type="dxa"/>
            <w:vAlign w:val="center"/>
          </w:tcPr>
          <w:p w14:paraId="3F9C283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ejecución del proyecto                           2) Porcentaje de ejecución programa de reconocimientos</w:t>
            </w:r>
          </w:p>
        </w:tc>
        <w:tc>
          <w:tcPr>
            <w:tcW w:w="1275" w:type="dxa"/>
            <w:vAlign w:val="center"/>
          </w:tcPr>
          <w:p w14:paraId="64BFEC8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1E2888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A9CA2C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61E3A56" w14:textId="71397004"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1D97CA6C" w14:textId="77777777" w:rsidTr="00BC62D3">
        <w:tc>
          <w:tcPr>
            <w:tcW w:w="562" w:type="dxa"/>
            <w:vAlign w:val="center"/>
          </w:tcPr>
          <w:p w14:paraId="526DDC04" w14:textId="5F05C43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5</w:t>
            </w:r>
          </w:p>
        </w:tc>
        <w:tc>
          <w:tcPr>
            <w:tcW w:w="1702" w:type="dxa"/>
            <w:vAlign w:val="center"/>
          </w:tcPr>
          <w:p w14:paraId="67E8C29D" w14:textId="216FA08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Recursos Humanos</w:t>
            </w:r>
          </w:p>
        </w:tc>
        <w:tc>
          <w:tcPr>
            <w:tcW w:w="2262" w:type="dxa"/>
            <w:vAlign w:val="center"/>
          </w:tcPr>
          <w:p w14:paraId="677EE1E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Diseño e implementación plataforma tecnológica RRHH</w:t>
            </w:r>
          </w:p>
        </w:tc>
        <w:tc>
          <w:tcPr>
            <w:tcW w:w="2127" w:type="dxa"/>
            <w:vAlign w:val="center"/>
          </w:tcPr>
          <w:p w14:paraId="09ADC8E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1) Porcentaje de ejecución de la plataforma</w:t>
            </w:r>
          </w:p>
        </w:tc>
        <w:tc>
          <w:tcPr>
            <w:tcW w:w="1275" w:type="dxa"/>
            <w:vAlign w:val="center"/>
          </w:tcPr>
          <w:p w14:paraId="6B00A87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34BF50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404346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05B6754" w14:textId="39F8A1E7" w:rsidR="00BC62D3" w:rsidRPr="006D0445" w:rsidRDefault="000A677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7140A258" w14:textId="77777777" w:rsidTr="00BC62D3">
        <w:tc>
          <w:tcPr>
            <w:tcW w:w="562" w:type="dxa"/>
            <w:vAlign w:val="center"/>
          </w:tcPr>
          <w:p w14:paraId="67CE59FE" w14:textId="57F7741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6</w:t>
            </w:r>
          </w:p>
        </w:tc>
        <w:tc>
          <w:tcPr>
            <w:tcW w:w="1702" w:type="dxa"/>
            <w:vAlign w:val="center"/>
          </w:tcPr>
          <w:p w14:paraId="633D60F5" w14:textId="5B9E6D2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44BD7B0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Elaborar Régimen tarifario para empresas de distribución del Sistemas Aislados Zona Este (CEPM-CEB-CS-CTSPC-Cenetur) CALCULO VAD</w:t>
            </w:r>
          </w:p>
        </w:tc>
        <w:tc>
          <w:tcPr>
            <w:tcW w:w="2127" w:type="dxa"/>
            <w:vAlign w:val="center"/>
          </w:tcPr>
          <w:p w14:paraId="3425CE8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informes elaborados</w:t>
            </w:r>
          </w:p>
        </w:tc>
        <w:tc>
          <w:tcPr>
            <w:tcW w:w="1275" w:type="dxa"/>
            <w:vAlign w:val="center"/>
          </w:tcPr>
          <w:p w14:paraId="2971DF9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09BCB6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3D6C13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0BF9840" w14:textId="5FB0810E" w:rsidR="00BC62D3" w:rsidRPr="006D0445" w:rsidRDefault="00BC62D3" w:rsidP="00151441">
            <w:pPr>
              <w:spacing w:line="240" w:lineRule="auto"/>
              <w:jc w:val="center"/>
              <w:rPr>
                <w:b/>
                <w:bCs/>
                <w:color w:val="767171"/>
                <w:sz w:val="22"/>
                <w:szCs w:val="22"/>
              </w:rPr>
            </w:pPr>
            <w:r>
              <w:rPr>
                <w:b/>
                <w:bCs/>
                <w:color w:val="767171"/>
                <w:sz w:val="22"/>
                <w:szCs w:val="22"/>
              </w:rPr>
              <w:t>81</w:t>
            </w:r>
            <w:r w:rsidRPr="006D0445">
              <w:rPr>
                <w:b/>
                <w:bCs/>
                <w:color w:val="767171"/>
                <w:sz w:val="22"/>
                <w:szCs w:val="22"/>
              </w:rPr>
              <w:t>%</w:t>
            </w:r>
          </w:p>
        </w:tc>
      </w:tr>
      <w:tr w:rsidR="00BC62D3" w:rsidRPr="006D0445" w14:paraId="37B6D117" w14:textId="77777777" w:rsidTr="00BC62D3">
        <w:tc>
          <w:tcPr>
            <w:tcW w:w="562" w:type="dxa"/>
            <w:vAlign w:val="center"/>
          </w:tcPr>
          <w:p w14:paraId="4BAEA594" w14:textId="1D6607E4"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7</w:t>
            </w:r>
          </w:p>
        </w:tc>
        <w:tc>
          <w:tcPr>
            <w:tcW w:w="1702" w:type="dxa"/>
            <w:vAlign w:val="center"/>
          </w:tcPr>
          <w:p w14:paraId="57A0F4AA" w14:textId="725F438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54D710C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 xml:space="preserve">Consultoría para la determinación de los niveles aceptables de penetración de energías renovables en </w:t>
            </w:r>
            <w:r w:rsidRPr="006D0445">
              <w:rPr>
                <w:rFonts w:eastAsia="Calibri"/>
                <w:noProof/>
                <w:color w:val="767171"/>
                <w:sz w:val="22"/>
                <w:szCs w:val="22"/>
              </w:rPr>
              <w:lastRenderedPageBreak/>
              <w:t>las Distribuidoras y Sistemas Aislados</w:t>
            </w:r>
          </w:p>
        </w:tc>
        <w:tc>
          <w:tcPr>
            <w:tcW w:w="2127" w:type="dxa"/>
            <w:vAlign w:val="center"/>
          </w:tcPr>
          <w:p w14:paraId="59AB4EC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Estudios aprobados</w:t>
            </w:r>
          </w:p>
        </w:tc>
        <w:tc>
          <w:tcPr>
            <w:tcW w:w="1275" w:type="dxa"/>
            <w:vAlign w:val="center"/>
          </w:tcPr>
          <w:p w14:paraId="1BFAE44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313DDB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C2DAD9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F695A37"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38%</w:t>
            </w:r>
          </w:p>
        </w:tc>
      </w:tr>
      <w:tr w:rsidR="00BC62D3" w:rsidRPr="006D0445" w14:paraId="797B04B7" w14:textId="77777777" w:rsidTr="00BC62D3">
        <w:tc>
          <w:tcPr>
            <w:tcW w:w="562" w:type="dxa"/>
            <w:vAlign w:val="center"/>
          </w:tcPr>
          <w:p w14:paraId="1ED87B01" w14:textId="1153E74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1</w:t>
            </w:r>
            <w:r w:rsidR="00225A28">
              <w:rPr>
                <w:rFonts w:eastAsia="Calibri"/>
                <w:noProof/>
                <w:color w:val="767171"/>
                <w:sz w:val="22"/>
                <w:szCs w:val="22"/>
              </w:rPr>
              <w:t>8</w:t>
            </w:r>
          </w:p>
        </w:tc>
        <w:tc>
          <w:tcPr>
            <w:tcW w:w="1702" w:type="dxa"/>
            <w:vAlign w:val="center"/>
          </w:tcPr>
          <w:p w14:paraId="7B80226A" w14:textId="0612EB4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7DB52C2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Reglamento para el Diseño e Instalación de Sistemas de Almacenamiento de Energía en las Redes de Distribución</w:t>
            </w:r>
          </w:p>
        </w:tc>
        <w:tc>
          <w:tcPr>
            <w:tcW w:w="2127" w:type="dxa"/>
            <w:vAlign w:val="center"/>
          </w:tcPr>
          <w:p w14:paraId="2A6BA08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de Reglamento</w:t>
            </w:r>
          </w:p>
        </w:tc>
        <w:tc>
          <w:tcPr>
            <w:tcW w:w="1275" w:type="dxa"/>
            <w:vAlign w:val="center"/>
          </w:tcPr>
          <w:p w14:paraId="7DF9EBC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7D611F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A7D372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0BACDEE" w14:textId="09BAA400" w:rsidR="00BC62D3" w:rsidRPr="006D0445" w:rsidRDefault="00BC62D3" w:rsidP="00151441">
            <w:pPr>
              <w:spacing w:line="240" w:lineRule="auto"/>
              <w:jc w:val="center"/>
              <w:rPr>
                <w:b/>
                <w:bCs/>
                <w:color w:val="767171"/>
                <w:sz w:val="22"/>
                <w:szCs w:val="22"/>
              </w:rPr>
            </w:pPr>
            <w:r>
              <w:rPr>
                <w:b/>
                <w:bCs/>
                <w:color w:val="767171"/>
                <w:sz w:val="22"/>
                <w:szCs w:val="22"/>
              </w:rPr>
              <w:t>13</w:t>
            </w:r>
            <w:r w:rsidRPr="006D0445">
              <w:rPr>
                <w:b/>
                <w:bCs/>
                <w:color w:val="767171"/>
                <w:sz w:val="22"/>
                <w:szCs w:val="22"/>
              </w:rPr>
              <w:t>%</w:t>
            </w:r>
          </w:p>
        </w:tc>
      </w:tr>
      <w:tr w:rsidR="00BC62D3" w:rsidRPr="006D0445" w14:paraId="6B8544BF" w14:textId="77777777" w:rsidTr="00BC62D3">
        <w:trPr>
          <w:trHeight w:val="849"/>
        </w:trPr>
        <w:tc>
          <w:tcPr>
            <w:tcW w:w="562" w:type="dxa"/>
            <w:vAlign w:val="center"/>
          </w:tcPr>
          <w:p w14:paraId="27766A89" w14:textId="30DF3467"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19</w:t>
            </w:r>
          </w:p>
        </w:tc>
        <w:tc>
          <w:tcPr>
            <w:tcW w:w="1702" w:type="dxa"/>
            <w:vAlign w:val="center"/>
          </w:tcPr>
          <w:p w14:paraId="7F70D7D6" w14:textId="71F38D0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27153A9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Consultoría para la Determinación</w:t>
            </w:r>
          </w:p>
          <w:p w14:paraId="74753A1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de los Costos Unitarios de Unidades de</w:t>
            </w:r>
          </w:p>
          <w:p w14:paraId="5043A8D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Construcción</w:t>
            </w:r>
          </w:p>
        </w:tc>
        <w:tc>
          <w:tcPr>
            <w:tcW w:w="2127" w:type="dxa"/>
            <w:vAlign w:val="center"/>
          </w:tcPr>
          <w:p w14:paraId="4EB19B1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Estudios aprobados</w:t>
            </w:r>
          </w:p>
        </w:tc>
        <w:tc>
          <w:tcPr>
            <w:tcW w:w="1275" w:type="dxa"/>
            <w:vAlign w:val="center"/>
          </w:tcPr>
          <w:p w14:paraId="0E98CBA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6C8B16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C49EAE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AC53B6B" w14:textId="7B24BF12" w:rsidR="00BC62D3" w:rsidRPr="006D0445" w:rsidRDefault="00587C70" w:rsidP="00151441">
            <w:pPr>
              <w:spacing w:line="240" w:lineRule="auto"/>
              <w:jc w:val="center"/>
              <w:rPr>
                <w:b/>
                <w:bCs/>
                <w:color w:val="767171"/>
                <w:sz w:val="22"/>
                <w:szCs w:val="22"/>
              </w:rPr>
            </w:pPr>
            <w:r>
              <w:rPr>
                <w:b/>
                <w:bCs/>
                <w:color w:val="767171"/>
                <w:sz w:val="22"/>
                <w:szCs w:val="22"/>
              </w:rPr>
              <w:t>50</w:t>
            </w:r>
            <w:r w:rsidR="00BC62D3" w:rsidRPr="006D0445">
              <w:rPr>
                <w:b/>
                <w:bCs/>
                <w:color w:val="767171"/>
                <w:sz w:val="22"/>
                <w:szCs w:val="22"/>
              </w:rPr>
              <w:t>%</w:t>
            </w:r>
          </w:p>
        </w:tc>
      </w:tr>
      <w:tr w:rsidR="00BC62D3" w:rsidRPr="006D0445" w14:paraId="48CE6FEC" w14:textId="77777777" w:rsidTr="00BC62D3">
        <w:trPr>
          <w:trHeight w:val="726"/>
        </w:trPr>
        <w:tc>
          <w:tcPr>
            <w:tcW w:w="562" w:type="dxa"/>
            <w:vAlign w:val="center"/>
          </w:tcPr>
          <w:p w14:paraId="68C32AE5" w14:textId="1C5588F6"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0</w:t>
            </w:r>
          </w:p>
        </w:tc>
        <w:tc>
          <w:tcPr>
            <w:tcW w:w="1702" w:type="dxa"/>
            <w:vAlign w:val="center"/>
          </w:tcPr>
          <w:p w14:paraId="72AB3B29" w14:textId="04E1E2B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2E0983C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Consultoría Calidad de Datos y Focalización Indicadores Sistema Único de Cuentas (SUC)</w:t>
            </w:r>
          </w:p>
        </w:tc>
        <w:tc>
          <w:tcPr>
            <w:tcW w:w="2127" w:type="dxa"/>
            <w:vAlign w:val="center"/>
          </w:tcPr>
          <w:p w14:paraId="3E10B10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Plan de trabajo, Informes aprobados y Proyecto de Resolución recibida</w:t>
            </w:r>
          </w:p>
        </w:tc>
        <w:tc>
          <w:tcPr>
            <w:tcW w:w="1275" w:type="dxa"/>
            <w:vAlign w:val="center"/>
          </w:tcPr>
          <w:p w14:paraId="2163FD3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3F5C5C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6B12FD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68649E9" w14:textId="03CA0206"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280C19B2" w14:textId="77777777" w:rsidTr="00BC62D3">
        <w:tc>
          <w:tcPr>
            <w:tcW w:w="562" w:type="dxa"/>
            <w:vAlign w:val="center"/>
          </w:tcPr>
          <w:p w14:paraId="2A68CB37" w14:textId="35A5368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1</w:t>
            </w:r>
          </w:p>
        </w:tc>
        <w:tc>
          <w:tcPr>
            <w:tcW w:w="1702" w:type="dxa"/>
            <w:vAlign w:val="center"/>
          </w:tcPr>
          <w:p w14:paraId="32A88960" w14:textId="225177A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06AAFD2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Audiencias Públicas Ejecutadas</w:t>
            </w:r>
          </w:p>
        </w:tc>
        <w:tc>
          <w:tcPr>
            <w:tcW w:w="2127" w:type="dxa"/>
            <w:vAlign w:val="center"/>
          </w:tcPr>
          <w:p w14:paraId="68BE430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audiencias Públicas ejecutadas</w:t>
            </w:r>
          </w:p>
        </w:tc>
        <w:tc>
          <w:tcPr>
            <w:tcW w:w="1275" w:type="dxa"/>
            <w:vAlign w:val="center"/>
          </w:tcPr>
          <w:p w14:paraId="661EC53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5811FCE"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5AE0498"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FF2FE20" w14:textId="145440B9" w:rsidR="00BC62D3" w:rsidRPr="006D0445" w:rsidRDefault="00BC62D3" w:rsidP="00151441">
            <w:pPr>
              <w:jc w:val="center"/>
              <w:rPr>
                <w:b/>
                <w:bCs/>
                <w:color w:val="767171"/>
                <w:sz w:val="22"/>
                <w:szCs w:val="22"/>
              </w:rPr>
            </w:pPr>
            <w:r>
              <w:rPr>
                <w:b/>
                <w:bCs/>
                <w:color w:val="767171"/>
                <w:sz w:val="22"/>
                <w:szCs w:val="22"/>
              </w:rPr>
              <w:t>8</w:t>
            </w:r>
            <w:r w:rsidR="00587C70">
              <w:rPr>
                <w:b/>
                <w:bCs/>
                <w:color w:val="767171"/>
                <w:sz w:val="22"/>
                <w:szCs w:val="22"/>
              </w:rPr>
              <w:t>6</w:t>
            </w:r>
            <w:r w:rsidRPr="006D0445">
              <w:rPr>
                <w:b/>
                <w:bCs/>
                <w:color w:val="767171"/>
                <w:sz w:val="22"/>
                <w:szCs w:val="22"/>
              </w:rPr>
              <w:t>%</w:t>
            </w:r>
          </w:p>
        </w:tc>
      </w:tr>
      <w:tr w:rsidR="00BC62D3" w:rsidRPr="006D0445" w14:paraId="3A47A157" w14:textId="77777777" w:rsidTr="00BC62D3">
        <w:tc>
          <w:tcPr>
            <w:tcW w:w="562" w:type="dxa"/>
            <w:vAlign w:val="center"/>
          </w:tcPr>
          <w:p w14:paraId="30DF198D" w14:textId="656C736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2</w:t>
            </w:r>
          </w:p>
        </w:tc>
        <w:tc>
          <w:tcPr>
            <w:tcW w:w="1702" w:type="dxa"/>
            <w:vAlign w:val="center"/>
          </w:tcPr>
          <w:p w14:paraId="7342961B" w14:textId="1148CCA2"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5C857ED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Reglamento de Diseño y Construcción de Centros de Transformación</w:t>
            </w:r>
          </w:p>
        </w:tc>
        <w:tc>
          <w:tcPr>
            <w:tcW w:w="2127" w:type="dxa"/>
            <w:vAlign w:val="center"/>
          </w:tcPr>
          <w:p w14:paraId="08601A2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de Reglamento</w:t>
            </w:r>
          </w:p>
        </w:tc>
        <w:tc>
          <w:tcPr>
            <w:tcW w:w="1275" w:type="dxa"/>
            <w:vAlign w:val="center"/>
          </w:tcPr>
          <w:p w14:paraId="69D93E4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E366B3A"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8BC7693"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11DAB77" w14:textId="5F1A81CA" w:rsidR="00BC62D3" w:rsidRPr="006D0445" w:rsidRDefault="00BC62D3" w:rsidP="00151441">
            <w:pPr>
              <w:jc w:val="center"/>
              <w:rPr>
                <w:b/>
                <w:bCs/>
                <w:color w:val="767171"/>
                <w:sz w:val="22"/>
                <w:szCs w:val="22"/>
              </w:rPr>
            </w:pPr>
            <w:r>
              <w:rPr>
                <w:b/>
                <w:bCs/>
                <w:color w:val="767171"/>
                <w:sz w:val="22"/>
                <w:szCs w:val="22"/>
              </w:rPr>
              <w:t>75</w:t>
            </w:r>
            <w:r w:rsidRPr="006D0445">
              <w:rPr>
                <w:b/>
                <w:bCs/>
                <w:color w:val="767171"/>
                <w:sz w:val="22"/>
                <w:szCs w:val="22"/>
              </w:rPr>
              <w:t>%</w:t>
            </w:r>
          </w:p>
        </w:tc>
      </w:tr>
      <w:tr w:rsidR="00BC62D3" w:rsidRPr="006D0445" w14:paraId="2CB0A871" w14:textId="77777777" w:rsidTr="00BC62D3">
        <w:tc>
          <w:tcPr>
            <w:tcW w:w="562" w:type="dxa"/>
            <w:vAlign w:val="center"/>
          </w:tcPr>
          <w:p w14:paraId="3AF8E220" w14:textId="1C9B804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3</w:t>
            </w:r>
          </w:p>
        </w:tc>
        <w:tc>
          <w:tcPr>
            <w:tcW w:w="1702" w:type="dxa"/>
            <w:vAlign w:val="center"/>
          </w:tcPr>
          <w:p w14:paraId="6905476B" w14:textId="79E400A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Regulación</w:t>
            </w:r>
          </w:p>
        </w:tc>
        <w:tc>
          <w:tcPr>
            <w:tcW w:w="2262" w:type="dxa"/>
            <w:vAlign w:val="center"/>
          </w:tcPr>
          <w:p w14:paraId="0A91B24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Reglamento Coordinación De Protecciones Eléctricas En Redes De Distribución</w:t>
            </w:r>
          </w:p>
        </w:tc>
        <w:tc>
          <w:tcPr>
            <w:tcW w:w="2127" w:type="dxa"/>
            <w:vAlign w:val="center"/>
          </w:tcPr>
          <w:p w14:paraId="127148E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de Reglamento</w:t>
            </w:r>
          </w:p>
        </w:tc>
        <w:tc>
          <w:tcPr>
            <w:tcW w:w="1275" w:type="dxa"/>
            <w:vAlign w:val="center"/>
          </w:tcPr>
          <w:p w14:paraId="1F068A1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8ECEC86"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43AABCC"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9DD5FCB" w14:textId="605041E8" w:rsidR="00BC62D3" w:rsidRPr="006D0445" w:rsidRDefault="00BC62D3" w:rsidP="00151441">
            <w:pPr>
              <w:jc w:val="center"/>
              <w:rPr>
                <w:b/>
                <w:bCs/>
                <w:color w:val="767171"/>
                <w:sz w:val="22"/>
                <w:szCs w:val="22"/>
              </w:rPr>
            </w:pPr>
            <w:r>
              <w:rPr>
                <w:b/>
                <w:bCs/>
                <w:color w:val="767171"/>
                <w:sz w:val="22"/>
                <w:szCs w:val="22"/>
              </w:rPr>
              <w:t>75</w:t>
            </w:r>
            <w:r w:rsidRPr="006D0445">
              <w:rPr>
                <w:b/>
                <w:bCs/>
                <w:color w:val="767171"/>
                <w:sz w:val="22"/>
                <w:szCs w:val="22"/>
              </w:rPr>
              <w:t>%</w:t>
            </w:r>
          </w:p>
        </w:tc>
      </w:tr>
      <w:tr w:rsidR="00BC62D3" w:rsidRPr="006D0445" w14:paraId="44F0637E" w14:textId="77777777" w:rsidTr="00BC62D3">
        <w:tc>
          <w:tcPr>
            <w:tcW w:w="562" w:type="dxa"/>
            <w:vAlign w:val="center"/>
          </w:tcPr>
          <w:p w14:paraId="39F58225" w14:textId="09921CAC"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4</w:t>
            </w:r>
          </w:p>
        </w:tc>
        <w:tc>
          <w:tcPr>
            <w:tcW w:w="1702" w:type="dxa"/>
            <w:vAlign w:val="center"/>
          </w:tcPr>
          <w:p w14:paraId="103ACBA6" w14:textId="7907C3F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3AA3558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Cumplimiento en plazo de los servicios de DMEM (Concesiones, UNR, Puesta en Servicio, Licitaciones)</w:t>
            </w:r>
          </w:p>
        </w:tc>
        <w:tc>
          <w:tcPr>
            <w:tcW w:w="2127" w:type="dxa"/>
            <w:vAlign w:val="center"/>
          </w:tcPr>
          <w:p w14:paraId="2715EF8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Respuestas de servicios emitidas en plazo</w:t>
            </w:r>
          </w:p>
        </w:tc>
        <w:tc>
          <w:tcPr>
            <w:tcW w:w="1275" w:type="dxa"/>
            <w:vAlign w:val="center"/>
          </w:tcPr>
          <w:p w14:paraId="0F9381D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8E9B103"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8387CA2"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A1223B4" w14:textId="7D794F70" w:rsidR="00BC62D3" w:rsidRPr="006D0445" w:rsidRDefault="00BC62D3" w:rsidP="00151441">
            <w:pPr>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3DDA660E" w14:textId="77777777" w:rsidTr="00BC62D3">
        <w:tc>
          <w:tcPr>
            <w:tcW w:w="562" w:type="dxa"/>
            <w:vAlign w:val="center"/>
          </w:tcPr>
          <w:p w14:paraId="69E67CD4" w14:textId="728BB6CC"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5</w:t>
            </w:r>
          </w:p>
        </w:tc>
        <w:tc>
          <w:tcPr>
            <w:tcW w:w="1702" w:type="dxa"/>
            <w:vAlign w:val="center"/>
          </w:tcPr>
          <w:p w14:paraId="5525ADF7" w14:textId="1A8E8DE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218FCAB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Reglamento de Puestas en Servicios</w:t>
            </w:r>
          </w:p>
        </w:tc>
        <w:tc>
          <w:tcPr>
            <w:tcW w:w="2127" w:type="dxa"/>
            <w:vAlign w:val="center"/>
          </w:tcPr>
          <w:p w14:paraId="24610DE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del Reglamento</w:t>
            </w:r>
          </w:p>
        </w:tc>
        <w:tc>
          <w:tcPr>
            <w:tcW w:w="1275" w:type="dxa"/>
            <w:vAlign w:val="center"/>
          </w:tcPr>
          <w:p w14:paraId="3A5FF41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E24230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B5F682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62B8001" w14:textId="04D28F26" w:rsidR="00BC62D3" w:rsidRPr="006D0445" w:rsidRDefault="00BC62D3" w:rsidP="00151441">
            <w:pPr>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59C7C9E6" w14:textId="77777777" w:rsidTr="00BC62D3">
        <w:tc>
          <w:tcPr>
            <w:tcW w:w="562" w:type="dxa"/>
            <w:vAlign w:val="center"/>
          </w:tcPr>
          <w:p w14:paraId="7295E8F6" w14:textId="500D85CB"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6</w:t>
            </w:r>
          </w:p>
        </w:tc>
        <w:tc>
          <w:tcPr>
            <w:tcW w:w="1702" w:type="dxa"/>
            <w:vAlign w:val="center"/>
          </w:tcPr>
          <w:p w14:paraId="7E89E9B2" w14:textId="4A4FCDC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0BD73DD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Determinación Peaje de transmisión 2025-2028</w:t>
            </w:r>
          </w:p>
        </w:tc>
        <w:tc>
          <w:tcPr>
            <w:tcW w:w="2127" w:type="dxa"/>
            <w:vAlign w:val="center"/>
          </w:tcPr>
          <w:p w14:paraId="5B6D05D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del Informe</w:t>
            </w:r>
          </w:p>
        </w:tc>
        <w:tc>
          <w:tcPr>
            <w:tcW w:w="1275" w:type="dxa"/>
            <w:vAlign w:val="center"/>
          </w:tcPr>
          <w:p w14:paraId="0086496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AB99EC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E0DD76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40E0AF8" w14:textId="7BDA8560" w:rsidR="00BC62D3" w:rsidRPr="006D0445" w:rsidRDefault="00BC62D3" w:rsidP="00151441">
            <w:pPr>
              <w:spacing w:line="240" w:lineRule="auto"/>
              <w:jc w:val="center"/>
              <w:rPr>
                <w:b/>
                <w:bCs/>
                <w:color w:val="767171"/>
                <w:sz w:val="22"/>
                <w:szCs w:val="22"/>
              </w:rPr>
            </w:pPr>
            <w:r>
              <w:rPr>
                <w:b/>
                <w:bCs/>
                <w:color w:val="767171"/>
                <w:sz w:val="22"/>
                <w:szCs w:val="22"/>
              </w:rPr>
              <w:t>55</w:t>
            </w:r>
            <w:r w:rsidRPr="006D0445">
              <w:rPr>
                <w:b/>
                <w:bCs/>
                <w:color w:val="767171"/>
                <w:sz w:val="22"/>
                <w:szCs w:val="22"/>
              </w:rPr>
              <w:t>%</w:t>
            </w:r>
          </w:p>
        </w:tc>
      </w:tr>
      <w:tr w:rsidR="00BC62D3" w:rsidRPr="006D0445" w14:paraId="79922AFB" w14:textId="77777777" w:rsidTr="00BC62D3">
        <w:tc>
          <w:tcPr>
            <w:tcW w:w="562" w:type="dxa"/>
            <w:vAlign w:val="center"/>
          </w:tcPr>
          <w:p w14:paraId="1EA1A872" w14:textId="76BF8BF9"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7</w:t>
            </w:r>
          </w:p>
        </w:tc>
        <w:tc>
          <w:tcPr>
            <w:tcW w:w="1702" w:type="dxa"/>
            <w:vAlign w:val="center"/>
          </w:tcPr>
          <w:p w14:paraId="6099557E" w14:textId="7C1722D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 xml:space="preserve">Dirección de Mercado </w:t>
            </w:r>
            <w:r w:rsidRPr="006D0445">
              <w:rPr>
                <w:rFonts w:eastAsia="Calibri"/>
                <w:noProof/>
                <w:color w:val="767171"/>
                <w:sz w:val="22"/>
                <w:szCs w:val="22"/>
              </w:rPr>
              <w:lastRenderedPageBreak/>
              <w:t>Eléctrico Mayorista</w:t>
            </w:r>
          </w:p>
        </w:tc>
        <w:tc>
          <w:tcPr>
            <w:tcW w:w="2262" w:type="dxa"/>
            <w:vAlign w:val="center"/>
          </w:tcPr>
          <w:p w14:paraId="7571B3E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 xml:space="preserve">Reglamento de Diseño, Construcción de </w:t>
            </w:r>
            <w:r w:rsidRPr="006D0445">
              <w:rPr>
                <w:rFonts w:eastAsia="Calibri"/>
                <w:noProof/>
                <w:color w:val="767171"/>
                <w:sz w:val="22"/>
                <w:szCs w:val="22"/>
              </w:rPr>
              <w:lastRenderedPageBreak/>
              <w:t>Líneas y Subestaciones de Alta Tensión.</w:t>
            </w:r>
          </w:p>
        </w:tc>
        <w:tc>
          <w:tcPr>
            <w:tcW w:w="2127" w:type="dxa"/>
            <w:vAlign w:val="center"/>
          </w:tcPr>
          <w:p w14:paraId="260FFC7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Porcentaje de avance del Reglamento</w:t>
            </w:r>
          </w:p>
        </w:tc>
        <w:tc>
          <w:tcPr>
            <w:tcW w:w="1275" w:type="dxa"/>
            <w:vAlign w:val="center"/>
          </w:tcPr>
          <w:p w14:paraId="4E56113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6DF419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DE4638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DCAD675" w14:textId="602F8C0C"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6759B672" w14:textId="77777777" w:rsidTr="00BC62D3">
        <w:tc>
          <w:tcPr>
            <w:tcW w:w="562" w:type="dxa"/>
            <w:vAlign w:val="center"/>
          </w:tcPr>
          <w:p w14:paraId="1EDF09EA" w14:textId="4C64F9C4"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2</w:t>
            </w:r>
            <w:r w:rsidR="00225A28">
              <w:rPr>
                <w:rFonts w:eastAsia="Calibri"/>
                <w:noProof/>
                <w:color w:val="767171"/>
                <w:sz w:val="22"/>
                <w:szCs w:val="22"/>
              </w:rPr>
              <w:t>8</w:t>
            </w:r>
          </w:p>
        </w:tc>
        <w:tc>
          <w:tcPr>
            <w:tcW w:w="1702" w:type="dxa"/>
            <w:vAlign w:val="center"/>
          </w:tcPr>
          <w:p w14:paraId="7787CF46" w14:textId="3AC7D264"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3027A671"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Reglamento Autorizaciones de UNR.</w:t>
            </w:r>
          </w:p>
        </w:tc>
        <w:tc>
          <w:tcPr>
            <w:tcW w:w="2127" w:type="dxa"/>
            <w:vAlign w:val="center"/>
          </w:tcPr>
          <w:p w14:paraId="7C291A2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del Reglamento</w:t>
            </w:r>
          </w:p>
        </w:tc>
        <w:tc>
          <w:tcPr>
            <w:tcW w:w="1275" w:type="dxa"/>
            <w:vAlign w:val="center"/>
          </w:tcPr>
          <w:p w14:paraId="4FDE74C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4340D3B"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BEC56B7" w14:textId="77777777" w:rsidR="00BC62D3" w:rsidRPr="006D0445" w:rsidRDefault="00BC62D3" w:rsidP="00151441">
            <w:pPr>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4C792DB" w14:textId="2CD893CA" w:rsidR="00BC62D3" w:rsidRPr="006D0445" w:rsidRDefault="00BC62D3" w:rsidP="00151441">
            <w:pPr>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2674D4A7" w14:textId="77777777" w:rsidTr="00BC62D3">
        <w:tc>
          <w:tcPr>
            <w:tcW w:w="562" w:type="dxa"/>
            <w:vAlign w:val="center"/>
          </w:tcPr>
          <w:p w14:paraId="3528B41C" w14:textId="29743428"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29</w:t>
            </w:r>
          </w:p>
        </w:tc>
        <w:tc>
          <w:tcPr>
            <w:tcW w:w="1702" w:type="dxa"/>
            <w:vAlign w:val="center"/>
          </w:tcPr>
          <w:p w14:paraId="77B919EA" w14:textId="6D8C29B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1324126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Procedimiento y ejecución de Auditoria de Costos Variable de Producción.</w:t>
            </w:r>
          </w:p>
        </w:tc>
        <w:tc>
          <w:tcPr>
            <w:tcW w:w="2127" w:type="dxa"/>
            <w:vAlign w:val="center"/>
          </w:tcPr>
          <w:p w14:paraId="69E3D981"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del Reglamento</w:t>
            </w:r>
          </w:p>
        </w:tc>
        <w:tc>
          <w:tcPr>
            <w:tcW w:w="1275" w:type="dxa"/>
            <w:vAlign w:val="center"/>
          </w:tcPr>
          <w:p w14:paraId="651C180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1D1DF0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B65719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DC2D512"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60%</w:t>
            </w:r>
          </w:p>
        </w:tc>
      </w:tr>
      <w:tr w:rsidR="00BC62D3" w:rsidRPr="006D0445" w14:paraId="5A8359F1" w14:textId="77777777" w:rsidTr="00BC62D3">
        <w:tc>
          <w:tcPr>
            <w:tcW w:w="562" w:type="dxa"/>
            <w:vAlign w:val="center"/>
          </w:tcPr>
          <w:p w14:paraId="0CB50237" w14:textId="27394C63"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30</w:t>
            </w:r>
          </w:p>
        </w:tc>
        <w:tc>
          <w:tcPr>
            <w:tcW w:w="1702" w:type="dxa"/>
            <w:vAlign w:val="center"/>
          </w:tcPr>
          <w:p w14:paraId="6B0EDE96" w14:textId="7592683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Mercado Eléctrico Mayorista</w:t>
            </w:r>
          </w:p>
        </w:tc>
        <w:tc>
          <w:tcPr>
            <w:tcW w:w="2262" w:type="dxa"/>
            <w:vAlign w:val="center"/>
          </w:tcPr>
          <w:p w14:paraId="347E0B1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Reglamento de sistemas de almacenamiento con baterías</w:t>
            </w:r>
          </w:p>
        </w:tc>
        <w:tc>
          <w:tcPr>
            <w:tcW w:w="2127" w:type="dxa"/>
            <w:vAlign w:val="center"/>
          </w:tcPr>
          <w:p w14:paraId="627D43A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del Reglamento</w:t>
            </w:r>
          </w:p>
        </w:tc>
        <w:tc>
          <w:tcPr>
            <w:tcW w:w="1275" w:type="dxa"/>
            <w:vAlign w:val="center"/>
          </w:tcPr>
          <w:p w14:paraId="7A9961F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9511E9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80EA40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4B763FB" w14:textId="2D25CD8E"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00C3B74A" w14:textId="77777777" w:rsidTr="00BC62D3">
        <w:tc>
          <w:tcPr>
            <w:tcW w:w="562" w:type="dxa"/>
            <w:vAlign w:val="center"/>
          </w:tcPr>
          <w:p w14:paraId="2909EE50" w14:textId="5CE57429"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1</w:t>
            </w:r>
          </w:p>
        </w:tc>
        <w:tc>
          <w:tcPr>
            <w:tcW w:w="1702" w:type="dxa"/>
            <w:vAlign w:val="center"/>
          </w:tcPr>
          <w:p w14:paraId="7C1E5082" w14:textId="1722B1C1"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320382E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Asegurar el cumplimiento de los requerimientos del sistema de monitoreo y medición de la gestión pública</w:t>
            </w:r>
          </w:p>
        </w:tc>
        <w:tc>
          <w:tcPr>
            <w:tcW w:w="2127" w:type="dxa"/>
            <w:vAlign w:val="center"/>
          </w:tcPr>
          <w:p w14:paraId="4BC11B7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avance Sistema de Monitoreo y Medición de la Gestión Pública</w:t>
            </w:r>
          </w:p>
        </w:tc>
        <w:tc>
          <w:tcPr>
            <w:tcW w:w="1275" w:type="dxa"/>
            <w:vAlign w:val="center"/>
          </w:tcPr>
          <w:p w14:paraId="4A46F49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F21978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6BECDA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0E3DDE0" w14:textId="7FFFFE4C"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4DB19051" w14:textId="77777777" w:rsidTr="00BC62D3">
        <w:tc>
          <w:tcPr>
            <w:tcW w:w="562" w:type="dxa"/>
            <w:vAlign w:val="center"/>
          </w:tcPr>
          <w:p w14:paraId="42474DEB" w14:textId="2A7A5F5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2</w:t>
            </w:r>
          </w:p>
        </w:tc>
        <w:tc>
          <w:tcPr>
            <w:tcW w:w="1702" w:type="dxa"/>
            <w:vAlign w:val="center"/>
          </w:tcPr>
          <w:p w14:paraId="6F5B4E59" w14:textId="7D084B8D"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1CD99C9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Atención y fiscalización de los reclamos de la parte interesada ante un Recursos Jerárquico</w:t>
            </w:r>
          </w:p>
        </w:tc>
        <w:tc>
          <w:tcPr>
            <w:tcW w:w="2127" w:type="dxa"/>
            <w:vAlign w:val="center"/>
          </w:tcPr>
          <w:p w14:paraId="63589C8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Resoluciones emitidas en Plazo</w:t>
            </w:r>
          </w:p>
        </w:tc>
        <w:tc>
          <w:tcPr>
            <w:tcW w:w="1275" w:type="dxa"/>
            <w:vAlign w:val="center"/>
          </w:tcPr>
          <w:p w14:paraId="5979BAD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E009A4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82A572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B5F2F97" w14:textId="2AE4F007"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3FD87C4B" w14:textId="77777777" w:rsidTr="00BC62D3">
        <w:tc>
          <w:tcPr>
            <w:tcW w:w="562" w:type="dxa"/>
            <w:vAlign w:val="center"/>
          </w:tcPr>
          <w:p w14:paraId="3E729076" w14:textId="4714021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3</w:t>
            </w:r>
          </w:p>
        </w:tc>
        <w:tc>
          <w:tcPr>
            <w:tcW w:w="1702" w:type="dxa"/>
            <w:vAlign w:val="center"/>
          </w:tcPr>
          <w:p w14:paraId="2FFA52D0" w14:textId="4485073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3147B1C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Acuerdos y Convenios de Vinculación con Instituciones y Socios Estratégicos Gestionados</w:t>
            </w:r>
          </w:p>
        </w:tc>
        <w:tc>
          <w:tcPr>
            <w:tcW w:w="2127" w:type="dxa"/>
            <w:vAlign w:val="center"/>
          </w:tcPr>
          <w:p w14:paraId="267D072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Acuerdos y convenios firmados con instituciones del sector público y No Gubernamentales.</w:t>
            </w:r>
          </w:p>
        </w:tc>
        <w:tc>
          <w:tcPr>
            <w:tcW w:w="1275" w:type="dxa"/>
            <w:vAlign w:val="center"/>
          </w:tcPr>
          <w:p w14:paraId="25890CE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5C2008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E9AC40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25F5F51" w14:textId="3F429805"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13C82339" w14:textId="77777777" w:rsidTr="00BC62D3">
        <w:tc>
          <w:tcPr>
            <w:tcW w:w="562" w:type="dxa"/>
            <w:vAlign w:val="center"/>
          </w:tcPr>
          <w:p w14:paraId="0B56168C" w14:textId="646AA612"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4</w:t>
            </w:r>
          </w:p>
        </w:tc>
        <w:tc>
          <w:tcPr>
            <w:tcW w:w="1702" w:type="dxa"/>
            <w:vAlign w:val="center"/>
          </w:tcPr>
          <w:p w14:paraId="6F25293A" w14:textId="4C1CE3A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7FAB8A0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Acuerdos, convenios y asociaciones de cooperación internacional negociados y/o firmados</w:t>
            </w:r>
          </w:p>
        </w:tc>
        <w:tc>
          <w:tcPr>
            <w:tcW w:w="2127" w:type="dxa"/>
            <w:vAlign w:val="center"/>
          </w:tcPr>
          <w:p w14:paraId="72DC422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Acuerdos y convenios firmados</w:t>
            </w:r>
          </w:p>
        </w:tc>
        <w:tc>
          <w:tcPr>
            <w:tcW w:w="1275" w:type="dxa"/>
            <w:vAlign w:val="center"/>
          </w:tcPr>
          <w:p w14:paraId="06E3CBB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C0BA9D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680507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39B9C4D" w14:textId="637EB43B"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08218B3F" w14:textId="77777777" w:rsidTr="00BC62D3">
        <w:trPr>
          <w:trHeight w:val="876"/>
        </w:trPr>
        <w:tc>
          <w:tcPr>
            <w:tcW w:w="562" w:type="dxa"/>
            <w:vAlign w:val="center"/>
          </w:tcPr>
          <w:p w14:paraId="56BF9CBD" w14:textId="301AE726"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5</w:t>
            </w:r>
          </w:p>
        </w:tc>
        <w:tc>
          <w:tcPr>
            <w:tcW w:w="1702" w:type="dxa"/>
            <w:vAlign w:val="center"/>
          </w:tcPr>
          <w:p w14:paraId="7FFBEEBC" w14:textId="00ABB80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7F02A8D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Matriz única de Cooperación Internacional</w:t>
            </w:r>
          </w:p>
        </w:tc>
        <w:tc>
          <w:tcPr>
            <w:tcW w:w="2127" w:type="dxa"/>
            <w:vAlign w:val="center"/>
          </w:tcPr>
          <w:p w14:paraId="24152F2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actualizado</w:t>
            </w:r>
          </w:p>
        </w:tc>
        <w:tc>
          <w:tcPr>
            <w:tcW w:w="1275" w:type="dxa"/>
            <w:vAlign w:val="center"/>
          </w:tcPr>
          <w:p w14:paraId="5BBFCC2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807E93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28A657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262ECC1" w14:textId="6F494D23"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5796ADCF" w14:textId="77777777" w:rsidTr="00BC62D3">
        <w:trPr>
          <w:trHeight w:val="677"/>
        </w:trPr>
        <w:tc>
          <w:tcPr>
            <w:tcW w:w="562" w:type="dxa"/>
            <w:vAlign w:val="center"/>
          </w:tcPr>
          <w:p w14:paraId="0D8DB461" w14:textId="2A00C2B4"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6</w:t>
            </w:r>
          </w:p>
        </w:tc>
        <w:tc>
          <w:tcPr>
            <w:tcW w:w="1702" w:type="dxa"/>
            <w:vAlign w:val="center"/>
          </w:tcPr>
          <w:p w14:paraId="09E7AF48" w14:textId="0FECE15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Despacho</w:t>
            </w:r>
          </w:p>
        </w:tc>
        <w:tc>
          <w:tcPr>
            <w:tcW w:w="2262" w:type="dxa"/>
            <w:vAlign w:val="center"/>
          </w:tcPr>
          <w:p w14:paraId="183C03E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Proyecto formación Linieros (Primera fase)</w:t>
            </w:r>
          </w:p>
        </w:tc>
        <w:tc>
          <w:tcPr>
            <w:tcW w:w="2127" w:type="dxa"/>
            <w:vAlign w:val="center"/>
          </w:tcPr>
          <w:p w14:paraId="516E3E8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fase implementada</w:t>
            </w:r>
          </w:p>
        </w:tc>
        <w:tc>
          <w:tcPr>
            <w:tcW w:w="1275" w:type="dxa"/>
            <w:vAlign w:val="center"/>
          </w:tcPr>
          <w:p w14:paraId="0D60E4A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930DC4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2800C3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561E4E3"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40%</w:t>
            </w:r>
          </w:p>
        </w:tc>
      </w:tr>
      <w:tr w:rsidR="00BC62D3" w:rsidRPr="006D0445" w14:paraId="4027AF64" w14:textId="77777777" w:rsidTr="00BC62D3">
        <w:tc>
          <w:tcPr>
            <w:tcW w:w="562" w:type="dxa"/>
            <w:vAlign w:val="center"/>
          </w:tcPr>
          <w:p w14:paraId="0DB3B74D" w14:textId="28B4AD7D"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3</w:t>
            </w:r>
            <w:r w:rsidR="00225A28">
              <w:rPr>
                <w:rFonts w:eastAsia="Calibri"/>
                <w:noProof/>
                <w:color w:val="767171"/>
                <w:sz w:val="22"/>
                <w:szCs w:val="22"/>
              </w:rPr>
              <w:t>7</w:t>
            </w:r>
          </w:p>
        </w:tc>
        <w:tc>
          <w:tcPr>
            <w:tcW w:w="1702" w:type="dxa"/>
            <w:vAlign w:val="center"/>
          </w:tcPr>
          <w:p w14:paraId="4A96B3C4" w14:textId="104DA4B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Protecom</w:t>
            </w:r>
          </w:p>
        </w:tc>
        <w:tc>
          <w:tcPr>
            <w:tcW w:w="2262" w:type="dxa"/>
            <w:vAlign w:val="center"/>
          </w:tcPr>
          <w:p w14:paraId="127B50A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Atención y fiscalización de los reclamos de los ciudadanos.</w:t>
            </w:r>
          </w:p>
        </w:tc>
        <w:tc>
          <w:tcPr>
            <w:tcW w:w="2127" w:type="dxa"/>
            <w:vAlign w:val="center"/>
          </w:tcPr>
          <w:p w14:paraId="1FD2DAF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Decisiones emitidas de reclamaciones</w:t>
            </w:r>
          </w:p>
        </w:tc>
        <w:tc>
          <w:tcPr>
            <w:tcW w:w="1275" w:type="dxa"/>
            <w:vAlign w:val="center"/>
          </w:tcPr>
          <w:p w14:paraId="7726C83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5DCA0D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C12C8B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7AC182A" w14:textId="1C267724"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40FF5879" w14:textId="77777777" w:rsidTr="00BC62D3">
        <w:tc>
          <w:tcPr>
            <w:tcW w:w="562" w:type="dxa"/>
            <w:vAlign w:val="center"/>
          </w:tcPr>
          <w:p w14:paraId="06E1F1ED" w14:textId="0F1203A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lastRenderedPageBreak/>
              <w:t>3</w:t>
            </w:r>
            <w:r w:rsidR="00225A28">
              <w:rPr>
                <w:rFonts w:eastAsia="Calibri"/>
                <w:noProof/>
                <w:color w:val="767171"/>
                <w:sz w:val="22"/>
                <w:szCs w:val="22"/>
              </w:rPr>
              <w:t>8</w:t>
            </w:r>
          </w:p>
        </w:tc>
        <w:tc>
          <w:tcPr>
            <w:tcW w:w="1702" w:type="dxa"/>
            <w:vAlign w:val="center"/>
          </w:tcPr>
          <w:p w14:paraId="4D8068A4" w14:textId="428BC3C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Protecom</w:t>
            </w:r>
          </w:p>
        </w:tc>
        <w:tc>
          <w:tcPr>
            <w:tcW w:w="2262" w:type="dxa"/>
            <w:vAlign w:val="center"/>
          </w:tcPr>
          <w:p w14:paraId="523B493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 campaña de educación a los usuarios</w:t>
            </w:r>
          </w:p>
        </w:tc>
        <w:tc>
          <w:tcPr>
            <w:tcW w:w="2127" w:type="dxa"/>
            <w:vAlign w:val="center"/>
          </w:tcPr>
          <w:p w14:paraId="4773F96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campaña implementadas</w:t>
            </w:r>
          </w:p>
        </w:tc>
        <w:tc>
          <w:tcPr>
            <w:tcW w:w="1275" w:type="dxa"/>
            <w:vAlign w:val="center"/>
          </w:tcPr>
          <w:p w14:paraId="4733B00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4F4943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5E7117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C95FC5E" w14:textId="730671F0" w:rsidR="00BC62D3" w:rsidRPr="006D0445" w:rsidRDefault="00587C70"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0148BA5F" w14:textId="77777777" w:rsidTr="00BC62D3">
        <w:tc>
          <w:tcPr>
            <w:tcW w:w="562" w:type="dxa"/>
            <w:vAlign w:val="center"/>
          </w:tcPr>
          <w:p w14:paraId="27CDFC77" w14:textId="3276CCE7"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39</w:t>
            </w:r>
          </w:p>
        </w:tc>
        <w:tc>
          <w:tcPr>
            <w:tcW w:w="1702" w:type="dxa"/>
            <w:vAlign w:val="center"/>
          </w:tcPr>
          <w:p w14:paraId="1EF1E7E3" w14:textId="250ABBA9"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Protecom</w:t>
            </w:r>
          </w:p>
        </w:tc>
        <w:tc>
          <w:tcPr>
            <w:tcW w:w="2262" w:type="dxa"/>
            <w:vAlign w:val="center"/>
          </w:tcPr>
          <w:p w14:paraId="41599F5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Reubicación de oficinas de atención al usuario a nuevas localidades</w:t>
            </w:r>
          </w:p>
        </w:tc>
        <w:tc>
          <w:tcPr>
            <w:tcW w:w="2127" w:type="dxa"/>
            <w:vAlign w:val="center"/>
          </w:tcPr>
          <w:p w14:paraId="2642CF6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oficinas y Centros de Técnicos aperturados.</w:t>
            </w:r>
          </w:p>
        </w:tc>
        <w:tc>
          <w:tcPr>
            <w:tcW w:w="1275" w:type="dxa"/>
            <w:vAlign w:val="center"/>
          </w:tcPr>
          <w:p w14:paraId="6C1C8E5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E8DA89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B88EAB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EA23E9D" w14:textId="6D5EC204" w:rsidR="00BC62D3" w:rsidRPr="006D0445" w:rsidRDefault="00BC62D3" w:rsidP="00151441">
            <w:pPr>
              <w:spacing w:line="240" w:lineRule="auto"/>
              <w:jc w:val="center"/>
              <w:rPr>
                <w:b/>
                <w:bCs/>
                <w:color w:val="767171"/>
                <w:sz w:val="22"/>
                <w:szCs w:val="22"/>
              </w:rPr>
            </w:pPr>
            <w:r>
              <w:rPr>
                <w:b/>
                <w:bCs/>
                <w:color w:val="767171"/>
                <w:sz w:val="22"/>
                <w:szCs w:val="22"/>
              </w:rPr>
              <w:t>75</w:t>
            </w:r>
            <w:r w:rsidRPr="006D0445">
              <w:rPr>
                <w:b/>
                <w:bCs/>
                <w:color w:val="767171"/>
                <w:sz w:val="22"/>
                <w:szCs w:val="22"/>
              </w:rPr>
              <w:t>%</w:t>
            </w:r>
          </w:p>
        </w:tc>
      </w:tr>
      <w:tr w:rsidR="00BC62D3" w:rsidRPr="006D0445" w14:paraId="59555189" w14:textId="77777777" w:rsidTr="00BC62D3">
        <w:tc>
          <w:tcPr>
            <w:tcW w:w="562" w:type="dxa"/>
            <w:vAlign w:val="center"/>
          </w:tcPr>
          <w:p w14:paraId="59A5A257" w14:textId="0C118C6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0</w:t>
            </w:r>
          </w:p>
        </w:tc>
        <w:tc>
          <w:tcPr>
            <w:tcW w:w="1702" w:type="dxa"/>
            <w:vAlign w:val="center"/>
          </w:tcPr>
          <w:p w14:paraId="5E227DDD" w14:textId="245B324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6C437FB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 firma digital para los procesos administrativos y servicios SIE</w:t>
            </w:r>
          </w:p>
        </w:tc>
        <w:tc>
          <w:tcPr>
            <w:tcW w:w="2127" w:type="dxa"/>
            <w:vAlign w:val="center"/>
          </w:tcPr>
          <w:p w14:paraId="7486B0F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proyecto Implementado</w:t>
            </w:r>
          </w:p>
        </w:tc>
        <w:tc>
          <w:tcPr>
            <w:tcW w:w="1275" w:type="dxa"/>
            <w:vAlign w:val="center"/>
          </w:tcPr>
          <w:p w14:paraId="6E40FEA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E771D2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AA6F13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18152E2" w14:textId="486832D4" w:rsidR="00BC62D3" w:rsidRPr="006D0445" w:rsidRDefault="00BC62D3" w:rsidP="00151441">
            <w:pPr>
              <w:spacing w:line="240" w:lineRule="auto"/>
              <w:jc w:val="center"/>
              <w:rPr>
                <w:b/>
                <w:bCs/>
                <w:color w:val="767171"/>
                <w:sz w:val="22"/>
                <w:szCs w:val="22"/>
              </w:rPr>
            </w:pPr>
            <w:r>
              <w:rPr>
                <w:b/>
                <w:bCs/>
                <w:color w:val="767171"/>
                <w:sz w:val="22"/>
                <w:szCs w:val="22"/>
              </w:rPr>
              <w:t>95</w:t>
            </w:r>
            <w:r w:rsidRPr="006D0445">
              <w:rPr>
                <w:b/>
                <w:bCs/>
                <w:color w:val="767171"/>
                <w:sz w:val="22"/>
                <w:szCs w:val="22"/>
              </w:rPr>
              <w:t>%</w:t>
            </w:r>
          </w:p>
        </w:tc>
      </w:tr>
      <w:tr w:rsidR="00BC62D3" w:rsidRPr="006D0445" w14:paraId="2B6C5CB0" w14:textId="77777777" w:rsidTr="00BC62D3">
        <w:tc>
          <w:tcPr>
            <w:tcW w:w="562" w:type="dxa"/>
            <w:vAlign w:val="center"/>
          </w:tcPr>
          <w:p w14:paraId="5810CB3A" w14:textId="70042A4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1</w:t>
            </w:r>
          </w:p>
        </w:tc>
        <w:tc>
          <w:tcPr>
            <w:tcW w:w="1702" w:type="dxa"/>
            <w:vAlign w:val="center"/>
          </w:tcPr>
          <w:p w14:paraId="3925DFC5" w14:textId="4251D2CD"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7D06563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Interoperabilidad institucional entre las EDES (DWH)</w:t>
            </w:r>
          </w:p>
        </w:tc>
        <w:tc>
          <w:tcPr>
            <w:tcW w:w="2127" w:type="dxa"/>
            <w:vAlign w:val="center"/>
          </w:tcPr>
          <w:p w14:paraId="7725768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proyecto Implementado</w:t>
            </w:r>
          </w:p>
        </w:tc>
        <w:tc>
          <w:tcPr>
            <w:tcW w:w="1275" w:type="dxa"/>
            <w:vAlign w:val="center"/>
          </w:tcPr>
          <w:p w14:paraId="73412C6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652368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B02A64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FB26F7F" w14:textId="05CCF6BE" w:rsidR="00BC62D3" w:rsidRPr="006D0445" w:rsidRDefault="00BC62D3" w:rsidP="00151441">
            <w:pPr>
              <w:spacing w:line="240" w:lineRule="auto"/>
              <w:jc w:val="center"/>
              <w:rPr>
                <w:b/>
                <w:bCs/>
                <w:color w:val="767171"/>
                <w:sz w:val="22"/>
                <w:szCs w:val="22"/>
              </w:rPr>
            </w:pPr>
            <w:r>
              <w:rPr>
                <w:b/>
                <w:bCs/>
                <w:color w:val="767171"/>
                <w:sz w:val="22"/>
                <w:szCs w:val="22"/>
              </w:rPr>
              <w:t>90</w:t>
            </w:r>
            <w:r w:rsidRPr="006D0445">
              <w:rPr>
                <w:b/>
                <w:bCs/>
                <w:color w:val="767171"/>
                <w:sz w:val="22"/>
                <w:szCs w:val="22"/>
              </w:rPr>
              <w:t>%</w:t>
            </w:r>
          </w:p>
        </w:tc>
      </w:tr>
      <w:tr w:rsidR="00BC62D3" w:rsidRPr="006D0445" w14:paraId="7618736C" w14:textId="77777777" w:rsidTr="00BC62D3">
        <w:tc>
          <w:tcPr>
            <w:tcW w:w="562" w:type="dxa"/>
            <w:vAlign w:val="center"/>
          </w:tcPr>
          <w:p w14:paraId="26B2489E" w14:textId="4CCD0CCD"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2</w:t>
            </w:r>
          </w:p>
        </w:tc>
        <w:tc>
          <w:tcPr>
            <w:tcW w:w="1702" w:type="dxa"/>
            <w:vAlign w:val="center"/>
          </w:tcPr>
          <w:p w14:paraId="772CA805" w14:textId="17515839"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0736D11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 la Gestión Documental Institucional</w:t>
            </w:r>
          </w:p>
        </w:tc>
        <w:tc>
          <w:tcPr>
            <w:tcW w:w="2127" w:type="dxa"/>
            <w:vAlign w:val="center"/>
          </w:tcPr>
          <w:p w14:paraId="5D0009D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proyecto Implementado</w:t>
            </w:r>
          </w:p>
        </w:tc>
        <w:tc>
          <w:tcPr>
            <w:tcW w:w="1275" w:type="dxa"/>
            <w:vAlign w:val="center"/>
          </w:tcPr>
          <w:p w14:paraId="6586569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DB3F43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BAD696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6B26D50" w14:textId="4D3C40DD" w:rsidR="00BC62D3" w:rsidRPr="006D0445" w:rsidRDefault="00BC62D3" w:rsidP="00151441">
            <w:pPr>
              <w:spacing w:line="240" w:lineRule="auto"/>
              <w:jc w:val="center"/>
              <w:rPr>
                <w:b/>
                <w:bCs/>
                <w:color w:val="767171"/>
                <w:sz w:val="22"/>
                <w:szCs w:val="22"/>
              </w:rPr>
            </w:pPr>
            <w:r>
              <w:rPr>
                <w:b/>
                <w:bCs/>
                <w:color w:val="767171"/>
                <w:sz w:val="22"/>
                <w:szCs w:val="22"/>
              </w:rPr>
              <w:t>88</w:t>
            </w:r>
            <w:r w:rsidRPr="006D0445">
              <w:rPr>
                <w:b/>
                <w:bCs/>
                <w:color w:val="767171"/>
                <w:sz w:val="22"/>
                <w:szCs w:val="22"/>
              </w:rPr>
              <w:t>%</w:t>
            </w:r>
          </w:p>
        </w:tc>
      </w:tr>
      <w:tr w:rsidR="00BC62D3" w:rsidRPr="006D0445" w14:paraId="2645FD5B" w14:textId="77777777" w:rsidTr="00BC62D3">
        <w:tc>
          <w:tcPr>
            <w:tcW w:w="562" w:type="dxa"/>
            <w:vAlign w:val="center"/>
          </w:tcPr>
          <w:p w14:paraId="197C8BE2" w14:textId="147344BD"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3</w:t>
            </w:r>
          </w:p>
        </w:tc>
        <w:tc>
          <w:tcPr>
            <w:tcW w:w="1702" w:type="dxa"/>
            <w:vAlign w:val="center"/>
          </w:tcPr>
          <w:p w14:paraId="2310DC83" w14:textId="20989AEF"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58E8652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y aseguramiento del Estándares de la OGTIC e incremento del indicador gobierno electrónico</w:t>
            </w:r>
          </w:p>
        </w:tc>
        <w:tc>
          <w:tcPr>
            <w:tcW w:w="2127" w:type="dxa"/>
            <w:vAlign w:val="center"/>
          </w:tcPr>
          <w:p w14:paraId="667E7C8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Indicador de Índice de Uso TIC e Implementación de Gobierno Electrónico</w:t>
            </w:r>
          </w:p>
        </w:tc>
        <w:tc>
          <w:tcPr>
            <w:tcW w:w="1275" w:type="dxa"/>
            <w:vAlign w:val="center"/>
          </w:tcPr>
          <w:p w14:paraId="1D7B8F8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83DCAA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594C46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740A6A6" w14:textId="1B157098" w:rsidR="00BC62D3" w:rsidRPr="006D0445" w:rsidRDefault="00BC62D3" w:rsidP="00151441">
            <w:pPr>
              <w:spacing w:line="240" w:lineRule="auto"/>
              <w:jc w:val="center"/>
              <w:rPr>
                <w:b/>
                <w:bCs/>
                <w:color w:val="767171"/>
                <w:sz w:val="22"/>
                <w:szCs w:val="22"/>
              </w:rPr>
            </w:pPr>
            <w:r>
              <w:rPr>
                <w:b/>
                <w:bCs/>
                <w:color w:val="767171"/>
                <w:sz w:val="22"/>
                <w:szCs w:val="22"/>
              </w:rPr>
              <w:t>87</w:t>
            </w:r>
            <w:r w:rsidRPr="006D0445">
              <w:rPr>
                <w:b/>
                <w:bCs/>
                <w:color w:val="767171"/>
                <w:sz w:val="22"/>
                <w:szCs w:val="22"/>
              </w:rPr>
              <w:t>%</w:t>
            </w:r>
          </w:p>
        </w:tc>
      </w:tr>
      <w:tr w:rsidR="00BC62D3" w:rsidRPr="006D0445" w14:paraId="3293B8AE" w14:textId="77777777" w:rsidTr="00BC62D3">
        <w:tc>
          <w:tcPr>
            <w:tcW w:w="562" w:type="dxa"/>
            <w:vAlign w:val="center"/>
          </w:tcPr>
          <w:p w14:paraId="0F8E68D8" w14:textId="738622E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4</w:t>
            </w:r>
          </w:p>
        </w:tc>
        <w:tc>
          <w:tcPr>
            <w:tcW w:w="1702" w:type="dxa"/>
            <w:vAlign w:val="center"/>
          </w:tcPr>
          <w:p w14:paraId="661557BC" w14:textId="5A0F146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5BD3B2A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Optimización y automatización de los procesos de la SIE (BPMS)/SGR</w:t>
            </w:r>
          </w:p>
        </w:tc>
        <w:tc>
          <w:tcPr>
            <w:tcW w:w="2127" w:type="dxa"/>
            <w:vAlign w:val="center"/>
          </w:tcPr>
          <w:p w14:paraId="637A2F1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Índice de Cumplimiento de avance de soluciones TIC</w:t>
            </w:r>
          </w:p>
        </w:tc>
        <w:tc>
          <w:tcPr>
            <w:tcW w:w="1275" w:type="dxa"/>
            <w:vAlign w:val="center"/>
          </w:tcPr>
          <w:p w14:paraId="616EB2C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ECD08B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AD4CD9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0E0FE96" w14:textId="19D51E4B"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449B1801" w14:textId="77777777" w:rsidTr="00BC62D3">
        <w:tc>
          <w:tcPr>
            <w:tcW w:w="562" w:type="dxa"/>
            <w:vAlign w:val="center"/>
          </w:tcPr>
          <w:p w14:paraId="1F9C28D6" w14:textId="22E3F58D"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5</w:t>
            </w:r>
          </w:p>
        </w:tc>
        <w:tc>
          <w:tcPr>
            <w:tcW w:w="1702" w:type="dxa"/>
            <w:vAlign w:val="center"/>
          </w:tcPr>
          <w:p w14:paraId="6820AC2C" w14:textId="6558ED8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487A005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Renovación/Readquisición de licencias software/Suscripciones operaciones del negocio</w:t>
            </w:r>
          </w:p>
        </w:tc>
        <w:tc>
          <w:tcPr>
            <w:tcW w:w="2127" w:type="dxa"/>
            <w:vAlign w:val="center"/>
          </w:tcPr>
          <w:p w14:paraId="0B6B896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Índice de Cumplimiento de avance de soluciones TIC</w:t>
            </w:r>
          </w:p>
        </w:tc>
        <w:tc>
          <w:tcPr>
            <w:tcW w:w="1275" w:type="dxa"/>
            <w:vAlign w:val="center"/>
          </w:tcPr>
          <w:p w14:paraId="3782398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9E61AC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B9F291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3F8A33D" w14:textId="3B6428C4" w:rsidR="00BC62D3" w:rsidRPr="006D0445" w:rsidRDefault="00BC62D3" w:rsidP="00151441">
            <w:pPr>
              <w:spacing w:line="240" w:lineRule="auto"/>
              <w:jc w:val="center"/>
              <w:rPr>
                <w:b/>
                <w:bCs/>
                <w:color w:val="767171"/>
                <w:sz w:val="22"/>
                <w:szCs w:val="22"/>
              </w:rPr>
            </w:pPr>
            <w:r>
              <w:rPr>
                <w:b/>
                <w:bCs/>
                <w:color w:val="767171"/>
                <w:sz w:val="22"/>
                <w:szCs w:val="22"/>
              </w:rPr>
              <w:t>90</w:t>
            </w:r>
            <w:r w:rsidRPr="006D0445">
              <w:rPr>
                <w:b/>
                <w:bCs/>
                <w:color w:val="767171"/>
                <w:sz w:val="22"/>
                <w:szCs w:val="22"/>
              </w:rPr>
              <w:t>%</w:t>
            </w:r>
          </w:p>
        </w:tc>
      </w:tr>
      <w:tr w:rsidR="00BC62D3" w:rsidRPr="006D0445" w14:paraId="20F5757C" w14:textId="77777777" w:rsidTr="00BC62D3">
        <w:tc>
          <w:tcPr>
            <w:tcW w:w="562" w:type="dxa"/>
            <w:vAlign w:val="center"/>
          </w:tcPr>
          <w:p w14:paraId="12725240" w14:textId="78D4398A"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6</w:t>
            </w:r>
          </w:p>
        </w:tc>
        <w:tc>
          <w:tcPr>
            <w:tcW w:w="1702" w:type="dxa"/>
            <w:vAlign w:val="center"/>
          </w:tcPr>
          <w:p w14:paraId="0CF4A4B9" w14:textId="44D74B5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2060163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de la infraestructura y procesos tecnológicos seguros</w:t>
            </w:r>
          </w:p>
        </w:tc>
        <w:tc>
          <w:tcPr>
            <w:tcW w:w="2127" w:type="dxa"/>
            <w:vAlign w:val="center"/>
          </w:tcPr>
          <w:p w14:paraId="2140062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Índice de Cumplimiento de avance de soluciones TIC</w:t>
            </w:r>
          </w:p>
        </w:tc>
        <w:tc>
          <w:tcPr>
            <w:tcW w:w="1275" w:type="dxa"/>
            <w:vAlign w:val="center"/>
          </w:tcPr>
          <w:p w14:paraId="3037FFE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F60E13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2ACB97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7541D50" w14:textId="1878F695" w:rsidR="00BC62D3" w:rsidRPr="006D0445" w:rsidRDefault="00BC62D3" w:rsidP="00151441">
            <w:pPr>
              <w:spacing w:line="240" w:lineRule="auto"/>
              <w:jc w:val="center"/>
              <w:rPr>
                <w:b/>
                <w:bCs/>
                <w:color w:val="767171"/>
                <w:sz w:val="22"/>
                <w:szCs w:val="22"/>
              </w:rPr>
            </w:pPr>
            <w:r>
              <w:rPr>
                <w:b/>
                <w:bCs/>
                <w:color w:val="767171"/>
                <w:sz w:val="22"/>
                <w:szCs w:val="22"/>
              </w:rPr>
              <w:t>80</w:t>
            </w:r>
            <w:r w:rsidRPr="006D0445">
              <w:rPr>
                <w:b/>
                <w:bCs/>
                <w:color w:val="767171"/>
                <w:sz w:val="22"/>
                <w:szCs w:val="22"/>
              </w:rPr>
              <w:t>%</w:t>
            </w:r>
          </w:p>
        </w:tc>
      </w:tr>
      <w:tr w:rsidR="00BC62D3" w:rsidRPr="006D0445" w14:paraId="6A188279" w14:textId="77777777" w:rsidTr="00BC62D3">
        <w:tc>
          <w:tcPr>
            <w:tcW w:w="562" w:type="dxa"/>
            <w:vAlign w:val="center"/>
          </w:tcPr>
          <w:p w14:paraId="5569A8A0" w14:textId="093EB33C"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7</w:t>
            </w:r>
          </w:p>
        </w:tc>
        <w:tc>
          <w:tcPr>
            <w:tcW w:w="1702" w:type="dxa"/>
            <w:vAlign w:val="center"/>
          </w:tcPr>
          <w:p w14:paraId="03A8CD59" w14:textId="46CA2E9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7DDA84C1"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 ERP Institucional</w:t>
            </w:r>
          </w:p>
        </w:tc>
        <w:tc>
          <w:tcPr>
            <w:tcW w:w="2127" w:type="dxa"/>
            <w:vAlign w:val="center"/>
          </w:tcPr>
          <w:p w14:paraId="4323CD8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sistema implementado</w:t>
            </w:r>
          </w:p>
        </w:tc>
        <w:tc>
          <w:tcPr>
            <w:tcW w:w="1275" w:type="dxa"/>
            <w:vAlign w:val="center"/>
          </w:tcPr>
          <w:p w14:paraId="4F8FD58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C00A6E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010424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ACBDE36" w14:textId="5ECF9AED" w:rsidR="00BC62D3" w:rsidRPr="006D0445" w:rsidRDefault="00BC62D3" w:rsidP="00151441">
            <w:pPr>
              <w:spacing w:line="240" w:lineRule="auto"/>
              <w:jc w:val="center"/>
              <w:rPr>
                <w:b/>
                <w:bCs/>
                <w:color w:val="767171"/>
                <w:sz w:val="22"/>
                <w:szCs w:val="22"/>
              </w:rPr>
            </w:pPr>
            <w:r>
              <w:rPr>
                <w:b/>
                <w:bCs/>
                <w:color w:val="767171"/>
                <w:sz w:val="22"/>
                <w:szCs w:val="22"/>
              </w:rPr>
              <w:t>71</w:t>
            </w:r>
            <w:r w:rsidRPr="006D0445">
              <w:rPr>
                <w:b/>
                <w:bCs/>
                <w:color w:val="767171"/>
                <w:sz w:val="22"/>
                <w:szCs w:val="22"/>
              </w:rPr>
              <w:t>%</w:t>
            </w:r>
          </w:p>
        </w:tc>
      </w:tr>
      <w:tr w:rsidR="00BC62D3" w:rsidRPr="006D0445" w14:paraId="145E659E" w14:textId="77777777" w:rsidTr="00BC62D3">
        <w:tc>
          <w:tcPr>
            <w:tcW w:w="562" w:type="dxa"/>
            <w:vAlign w:val="center"/>
          </w:tcPr>
          <w:p w14:paraId="57770930" w14:textId="44B14651"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4</w:t>
            </w:r>
            <w:r w:rsidR="00225A28">
              <w:rPr>
                <w:rFonts w:eastAsia="Calibri"/>
                <w:noProof/>
                <w:color w:val="767171"/>
                <w:sz w:val="22"/>
                <w:szCs w:val="22"/>
              </w:rPr>
              <w:t>8</w:t>
            </w:r>
          </w:p>
        </w:tc>
        <w:tc>
          <w:tcPr>
            <w:tcW w:w="1702" w:type="dxa"/>
            <w:vAlign w:val="center"/>
          </w:tcPr>
          <w:p w14:paraId="49525963" w14:textId="5176D931"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773C075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Automatización del proceso de Licencias Técnico Electricista (servicio en línea)</w:t>
            </w:r>
          </w:p>
        </w:tc>
        <w:tc>
          <w:tcPr>
            <w:tcW w:w="2127" w:type="dxa"/>
            <w:vAlign w:val="center"/>
          </w:tcPr>
          <w:p w14:paraId="54F2E01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Tramitación de servicio en línea</w:t>
            </w:r>
          </w:p>
        </w:tc>
        <w:tc>
          <w:tcPr>
            <w:tcW w:w="1275" w:type="dxa"/>
            <w:vAlign w:val="center"/>
          </w:tcPr>
          <w:p w14:paraId="048C78E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C06EA8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05FB76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30C928A" w14:textId="68A30D00" w:rsidR="00BC62D3" w:rsidRPr="006D0445" w:rsidRDefault="00BC62D3" w:rsidP="00151441">
            <w:pPr>
              <w:spacing w:line="240" w:lineRule="auto"/>
              <w:jc w:val="center"/>
              <w:rPr>
                <w:b/>
                <w:bCs/>
                <w:color w:val="767171"/>
                <w:sz w:val="22"/>
                <w:szCs w:val="22"/>
              </w:rPr>
            </w:pPr>
            <w:r>
              <w:rPr>
                <w:b/>
                <w:bCs/>
                <w:color w:val="767171"/>
                <w:sz w:val="22"/>
                <w:szCs w:val="22"/>
              </w:rPr>
              <w:t>96</w:t>
            </w:r>
            <w:r w:rsidRPr="006D0445">
              <w:rPr>
                <w:b/>
                <w:bCs/>
                <w:color w:val="767171"/>
                <w:sz w:val="22"/>
                <w:szCs w:val="22"/>
              </w:rPr>
              <w:t>%</w:t>
            </w:r>
          </w:p>
        </w:tc>
      </w:tr>
      <w:tr w:rsidR="00BC62D3" w:rsidRPr="006D0445" w14:paraId="38E75188" w14:textId="77777777" w:rsidTr="00BC62D3">
        <w:tc>
          <w:tcPr>
            <w:tcW w:w="562" w:type="dxa"/>
            <w:vAlign w:val="center"/>
          </w:tcPr>
          <w:p w14:paraId="2FE5E7EC" w14:textId="12CE152B"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49</w:t>
            </w:r>
          </w:p>
        </w:tc>
        <w:tc>
          <w:tcPr>
            <w:tcW w:w="1702" w:type="dxa"/>
            <w:vAlign w:val="center"/>
          </w:tcPr>
          <w:p w14:paraId="046D1BB2" w14:textId="0CA84EDB"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Tecnología</w:t>
            </w:r>
          </w:p>
        </w:tc>
        <w:tc>
          <w:tcPr>
            <w:tcW w:w="2262" w:type="dxa"/>
            <w:vAlign w:val="center"/>
          </w:tcPr>
          <w:p w14:paraId="68CC361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 xml:space="preserve">Garantizar los equipos y herramientas tecnológicas necesarias </w:t>
            </w:r>
            <w:r w:rsidRPr="006D0445">
              <w:rPr>
                <w:rFonts w:eastAsia="Calibri"/>
                <w:noProof/>
                <w:color w:val="767171"/>
                <w:sz w:val="22"/>
                <w:szCs w:val="22"/>
              </w:rPr>
              <w:lastRenderedPageBreak/>
              <w:t>para el desempeño de las labores en la institución</w:t>
            </w:r>
          </w:p>
        </w:tc>
        <w:tc>
          <w:tcPr>
            <w:tcW w:w="2127" w:type="dxa"/>
            <w:vAlign w:val="center"/>
          </w:tcPr>
          <w:p w14:paraId="7D449DB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Indicador de mesa de ayuda</w:t>
            </w:r>
          </w:p>
        </w:tc>
        <w:tc>
          <w:tcPr>
            <w:tcW w:w="1275" w:type="dxa"/>
            <w:vAlign w:val="center"/>
          </w:tcPr>
          <w:p w14:paraId="4C639BF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4636A5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4F2442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D2D2B6A" w14:textId="5AAB5C58"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7E05B7E1" w14:textId="77777777" w:rsidTr="00BC62D3">
        <w:tc>
          <w:tcPr>
            <w:tcW w:w="562" w:type="dxa"/>
            <w:vAlign w:val="center"/>
          </w:tcPr>
          <w:p w14:paraId="54095122" w14:textId="5BDB49E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0</w:t>
            </w:r>
          </w:p>
        </w:tc>
        <w:tc>
          <w:tcPr>
            <w:tcW w:w="1702" w:type="dxa"/>
            <w:vAlign w:val="center"/>
          </w:tcPr>
          <w:p w14:paraId="1D2FA7F3" w14:textId="21FF23B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Administrativa Financiera</w:t>
            </w:r>
          </w:p>
        </w:tc>
        <w:tc>
          <w:tcPr>
            <w:tcW w:w="2262" w:type="dxa"/>
            <w:vAlign w:val="center"/>
          </w:tcPr>
          <w:p w14:paraId="484ACB1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Cumplimiento de los requerimientos del sistema de monitoreo y medición de la gestión pública</w:t>
            </w:r>
          </w:p>
        </w:tc>
        <w:tc>
          <w:tcPr>
            <w:tcW w:w="2127" w:type="dxa"/>
            <w:vAlign w:val="center"/>
          </w:tcPr>
          <w:p w14:paraId="785D81C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cumplimiento ejecutado</w:t>
            </w:r>
          </w:p>
        </w:tc>
        <w:tc>
          <w:tcPr>
            <w:tcW w:w="1275" w:type="dxa"/>
            <w:vAlign w:val="center"/>
          </w:tcPr>
          <w:p w14:paraId="36487C0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5CAA5A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A41EFB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E95A5C7" w14:textId="4EFCEABB" w:rsidR="00BC62D3" w:rsidRPr="006D0445" w:rsidRDefault="00CA4F77" w:rsidP="00151441">
            <w:pPr>
              <w:spacing w:line="240" w:lineRule="auto"/>
              <w:jc w:val="center"/>
              <w:rPr>
                <w:b/>
                <w:bCs/>
                <w:color w:val="767171"/>
                <w:sz w:val="22"/>
                <w:szCs w:val="22"/>
              </w:rPr>
            </w:pPr>
            <w:r>
              <w:rPr>
                <w:b/>
                <w:bCs/>
                <w:color w:val="767171"/>
                <w:sz w:val="22"/>
                <w:szCs w:val="22"/>
              </w:rPr>
              <w:t>79</w:t>
            </w:r>
            <w:r w:rsidR="00BC62D3" w:rsidRPr="006D0445">
              <w:rPr>
                <w:b/>
                <w:bCs/>
                <w:color w:val="767171"/>
                <w:sz w:val="22"/>
                <w:szCs w:val="22"/>
              </w:rPr>
              <w:t>%</w:t>
            </w:r>
          </w:p>
        </w:tc>
      </w:tr>
      <w:tr w:rsidR="00BC62D3" w:rsidRPr="006D0445" w14:paraId="1F9A7CF0" w14:textId="77777777" w:rsidTr="00BC62D3">
        <w:tc>
          <w:tcPr>
            <w:tcW w:w="562" w:type="dxa"/>
            <w:vAlign w:val="center"/>
          </w:tcPr>
          <w:p w14:paraId="67CD7383" w14:textId="5B32B0A6"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1</w:t>
            </w:r>
          </w:p>
        </w:tc>
        <w:tc>
          <w:tcPr>
            <w:tcW w:w="1702" w:type="dxa"/>
            <w:vAlign w:val="center"/>
          </w:tcPr>
          <w:p w14:paraId="3C6C24DB" w14:textId="047A6DA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Administrativa Financiera</w:t>
            </w:r>
          </w:p>
        </w:tc>
        <w:tc>
          <w:tcPr>
            <w:tcW w:w="2262" w:type="dxa"/>
            <w:vAlign w:val="center"/>
          </w:tcPr>
          <w:p w14:paraId="1BCEB19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Sistema de Control de Activos Institucionales</w:t>
            </w:r>
          </w:p>
        </w:tc>
        <w:tc>
          <w:tcPr>
            <w:tcW w:w="2127" w:type="dxa"/>
            <w:vAlign w:val="center"/>
          </w:tcPr>
          <w:p w14:paraId="6380958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Listado de descargos ejecutados</w:t>
            </w:r>
          </w:p>
        </w:tc>
        <w:tc>
          <w:tcPr>
            <w:tcW w:w="1275" w:type="dxa"/>
            <w:vAlign w:val="center"/>
          </w:tcPr>
          <w:p w14:paraId="56F5061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0F7034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F45CF1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425F7A6" w14:textId="63F9E248" w:rsidR="00BC62D3" w:rsidRPr="006D0445" w:rsidRDefault="00CA4F77" w:rsidP="00151441">
            <w:pPr>
              <w:spacing w:line="240" w:lineRule="auto"/>
              <w:jc w:val="center"/>
              <w:rPr>
                <w:b/>
                <w:bCs/>
                <w:color w:val="767171"/>
                <w:sz w:val="22"/>
                <w:szCs w:val="22"/>
              </w:rPr>
            </w:pPr>
            <w:r>
              <w:rPr>
                <w:b/>
                <w:bCs/>
                <w:color w:val="767171"/>
                <w:sz w:val="22"/>
                <w:szCs w:val="22"/>
              </w:rPr>
              <w:t>78</w:t>
            </w:r>
            <w:r w:rsidR="00BC62D3" w:rsidRPr="006D0445">
              <w:rPr>
                <w:b/>
                <w:bCs/>
                <w:color w:val="767171"/>
                <w:sz w:val="22"/>
                <w:szCs w:val="22"/>
              </w:rPr>
              <w:t>%</w:t>
            </w:r>
          </w:p>
        </w:tc>
      </w:tr>
      <w:tr w:rsidR="00BC62D3" w:rsidRPr="006D0445" w14:paraId="182FB753" w14:textId="77777777" w:rsidTr="00BC62D3">
        <w:tc>
          <w:tcPr>
            <w:tcW w:w="562" w:type="dxa"/>
            <w:vAlign w:val="center"/>
          </w:tcPr>
          <w:p w14:paraId="44DAD6B1" w14:textId="6B273C31"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2</w:t>
            </w:r>
          </w:p>
        </w:tc>
        <w:tc>
          <w:tcPr>
            <w:tcW w:w="1702" w:type="dxa"/>
            <w:vAlign w:val="center"/>
          </w:tcPr>
          <w:p w14:paraId="04B7D0AB" w14:textId="4FD54C3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Administrativa Financiera</w:t>
            </w:r>
          </w:p>
        </w:tc>
        <w:tc>
          <w:tcPr>
            <w:tcW w:w="2262" w:type="dxa"/>
            <w:vAlign w:val="center"/>
          </w:tcPr>
          <w:p w14:paraId="1ACCDC8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Diseño de gestión de entrega de bienes de consumo a nivel nacional</w:t>
            </w:r>
          </w:p>
        </w:tc>
        <w:tc>
          <w:tcPr>
            <w:tcW w:w="2127" w:type="dxa"/>
            <w:vAlign w:val="center"/>
          </w:tcPr>
          <w:p w14:paraId="4036026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Sistema de Gestión de Entregas Implementad</w:t>
            </w:r>
          </w:p>
        </w:tc>
        <w:tc>
          <w:tcPr>
            <w:tcW w:w="1275" w:type="dxa"/>
            <w:vAlign w:val="center"/>
          </w:tcPr>
          <w:p w14:paraId="7307534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B12C28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9BD991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9A63443" w14:textId="7FFD6278"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3BFA3815" w14:textId="77777777" w:rsidTr="00BC62D3">
        <w:tc>
          <w:tcPr>
            <w:tcW w:w="562" w:type="dxa"/>
            <w:vAlign w:val="center"/>
          </w:tcPr>
          <w:p w14:paraId="19F48250" w14:textId="53840D2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3</w:t>
            </w:r>
          </w:p>
        </w:tc>
        <w:tc>
          <w:tcPr>
            <w:tcW w:w="1702" w:type="dxa"/>
            <w:vAlign w:val="center"/>
          </w:tcPr>
          <w:p w14:paraId="79989B7A" w14:textId="1A6B1AE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Administrativa Financiera</w:t>
            </w:r>
          </w:p>
        </w:tc>
        <w:tc>
          <w:tcPr>
            <w:tcW w:w="2262" w:type="dxa"/>
            <w:vAlign w:val="center"/>
          </w:tcPr>
          <w:p w14:paraId="6E919D9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Gestión de la Documentación en Correspondencia y Archivos</w:t>
            </w:r>
          </w:p>
        </w:tc>
        <w:tc>
          <w:tcPr>
            <w:tcW w:w="2127" w:type="dxa"/>
            <w:vAlign w:val="center"/>
          </w:tcPr>
          <w:p w14:paraId="635796E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sistema de gestión de documentos implementados</w:t>
            </w:r>
          </w:p>
        </w:tc>
        <w:tc>
          <w:tcPr>
            <w:tcW w:w="1275" w:type="dxa"/>
            <w:vAlign w:val="center"/>
          </w:tcPr>
          <w:p w14:paraId="3243F44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400218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4127BE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4271FC3" w14:textId="0F15E528" w:rsidR="00BC62D3" w:rsidRPr="006D0445" w:rsidRDefault="00BC62D3" w:rsidP="00151441">
            <w:pPr>
              <w:spacing w:line="240" w:lineRule="auto"/>
              <w:jc w:val="center"/>
              <w:rPr>
                <w:b/>
                <w:bCs/>
                <w:color w:val="767171"/>
                <w:sz w:val="22"/>
                <w:szCs w:val="22"/>
              </w:rPr>
            </w:pPr>
            <w:r>
              <w:rPr>
                <w:b/>
                <w:bCs/>
                <w:color w:val="767171"/>
                <w:sz w:val="22"/>
                <w:szCs w:val="22"/>
              </w:rPr>
              <w:t>5</w:t>
            </w:r>
            <w:r w:rsidR="00CA4F77">
              <w:rPr>
                <w:b/>
                <w:bCs/>
                <w:color w:val="767171"/>
                <w:sz w:val="22"/>
                <w:szCs w:val="22"/>
              </w:rPr>
              <w:t>0</w:t>
            </w:r>
            <w:r w:rsidRPr="006D0445">
              <w:rPr>
                <w:b/>
                <w:bCs/>
                <w:color w:val="767171"/>
                <w:sz w:val="22"/>
                <w:szCs w:val="22"/>
              </w:rPr>
              <w:t>%</w:t>
            </w:r>
          </w:p>
        </w:tc>
      </w:tr>
      <w:tr w:rsidR="00BC62D3" w:rsidRPr="006D0445" w14:paraId="29909BF4" w14:textId="77777777" w:rsidTr="00BC62D3">
        <w:tc>
          <w:tcPr>
            <w:tcW w:w="562" w:type="dxa"/>
            <w:vAlign w:val="center"/>
          </w:tcPr>
          <w:p w14:paraId="03AB7997" w14:textId="6F369FE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4</w:t>
            </w:r>
          </w:p>
        </w:tc>
        <w:tc>
          <w:tcPr>
            <w:tcW w:w="1702" w:type="dxa"/>
            <w:vAlign w:val="center"/>
          </w:tcPr>
          <w:p w14:paraId="094658F8" w14:textId="543801D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Comunicaciones</w:t>
            </w:r>
          </w:p>
        </w:tc>
        <w:tc>
          <w:tcPr>
            <w:tcW w:w="2262" w:type="dxa"/>
            <w:vAlign w:val="center"/>
          </w:tcPr>
          <w:p w14:paraId="6ACFE5A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Implementación de campaña de educación al ciudadano Dominicana Eficiente</w:t>
            </w:r>
          </w:p>
        </w:tc>
        <w:tc>
          <w:tcPr>
            <w:tcW w:w="2127" w:type="dxa"/>
            <w:vAlign w:val="center"/>
          </w:tcPr>
          <w:p w14:paraId="44AB17E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campaña educación para la sociedad</w:t>
            </w:r>
          </w:p>
        </w:tc>
        <w:tc>
          <w:tcPr>
            <w:tcW w:w="1275" w:type="dxa"/>
            <w:vAlign w:val="center"/>
          </w:tcPr>
          <w:p w14:paraId="72C0F51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F86B2E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D8AB31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D066654" w14:textId="1CC5409D"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0AE6598A" w14:textId="77777777" w:rsidTr="00BC62D3">
        <w:tc>
          <w:tcPr>
            <w:tcW w:w="562" w:type="dxa"/>
            <w:vAlign w:val="center"/>
          </w:tcPr>
          <w:p w14:paraId="73F40F5A" w14:textId="3883C60C"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5</w:t>
            </w:r>
          </w:p>
        </w:tc>
        <w:tc>
          <w:tcPr>
            <w:tcW w:w="1702" w:type="dxa"/>
            <w:vAlign w:val="center"/>
          </w:tcPr>
          <w:p w14:paraId="2BBBA7CC" w14:textId="6464393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Comunicaciones</w:t>
            </w:r>
          </w:p>
        </w:tc>
        <w:tc>
          <w:tcPr>
            <w:tcW w:w="2262" w:type="dxa"/>
            <w:vAlign w:val="center"/>
          </w:tcPr>
          <w:p w14:paraId="592113E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de las políticas de Ayuda Social y Responsabilidad Social Institucional y Medio Ambiente de la SIE</w:t>
            </w:r>
          </w:p>
        </w:tc>
        <w:tc>
          <w:tcPr>
            <w:tcW w:w="2127" w:type="dxa"/>
            <w:vAlign w:val="center"/>
          </w:tcPr>
          <w:p w14:paraId="65045F4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actualización de la política de responsabilidad social y medio ambiente</w:t>
            </w:r>
          </w:p>
        </w:tc>
        <w:tc>
          <w:tcPr>
            <w:tcW w:w="1275" w:type="dxa"/>
            <w:vAlign w:val="center"/>
          </w:tcPr>
          <w:p w14:paraId="73C7032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4D0AE0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4B1520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1A4D0AD"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50%</w:t>
            </w:r>
          </w:p>
        </w:tc>
      </w:tr>
      <w:tr w:rsidR="00BC62D3" w:rsidRPr="006D0445" w14:paraId="404A740A" w14:textId="77777777" w:rsidTr="00BC62D3">
        <w:tc>
          <w:tcPr>
            <w:tcW w:w="562" w:type="dxa"/>
            <w:vAlign w:val="center"/>
          </w:tcPr>
          <w:p w14:paraId="4D64B6D1" w14:textId="0027C94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6</w:t>
            </w:r>
          </w:p>
        </w:tc>
        <w:tc>
          <w:tcPr>
            <w:tcW w:w="1702" w:type="dxa"/>
            <w:vAlign w:val="center"/>
          </w:tcPr>
          <w:p w14:paraId="4205AAB2" w14:textId="74FDF31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Comunicaciones</w:t>
            </w:r>
          </w:p>
        </w:tc>
        <w:tc>
          <w:tcPr>
            <w:tcW w:w="2262" w:type="dxa"/>
            <w:vAlign w:val="center"/>
          </w:tcPr>
          <w:p w14:paraId="6E7244E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Plan interno de Responsabilidad Social Institucional (RSI)</w:t>
            </w:r>
          </w:p>
        </w:tc>
        <w:tc>
          <w:tcPr>
            <w:tcW w:w="2127" w:type="dxa"/>
            <w:vAlign w:val="center"/>
          </w:tcPr>
          <w:p w14:paraId="30CA54B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Cumplimiento del plan de responsabilidad social</w:t>
            </w:r>
          </w:p>
        </w:tc>
        <w:tc>
          <w:tcPr>
            <w:tcW w:w="1275" w:type="dxa"/>
            <w:vAlign w:val="center"/>
          </w:tcPr>
          <w:p w14:paraId="5D21DC8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717242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DD1D91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681E568" w14:textId="50258388" w:rsidR="00BC62D3" w:rsidRPr="006D0445" w:rsidRDefault="00BC62D3" w:rsidP="00151441">
            <w:pPr>
              <w:spacing w:line="240" w:lineRule="auto"/>
              <w:jc w:val="center"/>
              <w:rPr>
                <w:b/>
                <w:bCs/>
                <w:color w:val="767171"/>
                <w:sz w:val="22"/>
                <w:szCs w:val="22"/>
              </w:rPr>
            </w:pPr>
            <w:r>
              <w:rPr>
                <w:b/>
                <w:bCs/>
                <w:color w:val="767171"/>
                <w:sz w:val="22"/>
                <w:szCs w:val="22"/>
              </w:rPr>
              <w:t>93</w:t>
            </w:r>
            <w:r w:rsidRPr="006D0445">
              <w:rPr>
                <w:b/>
                <w:bCs/>
                <w:color w:val="767171"/>
                <w:sz w:val="22"/>
                <w:szCs w:val="22"/>
              </w:rPr>
              <w:t>%</w:t>
            </w:r>
          </w:p>
        </w:tc>
      </w:tr>
      <w:tr w:rsidR="00BC62D3" w:rsidRPr="006D0445" w14:paraId="2F55FC09" w14:textId="77777777" w:rsidTr="00BC62D3">
        <w:trPr>
          <w:trHeight w:val="736"/>
        </w:trPr>
        <w:tc>
          <w:tcPr>
            <w:tcW w:w="562" w:type="dxa"/>
            <w:vAlign w:val="center"/>
          </w:tcPr>
          <w:p w14:paraId="6F81C776" w14:textId="47A30329"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7</w:t>
            </w:r>
          </w:p>
        </w:tc>
        <w:tc>
          <w:tcPr>
            <w:tcW w:w="1702" w:type="dxa"/>
            <w:vAlign w:val="center"/>
          </w:tcPr>
          <w:p w14:paraId="03527263" w14:textId="2BC63F9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Comunicaciones</w:t>
            </w:r>
          </w:p>
        </w:tc>
        <w:tc>
          <w:tcPr>
            <w:tcW w:w="2262" w:type="dxa"/>
            <w:vAlign w:val="center"/>
          </w:tcPr>
          <w:p w14:paraId="0CFAEFC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Boletín Institucional INFO SIE</w:t>
            </w:r>
          </w:p>
        </w:tc>
        <w:tc>
          <w:tcPr>
            <w:tcW w:w="2127" w:type="dxa"/>
            <w:vAlign w:val="center"/>
          </w:tcPr>
          <w:p w14:paraId="11CD2E11"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boletines emitidos</w:t>
            </w:r>
          </w:p>
        </w:tc>
        <w:tc>
          <w:tcPr>
            <w:tcW w:w="1275" w:type="dxa"/>
            <w:vAlign w:val="center"/>
          </w:tcPr>
          <w:p w14:paraId="076CEFF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93E073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BA6D70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A94F3B4" w14:textId="1433734C"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42984B01" w14:textId="77777777" w:rsidTr="00BC62D3">
        <w:tc>
          <w:tcPr>
            <w:tcW w:w="562" w:type="dxa"/>
            <w:vAlign w:val="center"/>
          </w:tcPr>
          <w:p w14:paraId="56AF30ED" w14:textId="17DD083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5</w:t>
            </w:r>
            <w:r w:rsidR="00225A28">
              <w:rPr>
                <w:rFonts w:eastAsia="Calibri"/>
                <w:noProof/>
                <w:color w:val="767171"/>
                <w:sz w:val="22"/>
                <w:szCs w:val="22"/>
              </w:rPr>
              <w:t>8</w:t>
            </w:r>
          </w:p>
        </w:tc>
        <w:tc>
          <w:tcPr>
            <w:tcW w:w="1702" w:type="dxa"/>
            <w:vAlign w:val="center"/>
          </w:tcPr>
          <w:p w14:paraId="10B2AF3A" w14:textId="60CDEAA2"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Infraestructura</w:t>
            </w:r>
          </w:p>
        </w:tc>
        <w:tc>
          <w:tcPr>
            <w:tcW w:w="2262" w:type="dxa"/>
            <w:vAlign w:val="center"/>
          </w:tcPr>
          <w:p w14:paraId="31F9024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Adecuación Infraestructura Edificio Principal SIE (FASE DE DISEÑO)</w:t>
            </w:r>
          </w:p>
        </w:tc>
        <w:tc>
          <w:tcPr>
            <w:tcW w:w="2127" w:type="dxa"/>
            <w:vAlign w:val="center"/>
          </w:tcPr>
          <w:p w14:paraId="38D8950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proyecto ejecutado</w:t>
            </w:r>
          </w:p>
        </w:tc>
        <w:tc>
          <w:tcPr>
            <w:tcW w:w="1275" w:type="dxa"/>
            <w:vAlign w:val="center"/>
          </w:tcPr>
          <w:p w14:paraId="67DA6C2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1743E5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38809C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4EB513C" w14:textId="59309D81" w:rsidR="00BC62D3" w:rsidRPr="006D0445" w:rsidRDefault="00BC62D3" w:rsidP="00151441">
            <w:pPr>
              <w:spacing w:line="240" w:lineRule="auto"/>
              <w:jc w:val="center"/>
              <w:rPr>
                <w:b/>
                <w:bCs/>
                <w:color w:val="767171"/>
                <w:sz w:val="22"/>
                <w:szCs w:val="22"/>
              </w:rPr>
            </w:pPr>
            <w:r>
              <w:rPr>
                <w:b/>
                <w:bCs/>
                <w:color w:val="767171"/>
                <w:sz w:val="22"/>
                <w:szCs w:val="22"/>
              </w:rPr>
              <w:t>55</w:t>
            </w:r>
            <w:r w:rsidRPr="006D0445">
              <w:rPr>
                <w:b/>
                <w:bCs/>
                <w:color w:val="767171"/>
                <w:sz w:val="22"/>
                <w:szCs w:val="22"/>
              </w:rPr>
              <w:t>%</w:t>
            </w:r>
          </w:p>
        </w:tc>
      </w:tr>
      <w:tr w:rsidR="00BC62D3" w:rsidRPr="006D0445" w14:paraId="7A3AC3C0" w14:textId="77777777" w:rsidTr="00BC62D3">
        <w:tc>
          <w:tcPr>
            <w:tcW w:w="562" w:type="dxa"/>
            <w:vAlign w:val="center"/>
          </w:tcPr>
          <w:p w14:paraId="61450E12" w14:textId="251D6F03"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59</w:t>
            </w:r>
          </w:p>
        </w:tc>
        <w:tc>
          <w:tcPr>
            <w:tcW w:w="1702" w:type="dxa"/>
            <w:vAlign w:val="center"/>
          </w:tcPr>
          <w:p w14:paraId="678247E4" w14:textId="19F4D96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Infraestructura</w:t>
            </w:r>
          </w:p>
        </w:tc>
        <w:tc>
          <w:tcPr>
            <w:tcW w:w="2262" w:type="dxa"/>
            <w:vAlign w:val="center"/>
          </w:tcPr>
          <w:p w14:paraId="0C0CF09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Remozamiento oficinas Kasse Acta 1er y 5to Nivel</w:t>
            </w:r>
          </w:p>
        </w:tc>
        <w:tc>
          <w:tcPr>
            <w:tcW w:w="2127" w:type="dxa"/>
            <w:vAlign w:val="center"/>
          </w:tcPr>
          <w:p w14:paraId="67758C0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del proyecto ejecutado</w:t>
            </w:r>
          </w:p>
        </w:tc>
        <w:tc>
          <w:tcPr>
            <w:tcW w:w="1275" w:type="dxa"/>
            <w:vAlign w:val="center"/>
          </w:tcPr>
          <w:p w14:paraId="23896F2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A796AF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F08F94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650863E" w14:textId="42FAE764" w:rsidR="00BC62D3" w:rsidRPr="006D0445" w:rsidRDefault="00BC62D3" w:rsidP="00151441">
            <w:pPr>
              <w:spacing w:line="240" w:lineRule="auto"/>
              <w:jc w:val="center"/>
              <w:rPr>
                <w:b/>
                <w:bCs/>
                <w:color w:val="767171"/>
                <w:sz w:val="22"/>
                <w:szCs w:val="22"/>
              </w:rPr>
            </w:pPr>
            <w:r>
              <w:rPr>
                <w:b/>
                <w:bCs/>
                <w:color w:val="767171"/>
                <w:sz w:val="22"/>
                <w:szCs w:val="22"/>
              </w:rPr>
              <w:t>75</w:t>
            </w:r>
            <w:r w:rsidRPr="006D0445">
              <w:rPr>
                <w:b/>
                <w:bCs/>
                <w:color w:val="767171"/>
                <w:sz w:val="22"/>
                <w:szCs w:val="22"/>
              </w:rPr>
              <w:t>%</w:t>
            </w:r>
          </w:p>
        </w:tc>
      </w:tr>
      <w:tr w:rsidR="00BC62D3" w:rsidRPr="006D0445" w14:paraId="186F4366" w14:textId="77777777" w:rsidTr="00BC62D3">
        <w:tc>
          <w:tcPr>
            <w:tcW w:w="562" w:type="dxa"/>
            <w:vAlign w:val="center"/>
          </w:tcPr>
          <w:p w14:paraId="0E44B050" w14:textId="149C2A5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lastRenderedPageBreak/>
              <w:t>6</w:t>
            </w:r>
            <w:r w:rsidR="00225A28">
              <w:rPr>
                <w:rFonts w:eastAsia="Calibri"/>
                <w:noProof/>
                <w:color w:val="767171"/>
                <w:sz w:val="22"/>
                <w:szCs w:val="22"/>
              </w:rPr>
              <w:t>0</w:t>
            </w:r>
          </w:p>
        </w:tc>
        <w:tc>
          <w:tcPr>
            <w:tcW w:w="1702" w:type="dxa"/>
            <w:vAlign w:val="center"/>
          </w:tcPr>
          <w:p w14:paraId="3B7484AD" w14:textId="3139B79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Infraestructura</w:t>
            </w:r>
          </w:p>
        </w:tc>
        <w:tc>
          <w:tcPr>
            <w:tcW w:w="2262" w:type="dxa"/>
            <w:vAlign w:val="center"/>
          </w:tcPr>
          <w:p w14:paraId="0012B84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Remozamiento oficinas Protecom y Puntos Expreso</w:t>
            </w:r>
          </w:p>
        </w:tc>
        <w:tc>
          <w:tcPr>
            <w:tcW w:w="2127" w:type="dxa"/>
            <w:vAlign w:val="center"/>
          </w:tcPr>
          <w:p w14:paraId="6934C7B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Obras Ejecutadas</w:t>
            </w:r>
          </w:p>
        </w:tc>
        <w:tc>
          <w:tcPr>
            <w:tcW w:w="1275" w:type="dxa"/>
            <w:vAlign w:val="center"/>
          </w:tcPr>
          <w:p w14:paraId="28DFD49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DEA683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4ABC50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CB2F50A" w14:textId="2D1D7C85" w:rsidR="00BC62D3" w:rsidRPr="006D0445" w:rsidRDefault="00BC62D3" w:rsidP="00151441">
            <w:pPr>
              <w:spacing w:line="240" w:lineRule="auto"/>
              <w:jc w:val="center"/>
              <w:rPr>
                <w:b/>
                <w:bCs/>
                <w:color w:val="767171"/>
                <w:sz w:val="22"/>
                <w:szCs w:val="22"/>
              </w:rPr>
            </w:pPr>
            <w:r>
              <w:rPr>
                <w:b/>
                <w:bCs/>
                <w:color w:val="767171"/>
                <w:sz w:val="22"/>
                <w:szCs w:val="22"/>
              </w:rPr>
              <w:t>75</w:t>
            </w:r>
            <w:r w:rsidRPr="006D0445">
              <w:rPr>
                <w:b/>
                <w:bCs/>
                <w:color w:val="767171"/>
                <w:sz w:val="22"/>
                <w:szCs w:val="22"/>
              </w:rPr>
              <w:t>%</w:t>
            </w:r>
          </w:p>
        </w:tc>
      </w:tr>
      <w:tr w:rsidR="00BC62D3" w:rsidRPr="006D0445" w14:paraId="5ABC6311" w14:textId="77777777" w:rsidTr="00BC62D3">
        <w:tc>
          <w:tcPr>
            <w:tcW w:w="562" w:type="dxa"/>
            <w:vAlign w:val="center"/>
          </w:tcPr>
          <w:p w14:paraId="5A78D8E0" w14:textId="08D3A78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1</w:t>
            </w:r>
          </w:p>
        </w:tc>
        <w:tc>
          <w:tcPr>
            <w:tcW w:w="1702" w:type="dxa"/>
            <w:vAlign w:val="center"/>
          </w:tcPr>
          <w:p w14:paraId="7F794D75" w14:textId="7C2CB71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Infraestructura</w:t>
            </w:r>
          </w:p>
        </w:tc>
        <w:tc>
          <w:tcPr>
            <w:tcW w:w="2262" w:type="dxa"/>
            <w:vAlign w:val="center"/>
          </w:tcPr>
          <w:p w14:paraId="6B9D848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Gestión de cumplimento de planes de mantenimiento de infraestructura</w:t>
            </w:r>
          </w:p>
        </w:tc>
        <w:tc>
          <w:tcPr>
            <w:tcW w:w="2127" w:type="dxa"/>
            <w:vAlign w:val="center"/>
          </w:tcPr>
          <w:p w14:paraId="14F3099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Cumplimiento de plan de mantenimiento preventivo y correctivo</w:t>
            </w:r>
          </w:p>
        </w:tc>
        <w:tc>
          <w:tcPr>
            <w:tcW w:w="1275" w:type="dxa"/>
            <w:vAlign w:val="center"/>
          </w:tcPr>
          <w:p w14:paraId="4AC39CC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D625D9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1ADB89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08F0B97" w14:textId="3B0C7100"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248C666D" w14:textId="77777777" w:rsidTr="00BC62D3">
        <w:tc>
          <w:tcPr>
            <w:tcW w:w="562" w:type="dxa"/>
            <w:vAlign w:val="center"/>
          </w:tcPr>
          <w:p w14:paraId="4AF35B33" w14:textId="2493819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2</w:t>
            </w:r>
          </w:p>
        </w:tc>
        <w:tc>
          <w:tcPr>
            <w:tcW w:w="1702" w:type="dxa"/>
            <w:vAlign w:val="center"/>
          </w:tcPr>
          <w:p w14:paraId="08315A65" w14:textId="6924FC6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de Infraestructura</w:t>
            </w:r>
          </w:p>
        </w:tc>
        <w:tc>
          <w:tcPr>
            <w:tcW w:w="2262" w:type="dxa"/>
            <w:vAlign w:val="center"/>
          </w:tcPr>
          <w:p w14:paraId="686598A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Gestión de cumplimiento de servicios de transporte y mantenimiento de vehículos</w:t>
            </w:r>
          </w:p>
        </w:tc>
        <w:tc>
          <w:tcPr>
            <w:tcW w:w="2127" w:type="dxa"/>
            <w:vAlign w:val="center"/>
          </w:tcPr>
          <w:p w14:paraId="1C9E0ED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los servicios requeridos completados en base a lo solicitado</w:t>
            </w:r>
          </w:p>
        </w:tc>
        <w:tc>
          <w:tcPr>
            <w:tcW w:w="1275" w:type="dxa"/>
            <w:vAlign w:val="center"/>
          </w:tcPr>
          <w:p w14:paraId="76AC359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790690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A1ADBF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376183B" w14:textId="0A4871AC"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58B7ED21" w14:textId="77777777" w:rsidTr="00BC62D3">
        <w:tc>
          <w:tcPr>
            <w:tcW w:w="562" w:type="dxa"/>
            <w:vAlign w:val="center"/>
          </w:tcPr>
          <w:p w14:paraId="63E6E7CD" w14:textId="177C219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3</w:t>
            </w:r>
          </w:p>
        </w:tc>
        <w:tc>
          <w:tcPr>
            <w:tcW w:w="1702" w:type="dxa"/>
            <w:vAlign w:val="center"/>
          </w:tcPr>
          <w:p w14:paraId="39423904" w14:textId="74FE8951"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3C922AF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Procedimiento para registro de profesionales de árbitros ante la SIE</w:t>
            </w:r>
          </w:p>
        </w:tc>
        <w:tc>
          <w:tcPr>
            <w:tcW w:w="2127" w:type="dxa"/>
            <w:vAlign w:val="center"/>
          </w:tcPr>
          <w:p w14:paraId="4E88124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procedimiento implementado</w:t>
            </w:r>
          </w:p>
        </w:tc>
        <w:tc>
          <w:tcPr>
            <w:tcW w:w="1275" w:type="dxa"/>
            <w:vAlign w:val="center"/>
          </w:tcPr>
          <w:p w14:paraId="553172D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50EE45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75BAA3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29DBF11" w14:textId="0E2CBD7D" w:rsidR="00BC62D3" w:rsidRPr="006D0445" w:rsidRDefault="00CA4F77" w:rsidP="00151441">
            <w:pPr>
              <w:spacing w:line="240" w:lineRule="auto"/>
              <w:jc w:val="center"/>
              <w:rPr>
                <w:b/>
                <w:bCs/>
                <w:color w:val="767171"/>
                <w:sz w:val="22"/>
                <w:szCs w:val="22"/>
              </w:rPr>
            </w:pPr>
            <w:r>
              <w:rPr>
                <w:b/>
                <w:bCs/>
                <w:color w:val="767171"/>
                <w:sz w:val="22"/>
                <w:szCs w:val="22"/>
              </w:rPr>
              <w:t>5</w:t>
            </w:r>
            <w:r w:rsidR="00BC62D3" w:rsidRPr="006D0445">
              <w:rPr>
                <w:b/>
                <w:bCs/>
                <w:color w:val="767171"/>
                <w:sz w:val="22"/>
                <w:szCs w:val="22"/>
              </w:rPr>
              <w:t>0%</w:t>
            </w:r>
          </w:p>
        </w:tc>
      </w:tr>
      <w:tr w:rsidR="00BC62D3" w:rsidRPr="006D0445" w14:paraId="088B1A5E" w14:textId="77777777" w:rsidTr="00BC62D3">
        <w:tc>
          <w:tcPr>
            <w:tcW w:w="562" w:type="dxa"/>
            <w:vAlign w:val="center"/>
          </w:tcPr>
          <w:p w14:paraId="37F8837D" w14:textId="10AEF51A"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4</w:t>
            </w:r>
          </w:p>
        </w:tc>
        <w:tc>
          <w:tcPr>
            <w:tcW w:w="1702" w:type="dxa"/>
            <w:vAlign w:val="center"/>
          </w:tcPr>
          <w:p w14:paraId="2310F1CB" w14:textId="2C579B9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5C18B45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Elaboración de Acuerdos de servicios internos y externos de procesos Jurídicos</w:t>
            </w:r>
          </w:p>
        </w:tc>
        <w:tc>
          <w:tcPr>
            <w:tcW w:w="2127" w:type="dxa"/>
            <w:vAlign w:val="center"/>
          </w:tcPr>
          <w:p w14:paraId="3ACA4A6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Acuerdo elaborado</w:t>
            </w:r>
          </w:p>
        </w:tc>
        <w:tc>
          <w:tcPr>
            <w:tcW w:w="1275" w:type="dxa"/>
            <w:vAlign w:val="center"/>
          </w:tcPr>
          <w:p w14:paraId="7D9586D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C61F69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53EB41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18F7BBE" w14:textId="301A53EB"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1E87F04E" w14:textId="77777777" w:rsidTr="00BC62D3">
        <w:tc>
          <w:tcPr>
            <w:tcW w:w="562" w:type="dxa"/>
            <w:vAlign w:val="center"/>
          </w:tcPr>
          <w:p w14:paraId="4B27C014" w14:textId="78F222C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5</w:t>
            </w:r>
          </w:p>
        </w:tc>
        <w:tc>
          <w:tcPr>
            <w:tcW w:w="1702" w:type="dxa"/>
            <w:vAlign w:val="center"/>
          </w:tcPr>
          <w:p w14:paraId="5B7F42AB" w14:textId="53D91C8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3C2D6EA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del Reglamento de licitación de compra de energía</w:t>
            </w:r>
          </w:p>
        </w:tc>
        <w:tc>
          <w:tcPr>
            <w:tcW w:w="2127" w:type="dxa"/>
            <w:vAlign w:val="center"/>
          </w:tcPr>
          <w:p w14:paraId="35FA5F3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procedimiento implementado</w:t>
            </w:r>
          </w:p>
        </w:tc>
        <w:tc>
          <w:tcPr>
            <w:tcW w:w="1275" w:type="dxa"/>
            <w:vAlign w:val="center"/>
          </w:tcPr>
          <w:p w14:paraId="6123D8C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740710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E3C395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7706964" w14:textId="04DC2ECC"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1E71B127" w14:textId="77777777" w:rsidTr="00BC62D3">
        <w:tc>
          <w:tcPr>
            <w:tcW w:w="562" w:type="dxa"/>
            <w:vAlign w:val="center"/>
          </w:tcPr>
          <w:p w14:paraId="68234E44" w14:textId="6C67120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6</w:t>
            </w:r>
          </w:p>
        </w:tc>
        <w:tc>
          <w:tcPr>
            <w:tcW w:w="1702" w:type="dxa"/>
            <w:vAlign w:val="center"/>
          </w:tcPr>
          <w:p w14:paraId="601AA50B" w14:textId="4F00AE1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793A867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Elaboración de Reglamento mediación de conflictos</w:t>
            </w:r>
          </w:p>
        </w:tc>
        <w:tc>
          <w:tcPr>
            <w:tcW w:w="2127" w:type="dxa"/>
            <w:vAlign w:val="center"/>
          </w:tcPr>
          <w:p w14:paraId="55464E0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Reglamento elaborado</w:t>
            </w:r>
          </w:p>
        </w:tc>
        <w:tc>
          <w:tcPr>
            <w:tcW w:w="1275" w:type="dxa"/>
            <w:vAlign w:val="center"/>
          </w:tcPr>
          <w:p w14:paraId="052CAD6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E040A4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C0A12F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9856B49"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25%</w:t>
            </w:r>
          </w:p>
        </w:tc>
      </w:tr>
      <w:tr w:rsidR="00BC62D3" w:rsidRPr="006D0445" w14:paraId="68719275" w14:textId="77777777" w:rsidTr="00BC62D3">
        <w:tc>
          <w:tcPr>
            <w:tcW w:w="562" w:type="dxa"/>
            <w:vAlign w:val="center"/>
          </w:tcPr>
          <w:p w14:paraId="698609E6" w14:textId="7FBA01FF"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7</w:t>
            </w:r>
          </w:p>
        </w:tc>
        <w:tc>
          <w:tcPr>
            <w:tcW w:w="1702" w:type="dxa"/>
            <w:vAlign w:val="center"/>
          </w:tcPr>
          <w:p w14:paraId="0AA5F2A6" w14:textId="2D7E837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1B5A76B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Actualización de Reglamento Servicios Administrativos SIE (Adecuación con el Proyecto SIE Digital)</w:t>
            </w:r>
          </w:p>
        </w:tc>
        <w:tc>
          <w:tcPr>
            <w:tcW w:w="2127" w:type="dxa"/>
            <w:vAlign w:val="center"/>
          </w:tcPr>
          <w:p w14:paraId="7889FF7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Reglamento actualizado</w:t>
            </w:r>
          </w:p>
        </w:tc>
        <w:tc>
          <w:tcPr>
            <w:tcW w:w="1275" w:type="dxa"/>
            <w:vAlign w:val="center"/>
          </w:tcPr>
          <w:p w14:paraId="611B152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7087D8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BC4422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32B1FD9" w14:textId="25D739FE" w:rsidR="00BC62D3" w:rsidRPr="006D0445" w:rsidRDefault="00CA4F77"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350C58A3" w14:textId="77777777" w:rsidTr="00BC62D3">
        <w:tc>
          <w:tcPr>
            <w:tcW w:w="562" w:type="dxa"/>
            <w:vAlign w:val="center"/>
          </w:tcPr>
          <w:p w14:paraId="0C8CB4CF" w14:textId="715CD33B"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6</w:t>
            </w:r>
            <w:r w:rsidR="00225A28">
              <w:rPr>
                <w:rFonts w:eastAsia="Calibri"/>
                <w:noProof/>
                <w:color w:val="767171"/>
                <w:sz w:val="22"/>
                <w:szCs w:val="22"/>
              </w:rPr>
              <w:t>8</w:t>
            </w:r>
          </w:p>
        </w:tc>
        <w:tc>
          <w:tcPr>
            <w:tcW w:w="1702" w:type="dxa"/>
            <w:vAlign w:val="center"/>
          </w:tcPr>
          <w:p w14:paraId="680C8F68" w14:textId="5636BA0F"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44E6811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Integración de Plataforma Registro de Contratos y Recordatorio de Vencimiento en la Plataforma de Compras y Contrataciones</w:t>
            </w:r>
          </w:p>
        </w:tc>
        <w:tc>
          <w:tcPr>
            <w:tcW w:w="2127" w:type="dxa"/>
            <w:vAlign w:val="center"/>
          </w:tcPr>
          <w:p w14:paraId="59F42AC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Plataforma Implementada</w:t>
            </w:r>
          </w:p>
        </w:tc>
        <w:tc>
          <w:tcPr>
            <w:tcW w:w="1275" w:type="dxa"/>
            <w:vAlign w:val="center"/>
          </w:tcPr>
          <w:p w14:paraId="071AB83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719E33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72F32B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8B86520"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20%</w:t>
            </w:r>
          </w:p>
        </w:tc>
      </w:tr>
      <w:tr w:rsidR="00BC62D3" w:rsidRPr="006D0445" w14:paraId="75476CEB" w14:textId="77777777" w:rsidTr="00BC62D3">
        <w:tc>
          <w:tcPr>
            <w:tcW w:w="562" w:type="dxa"/>
            <w:vAlign w:val="center"/>
          </w:tcPr>
          <w:p w14:paraId="7DE13416" w14:textId="211D939C"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69</w:t>
            </w:r>
          </w:p>
        </w:tc>
        <w:tc>
          <w:tcPr>
            <w:tcW w:w="1702" w:type="dxa"/>
            <w:vAlign w:val="center"/>
          </w:tcPr>
          <w:p w14:paraId="35B14127" w14:textId="0D011722"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6C1D4A2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 xml:space="preserve">Implementación de Plataforma de Registro y Notificación de Vencimiento de los </w:t>
            </w:r>
            <w:r w:rsidRPr="006D0445">
              <w:rPr>
                <w:rFonts w:eastAsia="Calibri"/>
                <w:noProof/>
                <w:color w:val="767171"/>
                <w:sz w:val="22"/>
                <w:szCs w:val="22"/>
              </w:rPr>
              <w:lastRenderedPageBreak/>
              <w:t>Contratos Institucionales</w:t>
            </w:r>
          </w:p>
        </w:tc>
        <w:tc>
          <w:tcPr>
            <w:tcW w:w="2127" w:type="dxa"/>
            <w:vAlign w:val="center"/>
          </w:tcPr>
          <w:p w14:paraId="3AB1F9CE"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Plataforma Implementada</w:t>
            </w:r>
          </w:p>
        </w:tc>
        <w:tc>
          <w:tcPr>
            <w:tcW w:w="1275" w:type="dxa"/>
            <w:vAlign w:val="center"/>
          </w:tcPr>
          <w:p w14:paraId="58C92CA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8C1D95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FBB583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134E524"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20%</w:t>
            </w:r>
          </w:p>
        </w:tc>
      </w:tr>
      <w:tr w:rsidR="00BC62D3" w:rsidRPr="006D0445" w14:paraId="7BBF079C" w14:textId="77777777" w:rsidTr="00BC62D3">
        <w:tc>
          <w:tcPr>
            <w:tcW w:w="562" w:type="dxa"/>
            <w:vAlign w:val="center"/>
          </w:tcPr>
          <w:p w14:paraId="4021C40D" w14:textId="567A803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0</w:t>
            </w:r>
          </w:p>
        </w:tc>
        <w:tc>
          <w:tcPr>
            <w:tcW w:w="1702" w:type="dxa"/>
            <w:vAlign w:val="center"/>
          </w:tcPr>
          <w:p w14:paraId="502A6137" w14:textId="43982DC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04E05FE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Auditoria legal sobre los términos contractuales de los alquileres de la SIE</w:t>
            </w:r>
          </w:p>
        </w:tc>
        <w:tc>
          <w:tcPr>
            <w:tcW w:w="2127" w:type="dxa"/>
            <w:vAlign w:val="center"/>
          </w:tcPr>
          <w:p w14:paraId="2ECC3AD2"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elaborada</w:t>
            </w:r>
          </w:p>
        </w:tc>
        <w:tc>
          <w:tcPr>
            <w:tcW w:w="1275" w:type="dxa"/>
            <w:vAlign w:val="center"/>
          </w:tcPr>
          <w:p w14:paraId="6BF9679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A0751B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5D68EC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32F6192" w14:textId="0D30976E" w:rsidR="00BC62D3" w:rsidRPr="006D0445" w:rsidRDefault="00CA4F77" w:rsidP="00151441">
            <w:pPr>
              <w:spacing w:line="240" w:lineRule="auto"/>
              <w:jc w:val="center"/>
              <w:rPr>
                <w:b/>
                <w:bCs/>
                <w:color w:val="767171"/>
                <w:sz w:val="22"/>
                <w:szCs w:val="22"/>
              </w:rPr>
            </w:pPr>
            <w:r>
              <w:rPr>
                <w:b/>
                <w:bCs/>
                <w:color w:val="767171"/>
                <w:sz w:val="22"/>
                <w:szCs w:val="22"/>
              </w:rPr>
              <w:t>10</w:t>
            </w:r>
            <w:r w:rsidR="00BC62D3" w:rsidRPr="006D0445">
              <w:rPr>
                <w:b/>
                <w:bCs/>
                <w:color w:val="767171"/>
                <w:sz w:val="22"/>
                <w:szCs w:val="22"/>
              </w:rPr>
              <w:t>0%</w:t>
            </w:r>
          </w:p>
        </w:tc>
      </w:tr>
      <w:tr w:rsidR="00BC62D3" w:rsidRPr="006D0445" w14:paraId="1428BFC1" w14:textId="77777777" w:rsidTr="00BC62D3">
        <w:tc>
          <w:tcPr>
            <w:tcW w:w="562" w:type="dxa"/>
            <w:vAlign w:val="center"/>
          </w:tcPr>
          <w:p w14:paraId="23BF9FFB" w14:textId="11437FF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1</w:t>
            </w:r>
          </w:p>
        </w:tc>
        <w:tc>
          <w:tcPr>
            <w:tcW w:w="1702" w:type="dxa"/>
            <w:vAlign w:val="center"/>
          </w:tcPr>
          <w:p w14:paraId="6A93E953" w14:textId="6A6AF18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476B068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Plan de capacitación para manejo de documentaciones PROTECOM</w:t>
            </w:r>
          </w:p>
        </w:tc>
        <w:tc>
          <w:tcPr>
            <w:tcW w:w="2127" w:type="dxa"/>
            <w:vAlign w:val="center"/>
          </w:tcPr>
          <w:p w14:paraId="6FE5EF5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Plan Implementado</w:t>
            </w:r>
          </w:p>
        </w:tc>
        <w:tc>
          <w:tcPr>
            <w:tcW w:w="1275" w:type="dxa"/>
            <w:vAlign w:val="center"/>
          </w:tcPr>
          <w:p w14:paraId="631B99F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4EEB64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4D4A7C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D3638AB" w14:textId="42FB2F19" w:rsidR="00BC62D3" w:rsidRPr="006D0445" w:rsidRDefault="00BC62D3" w:rsidP="00151441">
            <w:pPr>
              <w:spacing w:line="240" w:lineRule="auto"/>
              <w:jc w:val="center"/>
              <w:rPr>
                <w:b/>
                <w:bCs/>
                <w:color w:val="767171"/>
                <w:sz w:val="22"/>
                <w:szCs w:val="22"/>
              </w:rPr>
            </w:pPr>
            <w:r>
              <w:rPr>
                <w:b/>
                <w:bCs/>
                <w:color w:val="767171"/>
                <w:sz w:val="22"/>
                <w:szCs w:val="22"/>
              </w:rPr>
              <w:t>60</w:t>
            </w:r>
            <w:r w:rsidRPr="006D0445">
              <w:rPr>
                <w:b/>
                <w:bCs/>
                <w:color w:val="767171"/>
                <w:sz w:val="22"/>
                <w:szCs w:val="22"/>
              </w:rPr>
              <w:t>%</w:t>
            </w:r>
          </w:p>
        </w:tc>
      </w:tr>
      <w:tr w:rsidR="00BC62D3" w:rsidRPr="006D0445" w14:paraId="47BA914A" w14:textId="77777777" w:rsidTr="00BC62D3">
        <w:tc>
          <w:tcPr>
            <w:tcW w:w="562" w:type="dxa"/>
            <w:vAlign w:val="center"/>
          </w:tcPr>
          <w:p w14:paraId="2279C5A9" w14:textId="5708B8F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2</w:t>
            </w:r>
          </w:p>
        </w:tc>
        <w:tc>
          <w:tcPr>
            <w:tcW w:w="1702" w:type="dxa"/>
            <w:vAlign w:val="center"/>
          </w:tcPr>
          <w:p w14:paraId="7A511B76" w14:textId="096929EB"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14978198" w14:textId="77777777" w:rsidR="00BC62D3" w:rsidRPr="006D0445" w:rsidRDefault="00BC62D3" w:rsidP="00151441">
            <w:pPr>
              <w:spacing w:line="240" w:lineRule="auto"/>
              <w:jc w:val="left"/>
              <w:rPr>
                <w:rFonts w:eastAsia="Calibri"/>
                <w:noProof/>
                <w:color w:val="767171"/>
                <w:sz w:val="22"/>
                <w:szCs w:val="22"/>
              </w:rPr>
            </w:pPr>
            <w:r w:rsidRPr="006D0445">
              <w:rPr>
                <w:rFonts w:eastAsia="Calibri"/>
                <w:noProof/>
                <w:color w:val="767171"/>
                <w:sz w:val="22"/>
                <w:szCs w:val="22"/>
              </w:rPr>
              <w:t>Procedimiento de aplicación de la debida diligencia a los peticionarios de concesiones ante la SIE</w:t>
            </w:r>
          </w:p>
        </w:tc>
        <w:tc>
          <w:tcPr>
            <w:tcW w:w="2127" w:type="dxa"/>
            <w:vAlign w:val="center"/>
          </w:tcPr>
          <w:p w14:paraId="1353644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Propuesta elaborada</w:t>
            </w:r>
          </w:p>
        </w:tc>
        <w:tc>
          <w:tcPr>
            <w:tcW w:w="1275" w:type="dxa"/>
            <w:vAlign w:val="center"/>
          </w:tcPr>
          <w:p w14:paraId="013B039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0064F4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1D1BA42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874E679"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20%</w:t>
            </w:r>
          </w:p>
        </w:tc>
      </w:tr>
      <w:tr w:rsidR="00BC62D3" w:rsidRPr="006D0445" w14:paraId="0ED83174" w14:textId="77777777" w:rsidTr="00BC62D3">
        <w:trPr>
          <w:trHeight w:val="790"/>
        </w:trPr>
        <w:tc>
          <w:tcPr>
            <w:tcW w:w="562" w:type="dxa"/>
            <w:vAlign w:val="center"/>
          </w:tcPr>
          <w:p w14:paraId="106AB220" w14:textId="19613FAF"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3</w:t>
            </w:r>
          </w:p>
        </w:tc>
        <w:tc>
          <w:tcPr>
            <w:tcW w:w="1702" w:type="dxa"/>
            <w:vAlign w:val="center"/>
          </w:tcPr>
          <w:p w14:paraId="5B649BD9" w14:textId="34A09B18"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3DBBB71D" w14:textId="77777777" w:rsidR="00BC62D3" w:rsidRPr="006D0445" w:rsidRDefault="00BC62D3" w:rsidP="00151441">
            <w:pPr>
              <w:spacing w:line="240" w:lineRule="auto"/>
              <w:jc w:val="left"/>
              <w:rPr>
                <w:rFonts w:eastAsia="Calibri"/>
                <w:noProof/>
                <w:color w:val="767171"/>
                <w:sz w:val="22"/>
                <w:szCs w:val="22"/>
              </w:rPr>
            </w:pPr>
            <w:r w:rsidRPr="006D0445">
              <w:rPr>
                <w:rFonts w:eastAsia="Calibri"/>
                <w:noProof/>
                <w:color w:val="767171"/>
                <w:sz w:val="22"/>
                <w:szCs w:val="22"/>
              </w:rPr>
              <w:t>Reglamento Autorización y Ejercicio Condición de Usuario no regulado</w:t>
            </w:r>
          </w:p>
        </w:tc>
        <w:tc>
          <w:tcPr>
            <w:tcW w:w="2127" w:type="dxa"/>
            <w:vAlign w:val="center"/>
          </w:tcPr>
          <w:p w14:paraId="656CA0D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Reglamento elaborado</w:t>
            </w:r>
          </w:p>
        </w:tc>
        <w:tc>
          <w:tcPr>
            <w:tcW w:w="1275" w:type="dxa"/>
            <w:vAlign w:val="center"/>
          </w:tcPr>
          <w:p w14:paraId="1364032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ED9798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8174C9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0E2FB87" w14:textId="7EC9A463"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50A56FB5" w14:textId="77777777" w:rsidTr="00BC62D3">
        <w:trPr>
          <w:trHeight w:val="843"/>
        </w:trPr>
        <w:tc>
          <w:tcPr>
            <w:tcW w:w="562" w:type="dxa"/>
            <w:vAlign w:val="center"/>
          </w:tcPr>
          <w:p w14:paraId="0294E3AE" w14:textId="7A8EA54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4</w:t>
            </w:r>
          </w:p>
        </w:tc>
        <w:tc>
          <w:tcPr>
            <w:tcW w:w="1702" w:type="dxa"/>
            <w:vAlign w:val="center"/>
          </w:tcPr>
          <w:p w14:paraId="16EDE697" w14:textId="6840374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3FB3F237" w14:textId="77777777" w:rsidR="00BC62D3" w:rsidRPr="006D0445" w:rsidRDefault="00BC62D3" w:rsidP="00151441">
            <w:pPr>
              <w:spacing w:line="240" w:lineRule="auto"/>
              <w:jc w:val="left"/>
              <w:rPr>
                <w:rFonts w:eastAsia="Calibri"/>
                <w:noProof/>
                <w:color w:val="767171"/>
                <w:sz w:val="22"/>
                <w:szCs w:val="22"/>
              </w:rPr>
            </w:pPr>
            <w:r w:rsidRPr="006D0445">
              <w:rPr>
                <w:rFonts w:eastAsia="Calibri"/>
                <w:noProof/>
                <w:color w:val="767171"/>
                <w:sz w:val="22"/>
                <w:szCs w:val="22"/>
              </w:rPr>
              <w:t>Reglamento de Servicios de Regulación de Frecuencia con Sistemas de Alamacenamiento</w:t>
            </w:r>
          </w:p>
        </w:tc>
        <w:tc>
          <w:tcPr>
            <w:tcW w:w="2127" w:type="dxa"/>
            <w:vAlign w:val="center"/>
          </w:tcPr>
          <w:p w14:paraId="75600D2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Reglamento elaborado</w:t>
            </w:r>
          </w:p>
        </w:tc>
        <w:tc>
          <w:tcPr>
            <w:tcW w:w="1275" w:type="dxa"/>
            <w:vAlign w:val="center"/>
          </w:tcPr>
          <w:p w14:paraId="00E4B37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0C47A5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C95833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ED6C737" w14:textId="5DC9B4D0"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2141C2A1" w14:textId="77777777" w:rsidTr="00BC62D3">
        <w:trPr>
          <w:trHeight w:val="983"/>
        </w:trPr>
        <w:tc>
          <w:tcPr>
            <w:tcW w:w="562" w:type="dxa"/>
            <w:vAlign w:val="center"/>
          </w:tcPr>
          <w:p w14:paraId="074F8F70" w14:textId="7F771BB9"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5</w:t>
            </w:r>
          </w:p>
        </w:tc>
        <w:tc>
          <w:tcPr>
            <w:tcW w:w="1702" w:type="dxa"/>
            <w:vAlign w:val="center"/>
          </w:tcPr>
          <w:p w14:paraId="75BB4DB7" w14:textId="24EF31A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2DA152F4" w14:textId="77777777" w:rsidR="00BC62D3" w:rsidRPr="006D0445" w:rsidRDefault="00BC62D3" w:rsidP="00151441">
            <w:pPr>
              <w:spacing w:line="240" w:lineRule="auto"/>
              <w:jc w:val="left"/>
              <w:rPr>
                <w:rFonts w:eastAsia="Calibri"/>
                <w:noProof/>
                <w:color w:val="767171"/>
                <w:sz w:val="22"/>
                <w:szCs w:val="22"/>
              </w:rPr>
            </w:pPr>
            <w:r w:rsidRPr="006D0445">
              <w:rPr>
                <w:rFonts w:eastAsia="Calibri"/>
                <w:noProof/>
                <w:color w:val="767171"/>
                <w:sz w:val="22"/>
                <w:szCs w:val="22"/>
              </w:rPr>
              <w:t>Reglamento de Aprobación, Interconexión y Operación de Sistemas de Generación Distribuida</w:t>
            </w:r>
          </w:p>
        </w:tc>
        <w:tc>
          <w:tcPr>
            <w:tcW w:w="2127" w:type="dxa"/>
            <w:vAlign w:val="center"/>
          </w:tcPr>
          <w:p w14:paraId="20F81CA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Reglamento elaborado</w:t>
            </w:r>
          </w:p>
        </w:tc>
        <w:tc>
          <w:tcPr>
            <w:tcW w:w="1275" w:type="dxa"/>
            <w:vAlign w:val="center"/>
          </w:tcPr>
          <w:p w14:paraId="69700D7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AC2073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09BB98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1291CC8" w14:textId="08561E36"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49A11AFE" w14:textId="77777777" w:rsidTr="00BC62D3">
        <w:trPr>
          <w:trHeight w:val="1408"/>
        </w:trPr>
        <w:tc>
          <w:tcPr>
            <w:tcW w:w="562" w:type="dxa"/>
            <w:vAlign w:val="center"/>
          </w:tcPr>
          <w:p w14:paraId="7F8EF7B0" w14:textId="2E49850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6</w:t>
            </w:r>
          </w:p>
        </w:tc>
        <w:tc>
          <w:tcPr>
            <w:tcW w:w="1702" w:type="dxa"/>
            <w:vAlign w:val="center"/>
          </w:tcPr>
          <w:p w14:paraId="72D46723" w14:textId="123E6AA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Jurídica</w:t>
            </w:r>
          </w:p>
        </w:tc>
        <w:tc>
          <w:tcPr>
            <w:tcW w:w="2262" w:type="dxa"/>
            <w:vAlign w:val="center"/>
          </w:tcPr>
          <w:p w14:paraId="5985AE73" w14:textId="77777777" w:rsidR="00BC62D3" w:rsidRPr="006D0445" w:rsidRDefault="00BC62D3" w:rsidP="00151441">
            <w:pPr>
              <w:spacing w:line="240" w:lineRule="auto"/>
              <w:jc w:val="left"/>
              <w:rPr>
                <w:rFonts w:eastAsia="Calibri"/>
                <w:noProof/>
                <w:color w:val="767171"/>
                <w:sz w:val="22"/>
                <w:szCs w:val="22"/>
              </w:rPr>
            </w:pPr>
            <w:r w:rsidRPr="006D0445">
              <w:rPr>
                <w:rFonts w:eastAsia="Calibri"/>
                <w:noProof/>
                <w:color w:val="767171"/>
                <w:sz w:val="22"/>
                <w:szCs w:val="22"/>
              </w:rPr>
              <w:t>Reglamento de Autorización de Puesta en Servicio de Obras Eléctricas</w:t>
            </w:r>
          </w:p>
        </w:tc>
        <w:tc>
          <w:tcPr>
            <w:tcW w:w="2127" w:type="dxa"/>
            <w:vAlign w:val="center"/>
          </w:tcPr>
          <w:p w14:paraId="7882564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Reglamento elaborado</w:t>
            </w:r>
          </w:p>
        </w:tc>
        <w:tc>
          <w:tcPr>
            <w:tcW w:w="1275" w:type="dxa"/>
            <w:vAlign w:val="center"/>
          </w:tcPr>
          <w:p w14:paraId="3B33EBB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1E64E6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B5AA27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F181317" w14:textId="08EB5E40"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4B10A036" w14:textId="77777777" w:rsidTr="00BC62D3">
        <w:tc>
          <w:tcPr>
            <w:tcW w:w="562" w:type="dxa"/>
            <w:vAlign w:val="center"/>
          </w:tcPr>
          <w:p w14:paraId="49F96B54" w14:textId="5511CBFE"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7</w:t>
            </w:r>
          </w:p>
        </w:tc>
        <w:tc>
          <w:tcPr>
            <w:tcW w:w="1702" w:type="dxa"/>
            <w:vAlign w:val="center"/>
          </w:tcPr>
          <w:p w14:paraId="4495609C" w14:textId="2AC1056A"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División Licencias Eléctricas</w:t>
            </w:r>
          </w:p>
        </w:tc>
        <w:tc>
          <w:tcPr>
            <w:tcW w:w="2262" w:type="dxa"/>
            <w:vAlign w:val="center"/>
          </w:tcPr>
          <w:p w14:paraId="31A80E7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Expedición de Licencias a técnicos Electricistas</w:t>
            </w:r>
          </w:p>
        </w:tc>
        <w:tc>
          <w:tcPr>
            <w:tcW w:w="2127" w:type="dxa"/>
            <w:vAlign w:val="center"/>
          </w:tcPr>
          <w:p w14:paraId="173F1A1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licencias emitidas conforme a lo solicitado</w:t>
            </w:r>
          </w:p>
        </w:tc>
        <w:tc>
          <w:tcPr>
            <w:tcW w:w="1275" w:type="dxa"/>
            <w:vAlign w:val="center"/>
          </w:tcPr>
          <w:p w14:paraId="6AD87C5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E26A78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BF5364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9318038" w14:textId="457D59D8" w:rsidR="00BC62D3" w:rsidRPr="006D0445" w:rsidRDefault="00225A2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0239F8DB" w14:textId="77777777" w:rsidTr="00BC62D3">
        <w:trPr>
          <w:trHeight w:val="1131"/>
        </w:trPr>
        <w:tc>
          <w:tcPr>
            <w:tcW w:w="562" w:type="dxa"/>
            <w:vAlign w:val="center"/>
          </w:tcPr>
          <w:p w14:paraId="49A67264" w14:textId="71BE45B1"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7</w:t>
            </w:r>
            <w:r w:rsidR="00225A28">
              <w:rPr>
                <w:rFonts w:eastAsia="Calibri"/>
                <w:noProof/>
                <w:color w:val="767171"/>
                <w:sz w:val="22"/>
                <w:szCs w:val="22"/>
              </w:rPr>
              <w:t>8</w:t>
            </w:r>
          </w:p>
        </w:tc>
        <w:tc>
          <w:tcPr>
            <w:tcW w:w="1702" w:type="dxa"/>
            <w:vAlign w:val="center"/>
          </w:tcPr>
          <w:p w14:paraId="57DF167A" w14:textId="00975BB9"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246E1E8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regulatoria Prácticas desleales (PE-Art. 6 - 6.1.1)</w:t>
            </w:r>
          </w:p>
        </w:tc>
        <w:tc>
          <w:tcPr>
            <w:tcW w:w="2127" w:type="dxa"/>
            <w:vAlign w:val="center"/>
          </w:tcPr>
          <w:p w14:paraId="2F95596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ejecución realizada</w:t>
            </w:r>
          </w:p>
        </w:tc>
        <w:tc>
          <w:tcPr>
            <w:tcW w:w="1275" w:type="dxa"/>
            <w:vAlign w:val="center"/>
          </w:tcPr>
          <w:p w14:paraId="0F93F879"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AAFFFF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CFA8D0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3021706" w14:textId="74EC9F70" w:rsidR="00BC62D3" w:rsidRPr="006D0445" w:rsidRDefault="00BC62D3" w:rsidP="00151441">
            <w:pPr>
              <w:spacing w:line="240" w:lineRule="auto"/>
              <w:jc w:val="center"/>
              <w:rPr>
                <w:b/>
                <w:bCs/>
                <w:color w:val="767171"/>
                <w:sz w:val="22"/>
                <w:szCs w:val="22"/>
              </w:rPr>
            </w:pPr>
            <w:r>
              <w:rPr>
                <w:b/>
                <w:bCs/>
                <w:color w:val="767171"/>
                <w:sz w:val="22"/>
                <w:szCs w:val="22"/>
              </w:rPr>
              <w:t>1</w:t>
            </w:r>
            <w:r w:rsidRPr="006D0445">
              <w:rPr>
                <w:b/>
                <w:bCs/>
                <w:color w:val="767171"/>
                <w:sz w:val="22"/>
                <w:szCs w:val="22"/>
              </w:rPr>
              <w:t>0</w:t>
            </w:r>
            <w:r w:rsidR="00225A28">
              <w:rPr>
                <w:b/>
                <w:bCs/>
                <w:color w:val="767171"/>
                <w:sz w:val="22"/>
                <w:szCs w:val="22"/>
              </w:rPr>
              <w:t>0</w:t>
            </w:r>
            <w:r w:rsidRPr="006D0445">
              <w:rPr>
                <w:b/>
                <w:bCs/>
                <w:color w:val="767171"/>
                <w:sz w:val="22"/>
                <w:szCs w:val="22"/>
              </w:rPr>
              <w:t>%</w:t>
            </w:r>
          </w:p>
        </w:tc>
      </w:tr>
      <w:tr w:rsidR="00BC62D3" w:rsidRPr="006D0445" w14:paraId="183CBC39" w14:textId="77777777" w:rsidTr="00BC62D3">
        <w:trPr>
          <w:trHeight w:val="1118"/>
        </w:trPr>
        <w:tc>
          <w:tcPr>
            <w:tcW w:w="562" w:type="dxa"/>
            <w:vAlign w:val="center"/>
          </w:tcPr>
          <w:p w14:paraId="5B519D4C" w14:textId="4F10299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lastRenderedPageBreak/>
              <w:t>80</w:t>
            </w:r>
          </w:p>
        </w:tc>
        <w:tc>
          <w:tcPr>
            <w:tcW w:w="1702" w:type="dxa"/>
            <w:vAlign w:val="center"/>
          </w:tcPr>
          <w:p w14:paraId="050C9B78" w14:textId="117F4A49"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4FB4EDA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Perfil regulatorio para certificación de medidores de compra local y/o recuperados</w:t>
            </w:r>
          </w:p>
        </w:tc>
        <w:tc>
          <w:tcPr>
            <w:tcW w:w="2127" w:type="dxa"/>
            <w:vAlign w:val="center"/>
          </w:tcPr>
          <w:p w14:paraId="6B0E188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Informes ejecutados</w:t>
            </w:r>
          </w:p>
        </w:tc>
        <w:tc>
          <w:tcPr>
            <w:tcW w:w="1275" w:type="dxa"/>
            <w:vAlign w:val="center"/>
          </w:tcPr>
          <w:p w14:paraId="16D0564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18B9EA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7452BFA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58FC9C8" w14:textId="3FBA0CA4" w:rsidR="00BC62D3" w:rsidRPr="006D0445" w:rsidRDefault="00225A2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7297F7CA" w14:textId="77777777" w:rsidTr="00BC62D3">
        <w:trPr>
          <w:trHeight w:val="1120"/>
        </w:trPr>
        <w:tc>
          <w:tcPr>
            <w:tcW w:w="562" w:type="dxa"/>
            <w:vAlign w:val="center"/>
          </w:tcPr>
          <w:p w14:paraId="248FA916" w14:textId="4C131638"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0</w:t>
            </w:r>
          </w:p>
        </w:tc>
        <w:tc>
          <w:tcPr>
            <w:tcW w:w="1702" w:type="dxa"/>
            <w:vAlign w:val="center"/>
          </w:tcPr>
          <w:p w14:paraId="6D0DA3E1" w14:textId="650C5116"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3F54F26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regulatoria para Auditoria Técnica a EDEs</w:t>
            </w:r>
          </w:p>
        </w:tc>
        <w:tc>
          <w:tcPr>
            <w:tcW w:w="2127" w:type="dxa"/>
            <w:vAlign w:val="center"/>
          </w:tcPr>
          <w:p w14:paraId="38E39F5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proyecto realizado</w:t>
            </w:r>
          </w:p>
        </w:tc>
        <w:tc>
          <w:tcPr>
            <w:tcW w:w="1275" w:type="dxa"/>
            <w:vAlign w:val="center"/>
          </w:tcPr>
          <w:p w14:paraId="0F64FBF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022018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3A15BA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0450330" w14:textId="6298B217" w:rsidR="00BC62D3" w:rsidRPr="006D0445" w:rsidRDefault="00BC62D3" w:rsidP="00151441">
            <w:pPr>
              <w:spacing w:line="240" w:lineRule="auto"/>
              <w:jc w:val="center"/>
              <w:rPr>
                <w:b/>
                <w:bCs/>
                <w:color w:val="767171"/>
                <w:sz w:val="22"/>
                <w:szCs w:val="22"/>
              </w:rPr>
            </w:pPr>
            <w:r>
              <w:rPr>
                <w:b/>
                <w:bCs/>
                <w:color w:val="767171"/>
                <w:sz w:val="22"/>
                <w:szCs w:val="22"/>
              </w:rPr>
              <w:t>8</w:t>
            </w:r>
            <w:r w:rsidRPr="006D0445">
              <w:rPr>
                <w:b/>
                <w:bCs/>
                <w:color w:val="767171"/>
                <w:sz w:val="22"/>
                <w:szCs w:val="22"/>
              </w:rPr>
              <w:t>5%</w:t>
            </w:r>
          </w:p>
        </w:tc>
      </w:tr>
      <w:tr w:rsidR="00BC62D3" w:rsidRPr="006D0445" w14:paraId="35372185" w14:textId="77777777" w:rsidTr="00BC62D3">
        <w:tc>
          <w:tcPr>
            <w:tcW w:w="562" w:type="dxa"/>
            <w:vAlign w:val="center"/>
          </w:tcPr>
          <w:p w14:paraId="2F91F0A4" w14:textId="439AE45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1</w:t>
            </w:r>
          </w:p>
        </w:tc>
        <w:tc>
          <w:tcPr>
            <w:tcW w:w="1702" w:type="dxa"/>
            <w:vAlign w:val="center"/>
          </w:tcPr>
          <w:p w14:paraId="4B09F8CB" w14:textId="365680A4"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589A6813"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Prupuesta regulatoria para la incorporación de regimen de sanciones a las normas de Calidad de Servicio Comercial</w:t>
            </w:r>
          </w:p>
        </w:tc>
        <w:tc>
          <w:tcPr>
            <w:tcW w:w="2127" w:type="dxa"/>
            <w:vAlign w:val="center"/>
          </w:tcPr>
          <w:p w14:paraId="3697830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propuesta elaborada</w:t>
            </w:r>
          </w:p>
        </w:tc>
        <w:tc>
          <w:tcPr>
            <w:tcW w:w="1275" w:type="dxa"/>
            <w:vAlign w:val="center"/>
          </w:tcPr>
          <w:p w14:paraId="6D8BAE5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22AC1BE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FB7D7D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0ADF57C7"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0%</w:t>
            </w:r>
          </w:p>
        </w:tc>
      </w:tr>
      <w:tr w:rsidR="00BC62D3" w:rsidRPr="006D0445" w14:paraId="064914D2" w14:textId="77777777" w:rsidTr="00BC62D3">
        <w:tc>
          <w:tcPr>
            <w:tcW w:w="562" w:type="dxa"/>
            <w:vAlign w:val="center"/>
          </w:tcPr>
          <w:p w14:paraId="2B58BE30" w14:textId="5587791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2</w:t>
            </w:r>
          </w:p>
        </w:tc>
        <w:tc>
          <w:tcPr>
            <w:tcW w:w="1702" w:type="dxa"/>
            <w:vAlign w:val="center"/>
          </w:tcPr>
          <w:p w14:paraId="1F0DB5F3" w14:textId="0CC98DFC"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6C09DB7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Perfil actualización normativa de acometidas y medidores (PE- Art. 10-6.5.2)</w:t>
            </w:r>
          </w:p>
        </w:tc>
        <w:tc>
          <w:tcPr>
            <w:tcW w:w="2127" w:type="dxa"/>
            <w:vAlign w:val="center"/>
          </w:tcPr>
          <w:p w14:paraId="5134E97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propuesta elaborada</w:t>
            </w:r>
          </w:p>
        </w:tc>
        <w:tc>
          <w:tcPr>
            <w:tcW w:w="1275" w:type="dxa"/>
            <w:vAlign w:val="center"/>
          </w:tcPr>
          <w:p w14:paraId="75EDBC5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C60543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68AA0F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F4DC9F2" w14:textId="549434EB" w:rsidR="00BC62D3" w:rsidRPr="006D0445" w:rsidRDefault="00225A2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57F68168" w14:textId="77777777" w:rsidTr="00BC62D3">
        <w:trPr>
          <w:trHeight w:val="1151"/>
        </w:trPr>
        <w:tc>
          <w:tcPr>
            <w:tcW w:w="562" w:type="dxa"/>
            <w:vAlign w:val="center"/>
          </w:tcPr>
          <w:p w14:paraId="34E15CEC" w14:textId="48DE69D3"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3</w:t>
            </w:r>
          </w:p>
        </w:tc>
        <w:tc>
          <w:tcPr>
            <w:tcW w:w="1702" w:type="dxa"/>
            <w:vAlign w:val="center"/>
          </w:tcPr>
          <w:p w14:paraId="3CB06FD7" w14:textId="0684EF6A"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57BF63B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Perfil regulatorio Uso y aplicabilidad de los EPP Técnicos Electricistas EDE</w:t>
            </w:r>
          </w:p>
        </w:tc>
        <w:tc>
          <w:tcPr>
            <w:tcW w:w="2127" w:type="dxa"/>
            <w:vAlign w:val="center"/>
          </w:tcPr>
          <w:p w14:paraId="64626BA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2EC8DAA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6A78411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265A05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FC5F28B" w14:textId="45D3E565" w:rsidR="00BC62D3" w:rsidRPr="006D0445" w:rsidRDefault="00225A28" w:rsidP="00151441">
            <w:pPr>
              <w:spacing w:line="240" w:lineRule="auto"/>
              <w:jc w:val="center"/>
              <w:rPr>
                <w:b/>
                <w:bCs/>
                <w:color w:val="767171"/>
                <w:sz w:val="22"/>
                <w:szCs w:val="22"/>
              </w:rPr>
            </w:pPr>
            <w:r>
              <w:rPr>
                <w:b/>
                <w:bCs/>
                <w:color w:val="767171"/>
                <w:sz w:val="22"/>
                <w:szCs w:val="22"/>
              </w:rPr>
              <w:t>31</w:t>
            </w:r>
            <w:r w:rsidR="00BC62D3" w:rsidRPr="006D0445">
              <w:rPr>
                <w:b/>
                <w:bCs/>
                <w:color w:val="767171"/>
                <w:sz w:val="22"/>
                <w:szCs w:val="22"/>
              </w:rPr>
              <w:t>%</w:t>
            </w:r>
          </w:p>
        </w:tc>
      </w:tr>
      <w:tr w:rsidR="00BC62D3" w:rsidRPr="006D0445" w14:paraId="207DEF54" w14:textId="77777777" w:rsidTr="00BC62D3">
        <w:tc>
          <w:tcPr>
            <w:tcW w:w="562" w:type="dxa"/>
            <w:vAlign w:val="center"/>
          </w:tcPr>
          <w:p w14:paraId="2B0D6E57" w14:textId="0B6A7774"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4</w:t>
            </w:r>
          </w:p>
        </w:tc>
        <w:tc>
          <w:tcPr>
            <w:tcW w:w="1702" w:type="dxa"/>
            <w:vAlign w:val="center"/>
          </w:tcPr>
          <w:p w14:paraId="26CF547D" w14:textId="44B6920A"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7AE913D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Estudio técnico economico de pérdidas en las distribuidoras</w:t>
            </w:r>
          </w:p>
        </w:tc>
        <w:tc>
          <w:tcPr>
            <w:tcW w:w="2127" w:type="dxa"/>
            <w:vAlign w:val="center"/>
          </w:tcPr>
          <w:p w14:paraId="5AAB873B"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016FD82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AC3EAF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91AED2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9092FDC" w14:textId="2659FF4E" w:rsidR="00BC62D3" w:rsidRPr="006D0445" w:rsidRDefault="00225A28" w:rsidP="00151441">
            <w:pPr>
              <w:spacing w:line="240" w:lineRule="auto"/>
              <w:jc w:val="center"/>
              <w:rPr>
                <w:b/>
                <w:bCs/>
                <w:color w:val="767171"/>
                <w:sz w:val="22"/>
                <w:szCs w:val="22"/>
              </w:rPr>
            </w:pPr>
            <w:r>
              <w:rPr>
                <w:b/>
                <w:bCs/>
                <w:color w:val="767171"/>
                <w:sz w:val="22"/>
                <w:szCs w:val="22"/>
              </w:rPr>
              <w:t>95</w:t>
            </w:r>
            <w:r w:rsidR="00BC62D3" w:rsidRPr="006D0445">
              <w:rPr>
                <w:b/>
                <w:bCs/>
                <w:color w:val="767171"/>
                <w:sz w:val="22"/>
                <w:szCs w:val="22"/>
              </w:rPr>
              <w:t>%</w:t>
            </w:r>
          </w:p>
        </w:tc>
      </w:tr>
      <w:tr w:rsidR="00BC62D3" w:rsidRPr="006D0445" w14:paraId="2631BC8F" w14:textId="77777777" w:rsidTr="00BC62D3">
        <w:tc>
          <w:tcPr>
            <w:tcW w:w="562" w:type="dxa"/>
            <w:vAlign w:val="center"/>
          </w:tcPr>
          <w:p w14:paraId="0FF0F607" w14:textId="544F2F15"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5</w:t>
            </w:r>
          </w:p>
        </w:tc>
        <w:tc>
          <w:tcPr>
            <w:tcW w:w="1702" w:type="dxa"/>
            <w:vAlign w:val="center"/>
          </w:tcPr>
          <w:p w14:paraId="1A532C48" w14:textId="3D4EB7E1"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03D67391"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reglamento Aportes de Financiamientos Reembolsables</w:t>
            </w:r>
          </w:p>
        </w:tc>
        <w:tc>
          <w:tcPr>
            <w:tcW w:w="2127" w:type="dxa"/>
            <w:vAlign w:val="center"/>
          </w:tcPr>
          <w:p w14:paraId="551C37F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369D25E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5C4CB5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9B9A51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51FE5C8F" w14:textId="0529854D" w:rsidR="00BC62D3" w:rsidRPr="006D0445" w:rsidRDefault="00225A28" w:rsidP="00151441">
            <w:pPr>
              <w:spacing w:line="240" w:lineRule="auto"/>
              <w:jc w:val="center"/>
              <w:rPr>
                <w:b/>
                <w:bCs/>
                <w:color w:val="767171"/>
                <w:sz w:val="22"/>
                <w:szCs w:val="22"/>
              </w:rPr>
            </w:pPr>
            <w:r>
              <w:rPr>
                <w:b/>
                <w:bCs/>
                <w:color w:val="767171"/>
                <w:sz w:val="22"/>
                <w:szCs w:val="22"/>
              </w:rPr>
              <w:t>60</w:t>
            </w:r>
            <w:r w:rsidR="00BC62D3" w:rsidRPr="006D0445">
              <w:rPr>
                <w:b/>
                <w:bCs/>
                <w:color w:val="767171"/>
                <w:sz w:val="22"/>
                <w:szCs w:val="22"/>
              </w:rPr>
              <w:t>%</w:t>
            </w:r>
          </w:p>
        </w:tc>
      </w:tr>
      <w:tr w:rsidR="00BC62D3" w:rsidRPr="006D0445" w14:paraId="36EEF426" w14:textId="77777777" w:rsidTr="00BC62D3">
        <w:tc>
          <w:tcPr>
            <w:tcW w:w="562" w:type="dxa"/>
            <w:vAlign w:val="center"/>
          </w:tcPr>
          <w:p w14:paraId="6E022FFC" w14:textId="35D21D42"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6</w:t>
            </w:r>
          </w:p>
        </w:tc>
        <w:tc>
          <w:tcPr>
            <w:tcW w:w="1702" w:type="dxa"/>
            <w:vAlign w:val="center"/>
          </w:tcPr>
          <w:p w14:paraId="5D1B6EEC" w14:textId="2A1B225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007B3DB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Mapa de transación energética</w:t>
            </w:r>
          </w:p>
        </w:tc>
        <w:tc>
          <w:tcPr>
            <w:tcW w:w="2127" w:type="dxa"/>
            <w:vAlign w:val="center"/>
          </w:tcPr>
          <w:p w14:paraId="12FA3646"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de proyecto realizado</w:t>
            </w:r>
          </w:p>
        </w:tc>
        <w:tc>
          <w:tcPr>
            <w:tcW w:w="1275" w:type="dxa"/>
            <w:vAlign w:val="center"/>
          </w:tcPr>
          <w:p w14:paraId="2400CACA"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D705E9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6AE8C53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7EE1C928" w14:textId="7D908EC1" w:rsidR="00BC62D3" w:rsidRPr="006D0445" w:rsidRDefault="00225A28" w:rsidP="00151441">
            <w:pPr>
              <w:spacing w:line="240" w:lineRule="auto"/>
              <w:jc w:val="center"/>
              <w:rPr>
                <w:b/>
                <w:bCs/>
                <w:color w:val="767171"/>
                <w:sz w:val="22"/>
                <w:szCs w:val="22"/>
              </w:rPr>
            </w:pPr>
            <w:r>
              <w:rPr>
                <w:b/>
                <w:bCs/>
                <w:color w:val="767171"/>
                <w:sz w:val="22"/>
                <w:szCs w:val="22"/>
              </w:rPr>
              <w:t>5</w:t>
            </w:r>
            <w:r w:rsidR="00BC62D3" w:rsidRPr="006D0445">
              <w:rPr>
                <w:b/>
                <w:bCs/>
                <w:color w:val="767171"/>
                <w:sz w:val="22"/>
                <w:szCs w:val="22"/>
              </w:rPr>
              <w:t>5%</w:t>
            </w:r>
          </w:p>
        </w:tc>
      </w:tr>
      <w:tr w:rsidR="00BC62D3" w:rsidRPr="006D0445" w14:paraId="3573B4A2" w14:textId="77777777" w:rsidTr="00BC62D3">
        <w:tc>
          <w:tcPr>
            <w:tcW w:w="562" w:type="dxa"/>
            <w:vAlign w:val="center"/>
          </w:tcPr>
          <w:p w14:paraId="1191E589" w14:textId="03843F9C"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8</w:t>
            </w:r>
            <w:r w:rsidR="00225A28">
              <w:rPr>
                <w:rFonts w:eastAsia="Calibri"/>
                <w:noProof/>
                <w:color w:val="767171"/>
                <w:sz w:val="22"/>
                <w:szCs w:val="22"/>
              </w:rPr>
              <w:t>7</w:t>
            </w:r>
          </w:p>
        </w:tc>
        <w:tc>
          <w:tcPr>
            <w:tcW w:w="1702" w:type="dxa"/>
            <w:vAlign w:val="center"/>
          </w:tcPr>
          <w:p w14:paraId="08192FF2" w14:textId="64F7CD7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49511E1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Propuestas de actualización del macroproceso de fiscalización y de los 12 procedimientos existentes</w:t>
            </w:r>
          </w:p>
        </w:tc>
        <w:tc>
          <w:tcPr>
            <w:tcW w:w="2127" w:type="dxa"/>
            <w:vAlign w:val="center"/>
          </w:tcPr>
          <w:p w14:paraId="47FC6DFD"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documentos ejecutados</w:t>
            </w:r>
          </w:p>
        </w:tc>
        <w:tc>
          <w:tcPr>
            <w:tcW w:w="1275" w:type="dxa"/>
            <w:vAlign w:val="center"/>
          </w:tcPr>
          <w:p w14:paraId="3A1452A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38B2F4E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4469486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160ABFFB" w14:textId="6ED8A897" w:rsidR="00BC62D3" w:rsidRPr="006D0445" w:rsidRDefault="00BC62D3" w:rsidP="00151441">
            <w:pPr>
              <w:spacing w:line="240" w:lineRule="auto"/>
              <w:jc w:val="center"/>
              <w:rPr>
                <w:b/>
                <w:bCs/>
                <w:color w:val="767171"/>
                <w:sz w:val="22"/>
                <w:szCs w:val="22"/>
              </w:rPr>
            </w:pPr>
            <w:r>
              <w:rPr>
                <w:b/>
                <w:bCs/>
                <w:color w:val="767171"/>
                <w:sz w:val="22"/>
                <w:szCs w:val="22"/>
              </w:rPr>
              <w:t>84</w:t>
            </w:r>
            <w:r w:rsidRPr="006D0445">
              <w:rPr>
                <w:b/>
                <w:bCs/>
                <w:color w:val="767171"/>
                <w:sz w:val="22"/>
                <w:szCs w:val="22"/>
              </w:rPr>
              <w:t>%</w:t>
            </w:r>
          </w:p>
        </w:tc>
      </w:tr>
      <w:tr w:rsidR="00BC62D3" w:rsidRPr="006D0445" w14:paraId="54DE0515" w14:textId="77777777" w:rsidTr="00BC62D3">
        <w:tc>
          <w:tcPr>
            <w:tcW w:w="562" w:type="dxa"/>
            <w:vAlign w:val="center"/>
          </w:tcPr>
          <w:p w14:paraId="4459FE19" w14:textId="2C87010E"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88</w:t>
            </w:r>
          </w:p>
        </w:tc>
        <w:tc>
          <w:tcPr>
            <w:tcW w:w="1702" w:type="dxa"/>
            <w:vAlign w:val="center"/>
          </w:tcPr>
          <w:p w14:paraId="32E58A63" w14:textId="251F7F0E"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2AFAC225"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 xml:space="preserve">Actualización y Modificación Resolucion SIE-028-2015-MEMI: </w:t>
            </w:r>
            <w:r w:rsidRPr="006D0445">
              <w:rPr>
                <w:rFonts w:eastAsia="Calibri"/>
                <w:noProof/>
                <w:color w:val="767171"/>
                <w:sz w:val="22"/>
                <w:szCs w:val="22"/>
              </w:rPr>
              <w:lastRenderedPageBreak/>
              <w:t>Homologación de los Motivos de Reclamaciones</w:t>
            </w:r>
          </w:p>
        </w:tc>
        <w:tc>
          <w:tcPr>
            <w:tcW w:w="2127" w:type="dxa"/>
            <w:vAlign w:val="center"/>
          </w:tcPr>
          <w:p w14:paraId="70F6D88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lastRenderedPageBreak/>
              <w:t>Porcentaje ejecutado</w:t>
            </w:r>
          </w:p>
        </w:tc>
        <w:tc>
          <w:tcPr>
            <w:tcW w:w="1275" w:type="dxa"/>
            <w:vAlign w:val="center"/>
          </w:tcPr>
          <w:p w14:paraId="48DDEA78"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0478CA40"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8F3A5C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262AD945" w14:textId="413B5343" w:rsidR="00BC62D3" w:rsidRPr="006D0445" w:rsidRDefault="00BC62D3" w:rsidP="00151441">
            <w:pPr>
              <w:spacing w:line="240" w:lineRule="auto"/>
              <w:jc w:val="center"/>
              <w:rPr>
                <w:b/>
                <w:bCs/>
                <w:color w:val="767171"/>
                <w:sz w:val="22"/>
                <w:szCs w:val="22"/>
              </w:rPr>
            </w:pPr>
            <w:r>
              <w:rPr>
                <w:b/>
                <w:bCs/>
                <w:color w:val="767171"/>
                <w:sz w:val="22"/>
                <w:szCs w:val="22"/>
              </w:rPr>
              <w:t>100</w:t>
            </w:r>
            <w:r w:rsidRPr="006D0445">
              <w:rPr>
                <w:b/>
                <w:bCs/>
                <w:color w:val="767171"/>
                <w:sz w:val="22"/>
                <w:szCs w:val="22"/>
              </w:rPr>
              <w:t>%</w:t>
            </w:r>
          </w:p>
        </w:tc>
      </w:tr>
      <w:tr w:rsidR="00BC62D3" w:rsidRPr="006D0445" w14:paraId="3C525B8F" w14:textId="77777777" w:rsidTr="00BC62D3">
        <w:trPr>
          <w:trHeight w:val="1437"/>
        </w:trPr>
        <w:tc>
          <w:tcPr>
            <w:tcW w:w="562" w:type="dxa"/>
            <w:vAlign w:val="center"/>
          </w:tcPr>
          <w:p w14:paraId="041B33BB" w14:textId="78E66BA5" w:rsidR="00BC62D3" w:rsidRPr="006D0445" w:rsidRDefault="00225A28" w:rsidP="00BC62D3">
            <w:pPr>
              <w:spacing w:line="240" w:lineRule="auto"/>
              <w:jc w:val="center"/>
              <w:rPr>
                <w:rFonts w:eastAsia="Calibri"/>
                <w:noProof/>
                <w:color w:val="767171"/>
                <w:sz w:val="22"/>
                <w:szCs w:val="22"/>
              </w:rPr>
            </w:pPr>
            <w:r>
              <w:rPr>
                <w:rFonts w:eastAsia="Calibri"/>
                <w:noProof/>
                <w:color w:val="767171"/>
                <w:sz w:val="22"/>
                <w:szCs w:val="22"/>
              </w:rPr>
              <w:t>89</w:t>
            </w:r>
          </w:p>
        </w:tc>
        <w:tc>
          <w:tcPr>
            <w:tcW w:w="1702" w:type="dxa"/>
            <w:vAlign w:val="center"/>
          </w:tcPr>
          <w:p w14:paraId="6475C860" w14:textId="4B75DFE5"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1594EB3C"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Parametros para la elaboración de la metodologia  de los reglamentos técnicos de calidad de servicio</w:t>
            </w:r>
          </w:p>
        </w:tc>
        <w:tc>
          <w:tcPr>
            <w:tcW w:w="2127" w:type="dxa"/>
            <w:vAlign w:val="center"/>
          </w:tcPr>
          <w:p w14:paraId="0D1126E8"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660E380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A88ECD1"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1F1DA35"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64CD349" w14:textId="3B658464" w:rsidR="00BC62D3" w:rsidRPr="006D0445" w:rsidRDefault="00225A28" w:rsidP="00151441">
            <w:pPr>
              <w:spacing w:line="240" w:lineRule="auto"/>
              <w:jc w:val="center"/>
              <w:rPr>
                <w:b/>
                <w:bCs/>
                <w:color w:val="767171"/>
                <w:sz w:val="22"/>
                <w:szCs w:val="22"/>
              </w:rPr>
            </w:pPr>
            <w:r>
              <w:rPr>
                <w:b/>
                <w:bCs/>
                <w:color w:val="767171"/>
                <w:sz w:val="22"/>
                <w:szCs w:val="22"/>
              </w:rPr>
              <w:t>100</w:t>
            </w:r>
            <w:r w:rsidR="00BC62D3" w:rsidRPr="006D0445">
              <w:rPr>
                <w:b/>
                <w:bCs/>
                <w:color w:val="767171"/>
                <w:sz w:val="22"/>
                <w:szCs w:val="22"/>
              </w:rPr>
              <w:t>%</w:t>
            </w:r>
          </w:p>
        </w:tc>
      </w:tr>
      <w:tr w:rsidR="00BC62D3" w:rsidRPr="006D0445" w14:paraId="2945AB4B" w14:textId="77777777" w:rsidTr="00BC62D3">
        <w:trPr>
          <w:trHeight w:val="1245"/>
        </w:trPr>
        <w:tc>
          <w:tcPr>
            <w:tcW w:w="562" w:type="dxa"/>
            <w:vAlign w:val="center"/>
          </w:tcPr>
          <w:p w14:paraId="5D0708D8" w14:textId="3546BBA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9</w:t>
            </w:r>
            <w:r w:rsidR="00225A28">
              <w:rPr>
                <w:rFonts w:eastAsia="Calibri"/>
                <w:noProof/>
                <w:color w:val="767171"/>
                <w:sz w:val="22"/>
                <w:szCs w:val="22"/>
              </w:rPr>
              <w:t>0</w:t>
            </w:r>
          </w:p>
        </w:tc>
        <w:tc>
          <w:tcPr>
            <w:tcW w:w="1702" w:type="dxa"/>
            <w:vAlign w:val="center"/>
          </w:tcPr>
          <w:p w14:paraId="3E8F44BB" w14:textId="229C30C0"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194C943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para integración del SENI al sistema de emergencia 911 (PE-Art. 3 - 7.2.4)</w:t>
            </w:r>
          </w:p>
        </w:tc>
        <w:tc>
          <w:tcPr>
            <w:tcW w:w="2127" w:type="dxa"/>
            <w:vAlign w:val="center"/>
          </w:tcPr>
          <w:p w14:paraId="29DF23D4"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706E3CA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501AAFAF"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2AD2A9B6"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EC57C7D" w14:textId="5B2307A6" w:rsidR="00BC62D3" w:rsidRPr="006D0445" w:rsidRDefault="00BC62D3" w:rsidP="00151441">
            <w:pPr>
              <w:spacing w:line="240" w:lineRule="auto"/>
              <w:jc w:val="center"/>
              <w:rPr>
                <w:b/>
                <w:bCs/>
                <w:color w:val="767171"/>
                <w:sz w:val="22"/>
                <w:szCs w:val="22"/>
              </w:rPr>
            </w:pPr>
            <w:r>
              <w:rPr>
                <w:b/>
                <w:bCs/>
                <w:color w:val="767171"/>
                <w:sz w:val="22"/>
                <w:szCs w:val="22"/>
              </w:rPr>
              <w:t>10</w:t>
            </w:r>
            <w:r w:rsidRPr="006D0445">
              <w:rPr>
                <w:b/>
                <w:bCs/>
                <w:color w:val="767171"/>
                <w:sz w:val="22"/>
                <w:szCs w:val="22"/>
              </w:rPr>
              <w:t>0%</w:t>
            </w:r>
          </w:p>
        </w:tc>
      </w:tr>
      <w:tr w:rsidR="00BC62D3" w:rsidRPr="006D0445" w14:paraId="0476DAC0" w14:textId="77777777" w:rsidTr="00BC62D3">
        <w:trPr>
          <w:trHeight w:val="1405"/>
        </w:trPr>
        <w:tc>
          <w:tcPr>
            <w:tcW w:w="562" w:type="dxa"/>
            <w:vAlign w:val="center"/>
          </w:tcPr>
          <w:p w14:paraId="66CA0B45" w14:textId="6165BE70"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9</w:t>
            </w:r>
            <w:r w:rsidR="00225A28">
              <w:rPr>
                <w:rFonts w:eastAsia="Calibri"/>
                <w:noProof/>
                <w:color w:val="767171"/>
                <w:sz w:val="22"/>
                <w:szCs w:val="22"/>
              </w:rPr>
              <w:t>1</w:t>
            </w:r>
          </w:p>
        </w:tc>
        <w:tc>
          <w:tcPr>
            <w:tcW w:w="1702" w:type="dxa"/>
            <w:vAlign w:val="center"/>
          </w:tcPr>
          <w:p w14:paraId="70C914AA" w14:textId="71EB312A"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6D2AB557"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regulatoria de los derechos del cliente o usuario (PE-Art. 3 - 6.5.1, Art. 6 - 6.6.1 y 6.6.2</w:t>
            </w:r>
          </w:p>
        </w:tc>
        <w:tc>
          <w:tcPr>
            <w:tcW w:w="2127" w:type="dxa"/>
            <w:vAlign w:val="center"/>
          </w:tcPr>
          <w:p w14:paraId="1A7BC6EA"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Informes ejecutados</w:t>
            </w:r>
          </w:p>
        </w:tc>
        <w:tc>
          <w:tcPr>
            <w:tcW w:w="1275" w:type="dxa"/>
            <w:vAlign w:val="center"/>
          </w:tcPr>
          <w:p w14:paraId="198ABFA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7AE7F9F4"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306D08FE"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61FEBBC8"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0%</w:t>
            </w:r>
          </w:p>
        </w:tc>
      </w:tr>
      <w:tr w:rsidR="00BC62D3" w:rsidRPr="006D0445" w14:paraId="286F1F2A" w14:textId="77777777" w:rsidTr="00BC62D3">
        <w:tc>
          <w:tcPr>
            <w:tcW w:w="562" w:type="dxa"/>
            <w:vAlign w:val="center"/>
          </w:tcPr>
          <w:p w14:paraId="7C34F2A2" w14:textId="09A90741"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9</w:t>
            </w:r>
            <w:r w:rsidR="00225A28">
              <w:rPr>
                <w:rFonts w:eastAsia="Calibri"/>
                <w:noProof/>
                <w:color w:val="767171"/>
                <w:sz w:val="22"/>
                <w:szCs w:val="22"/>
              </w:rPr>
              <w:t>2</w:t>
            </w:r>
          </w:p>
        </w:tc>
        <w:tc>
          <w:tcPr>
            <w:tcW w:w="1702" w:type="dxa"/>
            <w:vAlign w:val="center"/>
          </w:tcPr>
          <w:p w14:paraId="5EB2AB39" w14:textId="701F4F5F"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075FA1B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para licenciar linieros, asesores y/o gestores energéticos (PE-Art. 6 - 6.2.6)</w:t>
            </w:r>
          </w:p>
        </w:tc>
        <w:tc>
          <w:tcPr>
            <w:tcW w:w="2127" w:type="dxa"/>
            <w:vAlign w:val="center"/>
          </w:tcPr>
          <w:p w14:paraId="7ACCCF69"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Cantidad de Informes ejecutados</w:t>
            </w:r>
          </w:p>
        </w:tc>
        <w:tc>
          <w:tcPr>
            <w:tcW w:w="1275" w:type="dxa"/>
            <w:vAlign w:val="center"/>
          </w:tcPr>
          <w:p w14:paraId="1E3DE3BC"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47566F0D"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59EF11B3"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4386E0E9"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80%</w:t>
            </w:r>
          </w:p>
        </w:tc>
      </w:tr>
      <w:tr w:rsidR="00BC62D3" w:rsidRPr="006D0445" w14:paraId="025804A8" w14:textId="77777777" w:rsidTr="00BC62D3">
        <w:tc>
          <w:tcPr>
            <w:tcW w:w="562" w:type="dxa"/>
            <w:vAlign w:val="center"/>
          </w:tcPr>
          <w:p w14:paraId="29A7C01C" w14:textId="272824C7" w:rsidR="00BC62D3" w:rsidRPr="006D0445" w:rsidRDefault="008F6391" w:rsidP="00BC62D3">
            <w:pPr>
              <w:spacing w:line="240" w:lineRule="auto"/>
              <w:jc w:val="center"/>
              <w:rPr>
                <w:rFonts w:eastAsia="Calibri"/>
                <w:noProof/>
                <w:color w:val="767171"/>
                <w:sz w:val="22"/>
                <w:szCs w:val="22"/>
              </w:rPr>
            </w:pPr>
            <w:r>
              <w:rPr>
                <w:rFonts w:eastAsia="Calibri"/>
                <w:noProof/>
                <w:color w:val="767171"/>
                <w:sz w:val="22"/>
                <w:szCs w:val="22"/>
              </w:rPr>
              <w:t>9</w:t>
            </w:r>
            <w:r w:rsidR="00225A28">
              <w:rPr>
                <w:rFonts w:eastAsia="Calibri"/>
                <w:noProof/>
                <w:color w:val="767171"/>
                <w:sz w:val="22"/>
                <w:szCs w:val="22"/>
              </w:rPr>
              <w:t>3</w:t>
            </w:r>
          </w:p>
        </w:tc>
        <w:tc>
          <w:tcPr>
            <w:tcW w:w="1702" w:type="dxa"/>
            <w:vAlign w:val="center"/>
          </w:tcPr>
          <w:p w14:paraId="4A0B63E7" w14:textId="164D2C43"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Dirección Mercado Eléctrico Minorista</w:t>
            </w:r>
          </w:p>
        </w:tc>
        <w:tc>
          <w:tcPr>
            <w:tcW w:w="2262" w:type="dxa"/>
            <w:vAlign w:val="center"/>
          </w:tcPr>
          <w:p w14:paraId="32045FFF"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Propuesta de política para persecución del fraude eléctrico (PE- Art.  5 - 8.1.15 y Art. 6 - 5.8.1)</w:t>
            </w:r>
          </w:p>
        </w:tc>
        <w:tc>
          <w:tcPr>
            <w:tcW w:w="2127" w:type="dxa"/>
            <w:vAlign w:val="center"/>
          </w:tcPr>
          <w:p w14:paraId="6CE393A0" w14:textId="77777777" w:rsidR="00BC62D3" w:rsidRPr="006D0445" w:rsidRDefault="00BC62D3" w:rsidP="00151441">
            <w:pPr>
              <w:spacing w:line="240" w:lineRule="auto"/>
              <w:rPr>
                <w:rFonts w:eastAsia="Calibri"/>
                <w:noProof/>
                <w:color w:val="767171"/>
                <w:sz w:val="22"/>
                <w:szCs w:val="22"/>
              </w:rPr>
            </w:pPr>
            <w:r w:rsidRPr="006D0445">
              <w:rPr>
                <w:rFonts w:eastAsia="Calibri"/>
                <w:noProof/>
                <w:color w:val="767171"/>
                <w:sz w:val="22"/>
                <w:szCs w:val="22"/>
              </w:rPr>
              <w:t>Porcentaje ejecutado</w:t>
            </w:r>
          </w:p>
        </w:tc>
        <w:tc>
          <w:tcPr>
            <w:tcW w:w="1275" w:type="dxa"/>
            <w:vAlign w:val="center"/>
          </w:tcPr>
          <w:p w14:paraId="71A340BB"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Mensual</w:t>
            </w:r>
          </w:p>
        </w:tc>
        <w:tc>
          <w:tcPr>
            <w:tcW w:w="851" w:type="dxa"/>
            <w:vAlign w:val="center"/>
          </w:tcPr>
          <w:p w14:paraId="1EF73D72"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w:t>
            </w:r>
          </w:p>
        </w:tc>
        <w:tc>
          <w:tcPr>
            <w:tcW w:w="850" w:type="dxa"/>
            <w:vAlign w:val="center"/>
          </w:tcPr>
          <w:p w14:paraId="0DFD0D77" w14:textId="77777777" w:rsidR="00BC62D3" w:rsidRPr="006D0445" w:rsidRDefault="00BC62D3" w:rsidP="00151441">
            <w:pPr>
              <w:spacing w:line="240" w:lineRule="auto"/>
              <w:jc w:val="center"/>
              <w:rPr>
                <w:rFonts w:eastAsia="Calibri"/>
                <w:noProof/>
                <w:color w:val="767171"/>
                <w:sz w:val="22"/>
                <w:szCs w:val="22"/>
              </w:rPr>
            </w:pPr>
            <w:r w:rsidRPr="006D0445">
              <w:rPr>
                <w:rFonts w:eastAsia="Calibri"/>
                <w:noProof/>
                <w:color w:val="767171"/>
                <w:sz w:val="22"/>
                <w:szCs w:val="22"/>
              </w:rPr>
              <w:t>100%</w:t>
            </w:r>
          </w:p>
        </w:tc>
        <w:tc>
          <w:tcPr>
            <w:tcW w:w="1282" w:type="dxa"/>
            <w:vAlign w:val="center"/>
          </w:tcPr>
          <w:p w14:paraId="3FFA59E9" w14:textId="77777777" w:rsidR="00BC62D3" w:rsidRPr="006D0445" w:rsidRDefault="00BC62D3" w:rsidP="00151441">
            <w:pPr>
              <w:spacing w:line="240" w:lineRule="auto"/>
              <w:jc w:val="center"/>
              <w:rPr>
                <w:b/>
                <w:bCs/>
                <w:color w:val="767171"/>
                <w:sz w:val="22"/>
                <w:szCs w:val="22"/>
              </w:rPr>
            </w:pPr>
            <w:r w:rsidRPr="006D0445">
              <w:rPr>
                <w:b/>
                <w:bCs/>
                <w:color w:val="767171"/>
                <w:sz w:val="22"/>
                <w:szCs w:val="22"/>
              </w:rPr>
              <w:t>90%</w:t>
            </w:r>
          </w:p>
        </w:tc>
      </w:tr>
    </w:tbl>
    <w:p w14:paraId="63C3D74A" w14:textId="58813C07" w:rsidR="00437B38" w:rsidRPr="006D0445" w:rsidRDefault="00437B38" w:rsidP="00437B38">
      <w:pPr>
        <w:pStyle w:val="xmsonormal"/>
        <w:rPr>
          <w:rFonts w:ascii="Times New Roman" w:hAnsi="Times New Roman" w:cs="Times New Roman"/>
          <w:color w:val="767171"/>
          <w:sz w:val="24"/>
          <w:szCs w:val="24"/>
        </w:rPr>
      </w:pPr>
    </w:p>
    <w:p w14:paraId="32834CF9" w14:textId="3B3BFE5F" w:rsidR="007B1C12" w:rsidRPr="006D0445" w:rsidRDefault="007B1C12">
      <w:pPr>
        <w:spacing w:line="259" w:lineRule="auto"/>
        <w:jc w:val="left"/>
        <w:rPr>
          <w:color w:val="767171"/>
          <w:sz w:val="22"/>
          <w:szCs w:val="22"/>
          <w:lang w:val="es-ES"/>
        </w:rPr>
      </w:pPr>
      <w:r w:rsidRPr="006D0445">
        <w:rPr>
          <w:color w:val="767171"/>
          <w:sz w:val="22"/>
          <w:szCs w:val="22"/>
          <w:lang w:val="es-ES"/>
        </w:rPr>
        <w:br w:type="page"/>
      </w:r>
    </w:p>
    <w:p w14:paraId="09866C93" w14:textId="4CB368AC" w:rsidR="008E7874" w:rsidRPr="009D0C33" w:rsidRDefault="006821E1" w:rsidP="006821E1">
      <w:pPr>
        <w:pStyle w:val="Ttulo3"/>
        <w:rPr>
          <w:color w:val="767171"/>
        </w:rPr>
      </w:pPr>
      <w:bookmarkStart w:id="90" w:name="_Toc186147736"/>
      <w:r w:rsidRPr="009D0C33">
        <w:rPr>
          <w:color w:val="767171"/>
        </w:rPr>
        <w:lastRenderedPageBreak/>
        <w:t>Resumen del Plan de Compras</w:t>
      </w:r>
      <w:bookmarkEnd w:id="90"/>
    </w:p>
    <w:tbl>
      <w:tblPr>
        <w:tblW w:w="7859" w:type="dxa"/>
        <w:jc w:val="center"/>
        <w:tblCellMar>
          <w:left w:w="70" w:type="dxa"/>
          <w:right w:w="70" w:type="dxa"/>
        </w:tblCellMar>
        <w:tblLook w:val="04A0" w:firstRow="1" w:lastRow="0" w:firstColumn="1" w:lastColumn="0" w:noHBand="0" w:noVBand="1"/>
      </w:tblPr>
      <w:tblGrid>
        <w:gridCol w:w="4106"/>
        <w:gridCol w:w="1007"/>
        <w:gridCol w:w="2746"/>
      </w:tblGrid>
      <w:tr w:rsidR="006D0445" w:rsidRPr="006D0445" w14:paraId="217EA105" w14:textId="77777777" w:rsidTr="00151441">
        <w:trPr>
          <w:trHeight w:val="552"/>
          <w:tblHeader/>
          <w:jc w:val="center"/>
        </w:trPr>
        <w:tc>
          <w:tcPr>
            <w:tcW w:w="7859" w:type="dxa"/>
            <w:gridSpan w:val="3"/>
            <w:tcBorders>
              <w:top w:val="single" w:sz="4" w:space="0" w:color="auto"/>
              <w:left w:val="single" w:sz="4" w:space="0" w:color="auto"/>
              <w:bottom w:val="single" w:sz="4" w:space="0" w:color="auto"/>
              <w:right w:val="single" w:sz="4" w:space="0" w:color="000000"/>
            </w:tcBorders>
            <w:shd w:val="clear" w:color="auto" w:fill="011C50"/>
            <w:vAlign w:val="center"/>
            <w:hideMark/>
          </w:tcPr>
          <w:bookmarkEnd w:id="78"/>
          <w:p w14:paraId="171F2943" w14:textId="77777777" w:rsidR="004F20B0" w:rsidRPr="006D0445" w:rsidRDefault="004F20B0" w:rsidP="00151441">
            <w:pPr>
              <w:spacing w:after="0" w:line="240" w:lineRule="auto"/>
              <w:jc w:val="center"/>
              <w:rPr>
                <w:color w:val="767171"/>
              </w:rPr>
            </w:pPr>
            <w:r w:rsidRPr="00832511">
              <w:rPr>
                <w:color w:val="FFFFFF" w:themeColor="background1"/>
              </w:rPr>
              <w:t xml:space="preserve">Resumen de </w:t>
            </w:r>
            <w:proofErr w:type="spellStart"/>
            <w:r w:rsidRPr="00832511">
              <w:rPr>
                <w:color w:val="FFFFFF" w:themeColor="background1"/>
              </w:rPr>
              <w:t>PACC</w:t>
            </w:r>
            <w:proofErr w:type="spellEnd"/>
            <w:r w:rsidRPr="00832511">
              <w:rPr>
                <w:color w:val="FFFFFF" w:themeColor="background1"/>
              </w:rPr>
              <w:t xml:space="preserve"> 2024</w:t>
            </w:r>
          </w:p>
        </w:tc>
      </w:tr>
      <w:tr w:rsidR="00BF17DA" w:rsidRPr="006D0445" w14:paraId="1BF52CD1" w14:textId="77777777" w:rsidTr="00151441">
        <w:trPr>
          <w:trHeight w:val="412"/>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400B4" w14:textId="77777777" w:rsidR="00BF17DA" w:rsidRPr="006D0445" w:rsidRDefault="00BF17DA" w:rsidP="00BF17DA">
            <w:pPr>
              <w:spacing w:after="0" w:line="240" w:lineRule="auto"/>
              <w:rPr>
                <w:color w:val="767171"/>
              </w:rPr>
            </w:pPr>
            <w:r w:rsidRPr="006D0445">
              <w:rPr>
                <w:color w:val="767171"/>
              </w:rPr>
              <w:t>Monto total contratado</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BC298" w14:textId="7EFF863E" w:rsidR="00BF17DA" w:rsidRPr="006D0445" w:rsidRDefault="00BF17DA" w:rsidP="00BF17DA">
            <w:pPr>
              <w:spacing w:after="0" w:line="240" w:lineRule="auto"/>
              <w:jc w:val="right"/>
              <w:rPr>
                <w:color w:val="767171"/>
              </w:rPr>
            </w:pPr>
            <w:r>
              <w:rPr>
                <w:color w:val="767171"/>
              </w:rPr>
              <w:t xml:space="preserve">$445,045,172.25 </w:t>
            </w:r>
          </w:p>
        </w:tc>
      </w:tr>
      <w:tr w:rsidR="00BF17DA" w:rsidRPr="006D0445" w14:paraId="6E1DBAF2" w14:textId="77777777" w:rsidTr="00151441">
        <w:trPr>
          <w:trHeight w:val="38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52179" w14:textId="77777777" w:rsidR="00BF17DA" w:rsidRPr="006D0445" w:rsidRDefault="00BF17DA" w:rsidP="00BF17DA">
            <w:pPr>
              <w:spacing w:after="0" w:line="240" w:lineRule="auto"/>
              <w:rPr>
                <w:color w:val="767171"/>
              </w:rPr>
            </w:pPr>
            <w:r w:rsidRPr="006D0445">
              <w:rPr>
                <w:color w:val="767171"/>
              </w:rPr>
              <w:t>Cantidad de procesos registrados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A1E6BD" w14:textId="151CC827" w:rsidR="00BF17DA" w:rsidRPr="006D0445" w:rsidRDefault="00BF17DA" w:rsidP="00BF17DA">
            <w:pPr>
              <w:spacing w:after="0" w:line="240" w:lineRule="auto"/>
              <w:jc w:val="right"/>
              <w:rPr>
                <w:color w:val="767171"/>
              </w:rPr>
            </w:pPr>
            <w:r>
              <w:rPr>
                <w:color w:val="767171"/>
              </w:rPr>
              <w:t>296</w:t>
            </w:r>
          </w:p>
        </w:tc>
      </w:tr>
      <w:tr w:rsidR="00BF17DA" w:rsidRPr="006D0445" w14:paraId="01BFC152" w14:textId="77777777" w:rsidTr="00151441">
        <w:trPr>
          <w:trHeight w:val="43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9D166" w14:textId="77777777" w:rsidR="00BF17DA" w:rsidRPr="006D0445" w:rsidRDefault="00BF17DA" w:rsidP="00BF17DA">
            <w:pPr>
              <w:spacing w:after="0" w:line="240" w:lineRule="auto"/>
              <w:rPr>
                <w:color w:val="767171"/>
              </w:rPr>
            </w:pPr>
            <w:r w:rsidRPr="006D0445">
              <w:rPr>
                <w:color w:val="767171"/>
              </w:rPr>
              <w:t>Capítulo</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7902F6B7" w14:textId="409386C6" w:rsidR="00BF17DA" w:rsidRPr="006D0445" w:rsidRDefault="00BF17DA" w:rsidP="00BF17DA">
            <w:pPr>
              <w:spacing w:after="0" w:line="240" w:lineRule="auto"/>
              <w:jc w:val="right"/>
              <w:rPr>
                <w:color w:val="767171"/>
              </w:rPr>
            </w:pPr>
            <w:r>
              <w:rPr>
                <w:color w:val="767171"/>
              </w:rPr>
              <w:t>5139</w:t>
            </w:r>
          </w:p>
        </w:tc>
      </w:tr>
      <w:tr w:rsidR="00BF17DA" w:rsidRPr="006D0445" w14:paraId="37CBAA75" w14:textId="77777777" w:rsidTr="00151441">
        <w:trPr>
          <w:trHeight w:val="43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1D90" w14:textId="77777777" w:rsidR="00BF17DA" w:rsidRPr="006D0445" w:rsidRDefault="00BF17DA" w:rsidP="00BF17DA">
            <w:pPr>
              <w:spacing w:after="0" w:line="240" w:lineRule="auto"/>
              <w:rPr>
                <w:color w:val="767171"/>
              </w:rPr>
            </w:pPr>
            <w:r w:rsidRPr="006D0445">
              <w:rPr>
                <w:color w:val="767171"/>
              </w:rPr>
              <w:t>Sub-Capítulo</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1942EEB1" w14:textId="5EA75A8F" w:rsidR="00BF17DA" w:rsidRPr="006D0445" w:rsidRDefault="00BF17DA" w:rsidP="00BF17DA">
            <w:pPr>
              <w:spacing w:after="0" w:line="240" w:lineRule="auto"/>
              <w:jc w:val="right"/>
              <w:rPr>
                <w:color w:val="767171"/>
              </w:rPr>
            </w:pPr>
            <w:r>
              <w:rPr>
                <w:color w:val="767171"/>
              </w:rPr>
              <w:t>1</w:t>
            </w:r>
          </w:p>
        </w:tc>
      </w:tr>
      <w:tr w:rsidR="00BF17DA" w:rsidRPr="006D0445" w14:paraId="5955E417" w14:textId="77777777" w:rsidTr="00151441">
        <w:trPr>
          <w:trHeight w:val="43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72026" w14:textId="77777777" w:rsidR="00BF17DA" w:rsidRPr="006D0445" w:rsidRDefault="00BF17DA" w:rsidP="00BF17DA">
            <w:pPr>
              <w:spacing w:after="0" w:line="240" w:lineRule="auto"/>
              <w:rPr>
                <w:color w:val="767171"/>
              </w:rPr>
            </w:pPr>
            <w:r w:rsidRPr="006D0445">
              <w:rPr>
                <w:color w:val="767171"/>
              </w:rPr>
              <w:t>Unidad Ejecutora</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78791CE1" w14:textId="14F769EA" w:rsidR="00BF17DA" w:rsidRPr="006D0445" w:rsidRDefault="00BF17DA" w:rsidP="00BF17DA">
            <w:pPr>
              <w:spacing w:after="0" w:line="240" w:lineRule="auto"/>
              <w:jc w:val="right"/>
              <w:rPr>
                <w:color w:val="767171"/>
              </w:rPr>
            </w:pPr>
            <w:r>
              <w:rPr>
                <w:color w:val="767171"/>
              </w:rPr>
              <w:t>1</w:t>
            </w:r>
          </w:p>
        </w:tc>
      </w:tr>
      <w:tr w:rsidR="00BF17DA" w:rsidRPr="006D0445" w14:paraId="4F71019A" w14:textId="77777777" w:rsidTr="00151441">
        <w:trPr>
          <w:trHeight w:val="43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C260A" w14:textId="77777777" w:rsidR="00BF17DA" w:rsidRPr="006D0445" w:rsidRDefault="00BF17DA" w:rsidP="00BF17DA">
            <w:pPr>
              <w:spacing w:after="0" w:line="240" w:lineRule="auto"/>
              <w:rPr>
                <w:color w:val="767171"/>
              </w:rPr>
            </w:pPr>
            <w:r w:rsidRPr="006D0445">
              <w:rPr>
                <w:color w:val="767171"/>
              </w:rPr>
              <w:t>Unidad de compra</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05EC25C1" w14:textId="0BF5A214" w:rsidR="00BF17DA" w:rsidRPr="006D0445" w:rsidRDefault="00BF17DA" w:rsidP="00BF17DA">
            <w:pPr>
              <w:spacing w:after="0" w:line="240" w:lineRule="auto"/>
              <w:jc w:val="right"/>
              <w:rPr>
                <w:color w:val="767171"/>
              </w:rPr>
            </w:pPr>
            <w:r>
              <w:rPr>
                <w:color w:val="767171"/>
              </w:rPr>
              <w:t>Superintendencia de Electricidad</w:t>
            </w:r>
          </w:p>
        </w:tc>
      </w:tr>
      <w:tr w:rsidR="00BF17DA" w:rsidRPr="006D0445" w14:paraId="652EDDFE" w14:textId="77777777" w:rsidTr="00151441">
        <w:trPr>
          <w:trHeight w:val="417"/>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75C65" w14:textId="77777777" w:rsidR="00BF17DA" w:rsidRPr="006D0445" w:rsidRDefault="00BF17DA" w:rsidP="00BF17DA">
            <w:pPr>
              <w:spacing w:after="0" w:line="240" w:lineRule="auto"/>
              <w:rPr>
                <w:color w:val="767171"/>
              </w:rPr>
            </w:pPr>
            <w:r w:rsidRPr="006D0445">
              <w:rPr>
                <w:color w:val="767171"/>
              </w:rPr>
              <w:t>Año fiscal</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80544C" w14:textId="61098C50" w:rsidR="00BF17DA" w:rsidRPr="006D0445" w:rsidRDefault="00BF17DA" w:rsidP="00BF17DA">
            <w:pPr>
              <w:spacing w:after="0" w:line="240" w:lineRule="auto"/>
              <w:jc w:val="right"/>
              <w:rPr>
                <w:color w:val="767171"/>
              </w:rPr>
            </w:pPr>
            <w:r>
              <w:rPr>
                <w:color w:val="767171"/>
              </w:rPr>
              <w:t>1 de enero - 03 de diciembre 2024</w:t>
            </w:r>
          </w:p>
        </w:tc>
      </w:tr>
      <w:tr w:rsidR="006D0445" w:rsidRPr="006D0445" w14:paraId="7EF4EF82" w14:textId="77777777" w:rsidTr="00151441">
        <w:trPr>
          <w:trHeight w:val="488"/>
          <w:jc w:val="center"/>
        </w:trPr>
        <w:tc>
          <w:tcPr>
            <w:tcW w:w="7859" w:type="dxa"/>
            <w:gridSpan w:val="3"/>
            <w:tcBorders>
              <w:top w:val="single" w:sz="4" w:space="0" w:color="auto"/>
              <w:left w:val="single" w:sz="4" w:space="0" w:color="auto"/>
              <w:bottom w:val="single" w:sz="4" w:space="0" w:color="auto"/>
              <w:right w:val="single" w:sz="4" w:space="0" w:color="auto"/>
            </w:tcBorders>
            <w:shd w:val="clear" w:color="auto" w:fill="011C50"/>
            <w:vAlign w:val="center"/>
            <w:hideMark/>
          </w:tcPr>
          <w:p w14:paraId="5207592D" w14:textId="77777777" w:rsidR="004F20B0" w:rsidRPr="006D0445" w:rsidRDefault="004F20B0" w:rsidP="00151441">
            <w:pPr>
              <w:spacing w:after="0" w:line="240" w:lineRule="auto"/>
              <w:jc w:val="center"/>
              <w:rPr>
                <w:color w:val="767171"/>
              </w:rPr>
            </w:pPr>
            <w:r w:rsidRPr="00832511">
              <w:rPr>
                <w:color w:val="FFFFFF" w:themeColor="background1"/>
              </w:rPr>
              <w:t>Montos según objeto de contratación</w:t>
            </w:r>
          </w:p>
        </w:tc>
      </w:tr>
      <w:tr w:rsidR="006D0445" w:rsidRPr="006D0445" w14:paraId="4F13F3B2" w14:textId="77777777" w:rsidTr="00151441">
        <w:trPr>
          <w:trHeight w:val="552"/>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5381A" w14:textId="77777777" w:rsidR="004F20B0" w:rsidRPr="006D0445" w:rsidRDefault="004F20B0" w:rsidP="00151441">
            <w:pPr>
              <w:spacing w:after="0" w:line="240" w:lineRule="auto"/>
              <w:rPr>
                <w:color w:val="767171"/>
              </w:rPr>
            </w:pPr>
            <w:r w:rsidRPr="006D0445">
              <w:rPr>
                <w:color w:val="767171"/>
              </w:rPr>
              <w:t>Bienes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960A40" w14:textId="01C1C982" w:rsidR="004F20B0" w:rsidRPr="006D0445" w:rsidRDefault="00BF17DA" w:rsidP="00BF17DA">
            <w:pPr>
              <w:spacing w:line="240" w:lineRule="auto"/>
              <w:jc w:val="right"/>
              <w:rPr>
                <w:color w:val="767171"/>
              </w:rPr>
            </w:pPr>
            <w:r>
              <w:rPr>
                <w:color w:val="767171"/>
              </w:rPr>
              <w:t>$151,469,390.47</w:t>
            </w:r>
          </w:p>
        </w:tc>
      </w:tr>
      <w:tr w:rsidR="006D0445" w:rsidRPr="006D0445" w14:paraId="7A894E16" w14:textId="77777777" w:rsidTr="00151441">
        <w:trPr>
          <w:trHeight w:val="56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C137" w14:textId="1899D827" w:rsidR="004F20B0" w:rsidRPr="006D0445" w:rsidRDefault="009D0C33" w:rsidP="00151441">
            <w:pPr>
              <w:spacing w:after="0" w:line="240" w:lineRule="auto"/>
              <w:rPr>
                <w:color w:val="767171"/>
              </w:rPr>
            </w:pPr>
            <w:r>
              <w:rPr>
                <w:color w:val="767171"/>
              </w:rPr>
              <w:t>Obras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9934BE" w14:textId="4AA5B7F9" w:rsidR="004F20B0" w:rsidRPr="006D0445" w:rsidRDefault="00BF17DA" w:rsidP="00151441">
            <w:pPr>
              <w:spacing w:after="0" w:line="240" w:lineRule="auto"/>
              <w:jc w:val="right"/>
              <w:rPr>
                <w:color w:val="767171"/>
              </w:rPr>
            </w:pPr>
            <w:r>
              <w:rPr>
                <w:color w:val="767171"/>
              </w:rPr>
              <w:t>0</w:t>
            </w:r>
          </w:p>
        </w:tc>
      </w:tr>
      <w:tr w:rsidR="00BF17DA" w:rsidRPr="006D0445" w14:paraId="37C4242D" w14:textId="77777777" w:rsidTr="00151441">
        <w:trPr>
          <w:trHeight w:val="554"/>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764E" w14:textId="5EC5A133" w:rsidR="00BF17DA" w:rsidRPr="006D0445" w:rsidRDefault="00BF17DA" w:rsidP="00BF17DA">
            <w:pPr>
              <w:spacing w:after="0" w:line="240" w:lineRule="auto"/>
              <w:rPr>
                <w:color w:val="767171"/>
              </w:rPr>
            </w:pPr>
            <w:r w:rsidRPr="006D0445">
              <w:rPr>
                <w:color w:val="767171"/>
              </w:rPr>
              <w:t>Servicios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723D6121" w14:textId="0E7477BE" w:rsidR="00BF17DA" w:rsidRPr="006D0445" w:rsidRDefault="00BF17DA" w:rsidP="00BF17DA">
            <w:pPr>
              <w:spacing w:after="0" w:line="240" w:lineRule="auto"/>
              <w:jc w:val="right"/>
              <w:rPr>
                <w:color w:val="767171"/>
              </w:rPr>
            </w:pPr>
            <w:r>
              <w:rPr>
                <w:color w:val="767171"/>
              </w:rPr>
              <w:t xml:space="preserve">$277,014,349.30 </w:t>
            </w:r>
          </w:p>
        </w:tc>
      </w:tr>
      <w:tr w:rsidR="00BF17DA" w:rsidRPr="006D0445" w14:paraId="6E915E89" w14:textId="77777777" w:rsidTr="00151441">
        <w:trPr>
          <w:trHeight w:val="554"/>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5A5F2" w14:textId="77777777" w:rsidR="00BF17DA" w:rsidRPr="006D0445" w:rsidRDefault="00BF17DA" w:rsidP="00BF17DA">
            <w:pPr>
              <w:spacing w:after="0" w:line="240" w:lineRule="auto"/>
              <w:rPr>
                <w:color w:val="767171"/>
              </w:rPr>
            </w:pPr>
            <w:r w:rsidRPr="006D0445">
              <w:rPr>
                <w:color w:val="767171"/>
              </w:rPr>
              <w:t>Servicios: Consultoría</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tcPr>
          <w:p w14:paraId="223BE372" w14:textId="359E5784" w:rsidR="00BF17DA" w:rsidRPr="006D0445" w:rsidRDefault="00BF17DA" w:rsidP="00BF17DA">
            <w:pPr>
              <w:spacing w:after="0" w:line="240" w:lineRule="auto"/>
              <w:jc w:val="right"/>
              <w:rPr>
                <w:color w:val="767171"/>
              </w:rPr>
            </w:pPr>
            <w:r>
              <w:rPr>
                <w:color w:val="767171"/>
              </w:rPr>
              <w:t xml:space="preserve">$40,667,300.00 </w:t>
            </w:r>
          </w:p>
        </w:tc>
      </w:tr>
      <w:tr w:rsidR="006D0445" w:rsidRPr="006D0445" w14:paraId="315F746F" w14:textId="77777777" w:rsidTr="00151441">
        <w:trPr>
          <w:trHeight w:val="554"/>
          <w:jc w:val="center"/>
        </w:trPr>
        <w:tc>
          <w:tcPr>
            <w:tcW w:w="7859" w:type="dxa"/>
            <w:gridSpan w:val="3"/>
            <w:tcBorders>
              <w:top w:val="single" w:sz="4" w:space="0" w:color="auto"/>
              <w:left w:val="single" w:sz="4" w:space="0" w:color="auto"/>
              <w:bottom w:val="single" w:sz="4" w:space="0" w:color="auto"/>
              <w:right w:val="single" w:sz="4" w:space="0" w:color="auto"/>
            </w:tcBorders>
            <w:shd w:val="clear" w:color="auto" w:fill="011C50"/>
            <w:vAlign w:val="center"/>
            <w:hideMark/>
          </w:tcPr>
          <w:p w14:paraId="59E4961B" w14:textId="77777777" w:rsidR="004F20B0" w:rsidRPr="006D0445" w:rsidRDefault="004F20B0" w:rsidP="00151441">
            <w:pPr>
              <w:spacing w:after="0" w:line="240" w:lineRule="auto"/>
              <w:jc w:val="center"/>
              <w:rPr>
                <w:color w:val="767171"/>
              </w:rPr>
            </w:pPr>
            <w:r w:rsidRPr="00832511">
              <w:rPr>
                <w:color w:val="FFFFFF" w:themeColor="background1"/>
              </w:rPr>
              <w:t>Montos según clasificación MiPymes</w:t>
            </w:r>
          </w:p>
        </w:tc>
      </w:tr>
      <w:tr w:rsidR="00BF17DA" w:rsidRPr="006D0445" w14:paraId="1F7C0B44" w14:textId="77777777" w:rsidTr="00151441">
        <w:trPr>
          <w:trHeight w:val="57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28C02" w14:textId="77777777" w:rsidR="00BF17DA" w:rsidRPr="006D0445" w:rsidRDefault="00BF17DA" w:rsidP="00BF17DA">
            <w:pPr>
              <w:spacing w:after="0" w:line="240" w:lineRule="auto"/>
              <w:rPr>
                <w:color w:val="767171"/>
              </w:rPr>
            </w:pPr>
            <w:r w:rsidRPr="006D0445">
              <w:rPr>
                <w:color w:val="767171"/>
              </w:rPr>
              <w:t>MiPymes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1FFB9" w14:textId="55691888" w:rsidR="00BF17DA" w:rsidRPr="006D0445" w:rsidRDefault="00BF17DA" w:rsidP="00BF17DA">
            <w:pPr>
              <w:spacing w:after="0" w:line="240" w:lineRule="auto"/>
              <w:jc w:val="right"/>
              <w:rPr>
                <w:color w:val="767171"/>
              </w:rPr>
            </w:pPr>
            <w:r>
              <w:rPr>
                <w:color w:val="767171"/>
              </w:rPr>
              <w:t xml:space="preserve">$41,385,306.39 </w:t>
            </w:r>
          </w:p>
        </w:tc>
      </w:tr>
      <w:tr w:rsidR="00BF17DA" w:rsidRPr="006D0445" w14:paraId="3E80C635" w14:textId="77777777" w:rsidTr="00151441">
        <w:trPr>
          <w:trHeight w:val="55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E5E0" w14:textId="77777777" w:rsidR="00BF17DA" w:rsidRPr="006D0445" w:rsidRDefault="00BF17DA" w:rsidP="00BF17DA">
            <w:pPr>
              <w:spacing w:after="0" w:line="240" w:lineRule="auto"/>
              <w:rPr>
                <w:color w:val="767171"/>
              </w:rPr>
            </w:pPr>
            <w:r w:rsidRPr="006D0445">
              <w:rPr>
                <w:color w:val="767171"/>
              </w:rPr>
              <w:t>MiPymes Mujer</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27A8BA" w14:textId="74431CC1" w:rsidR="00BF17DA" w:rsidRPr="006D0445" w:rsidRDefault="00BF17DA" w:rsidP="00BF17DA">
            <w:pPr>
              <w:spacing w:after="0" w:line="240" w:lineRule="auto"/>
              <w:jc w:val="right"/>
              <w:rPr>
                <w:color w:val="767171"/>
              </w:rPr>
            </w:pPr>
            <w:r>
              <w:rPr>
                <w:color w:val="767171"/>
              </w:rPr>
              <w:t xml:space="preserve">$19,994,548.74 </w:t>
            </w:r>
          </w:p>
        </w:tc>
      </w:tr>
      <w:tr w:rsidR="00BF17DA" w:rsidRPr="006D0445" w14:paraId="4E6A17B4" w14:textId="77777777" w:rsidTr="00151441">
        <w:trPr>
          <w:trHeight w:val="416"/>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A289" w14:textId="77777777" w:rsidR="00BF17DA" w:rsidRPr="006D0445" w:rsidRDefault="00BF17DA" w:rsidP="00BF17DA">
            <w:pPr>
              <w:spacing w:after="0" w:line="240" w:lineRule="auto"/>
              <w:rPr>
                <w:color w:val="767171"/>
              </w:rPr>
            </w:pPr>
            <w:r w:rsidRPr="006D0445">
              <w:rPr>
                <w:color w:val="767171"/>
              </w:rPr>
              <w:t>No MiPymes</w:t>
            </w:r>
          </w:p>
        </w:tc>
        <w:tc>
          <w:tcPr>
            <w:tcW w:w="3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A86651" w14:textId="670137E7" w:rsidR="00BF17DA" w:rsidRPr="006D0445" w:rsidRDefault="00BF17DA" w:rsidP="00BF17DA">
            <w:pPr>
              <w:spacing w:after="0" w:line="240" w:lineRule="auto"/>
              <w:jc w:val="right"/>
              <w:rPr>
                <w:color w:val="767171"/>
              </w:rPr>
            </w:pPr>
            <w:r>
              <w:rPr>
                <w:color w:val="767171"/>
              </w:rPr>
              <w:t xml:space="preserve">$359,559,449.60 </w:t>
            </w:r>
          </w:p>
        </w:tc>
      </w:tr>
      <w:tr w:rsidR="00832511" w:rsidRPr="00832511" w14:paraId="063B849F" w14:textId="77777777" w:rsidTr="00151441">
        <w:trPr>
          <w:trHeight w:val="522"/>
          <w:jc w:val="center"/>
        </w:trPr>
        <w:tc>
          <w:tcPr>
            <w:tcW w:w="4106" w:type="dxa"/>
            <w:tcBorders>
              <w:top w:val="single" w:sz="4" w:space="0" w:color="auto"/>
              <w:left w:val="single" w:sz="4" w:space="0" w:color="auto"/>
              <w:bottom w:val="single" w:sz="4" w:space="0" w:color="auto"/>
              <w:right w:val="single" w:sz="4" w:space="0" w:color="auto"/>
            </w:tcBorders>
            <w:shd w:val="clear" w:color="auto" w:fill="011C50"/>
            <w:vAlign w:val="center"/>
            <w:hideMark/>
          </w:tcPr>
          <w:p w14:paraId="571C2BE8" w14:textId="77777777" w:rsidR="004F20B0" w:rsidRPr="00832511" w:rsidRDefault="004F20B0" w:rsidP="00151441">
            <w:pPr>
              <w:spacing w:after="0" w:line="240" w:lineRule="auto"/>
              <w:rPr>
                <w:color w:val="FFFFFF" w:themeColor="background1"/>
              </w:rPr>
            </w:pPr>
            <w:bookmarkStart w:id="91" w:name="_Hlk186147485"/>
            <w:r w:rsidRPr="00832511">
              <w:rPr>
                <w:color w:val="FFFFFF" w:themeColor="background1"/>
              </w:rPr>
              <w:t>Tipo de Procedimiento</w:t>
            </w:r>
          </w:p>
        </w:tc>
        <w:tc>
          <w:tcPr>
            <w:tcW w:w="1007" w:type="dxa"/>
            <w:tcBorders>
              <w:top w:val="single" w:sz="4" w:space="0" w:color="auto"/>
              <w:left w:val="nil"/>
              <w:bottom w:val="single" w:sz="4" w:space="0" w:color="auto"/>
              <w:right w:val="single" w:sz="4" w:space="0" w:color="auto"/>
            </w:tcBorders>
            <w:shd w:val="clear" w:color="auto" w:fill="011C50"/>
            <w:vAlign w:val="center"/>
            <w:hideMark/>
          </w:tcPr>
          <w:p w14:paraId="6ECD431D" w14:textId="77777777" w:rsidR="004F20B0" w:rsidRPr="00832511" w:rsidRDefault="004F20B0" w:rsidP="00151441">
            <w:pPr>
              <w:spacing w:after="0" w:line="240" w:lineRule="auto"/>
              <w:jc w:val="center"/>
              <w:rPr>
                <w:color w:val="FFFFFF" w:themeColor="background1"/>
              </w:rPr>
            </w:pPr>
            <w:r w:rsidRPr="00832511">
              <w:rPr>
                <w:color w:val="FFFFFF" w:themeColor="background1"/>
              </w:rPr>
              <w:t>Cantidad</w:t>
            </w:r>
          </w:p>
        </w:tc>
        <w:tc>
          <w:tcPr>
            <w:tcW w:w="2746" w:type="dxa"/>
            <w:tcBorders>
              <w:top w:val="single" w:sz="4" w:space="0" w:color="auto"/>
              <w:left w:val="nil"/>
              <w:bottom w:val="single" w:sz="4" w:space="0" w:color="auto"/>
              <w:right w:val="single" w:sz="4" w:space="0" w:color="auto"/>
            </w:tcBorders>
            <w:shd w:val="clear" w:color="auto" w:fill="011C50"/>
            <w:vAlign w:val="center"/>
            <w:hideMark/>
          </w:tcPr>
          <w:p w14:paraId="53949596" w14:textId="77777777" w:rsidR="004F20B0" w:rsidRPr="00832511" w:rsidRDefault="004F20B0" w:rsidP="00151441">
            <w:pPr>
              <w:spacing w:after="0" w:line="240" w:lineRule="auto"/>
              <w:jc w:val="center"/>
              <w:rPr>
                <w:color w:val="FFFFFF" w:themeColor="background1"/>
              </w:rPr>
            </w:pPr>
            <w:r w:rsidRPr="00832511">
              <w:rPr>
                <w:color w:val="FFFFFF" w:themeColor="background1"/>
              </w:rPr>
              <w:t>Total</w:t>
            </w:r>
          </w:p>
        </w:tc>
      </w:tr>
      <w:bookmarkEnd w:id="91"/>
      <w:tr w:rsidR="00BF17DA" w:rsidRPr="006D0445" w14:paraId="385FEB5E" w14:textId="77777777" w:rsidTr="00151441">
        <w:trPr>
          <w:trHeight w:val="477"/>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752B" w14:textId="77777777" w:rsidR="00BF17DA" w:rsidRPr="006D0445" w:rsidRDefault="00BF17DA" w:rsidP="00BF17DA">
            <w:pPr>
              <w:spacing w:after="0" w:line="240" w:lineRule="auto"/>
              <w:rPr>
                <w:color w:val="767171"/>
              </w:rPr>
            </w:pPr>
            <w:r w:rsidRPr="006D0445">
              <w:rPr>
                <w:color w:val="767171"/>
              </w:rPr>
              <w:t>Compras por debajo del umbral</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3AACF4F" w14:textId="7080E6B7" w:rsidR="00BF17DA" w:rsidRPr="006D0445" w:rsidRDefault="00BF17DA" w:rsidP="00BF17DA">
            <w:pPr>
              <w:spacing w:after="0" w:line="240" w:lineRule="auto"/>
              <w:jc w:val="center"/>
              <w:rPr>
                <w:color w:val="767171"/>
              </w:rPr>
            </w:pPr>
            <w:r>
              <w:rPr>
                <w:color w:val="767171"/>
              </w:rPr>
              <w:t>75</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3ADFD7A0" w14:textId="0FBEB5E5" w:rsidR="00BF17DA" w:rsidRPr="006D0445" w:rsidRDefault="00BF17DA" w:rsidP="00BF17DA">
            <w:pPr>
              <w:spacing w:after="0" w:line="240" w:lineRule="auto"/>
              <w:jc w:val="right"/>
              <w:rPr>
                <w:color w:val="767171"/>
              </w:rPr>
            </w:pPr>
            <w:r>
              <w:rPr>
                <w:color w:val="767171"/>
              </w:rPr>
              <w:t>9,965,594.85</w:t>
            </w:r>
          </w:p>
        </w:tc>
      </w:tr>
      <w:tr w:rsidR="00BF17DA" w:rsidRPr="006D0445" w14:paraId="040365A4" w14:textId="77777777" w:rsidTr="00151441">
        <w:trPr>
          <w:trHeight w:val="413"/>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519C" w14:textId="77777777" w:rsidR="00BF17DA" w:rsidRPr="006D0445" w:rsidRDefault="00BF17DA" w:rsidP="00BF17DA">
            <w:pPr>
              <w:spacing w:after="0" w:line="240" w:lineRule="auto"/>
              <w:rPr>
                <w:color w:val="767171"/>
              </w:rPr>
            </w:pPr>
            <w:r w:rsidRPr="006D0445">
              <w:rPr>
                <w:color w:val="767171"/>
              </w:rPr>
              <w:t>Compra menor</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CA8AD0E" w14:textId="668485FF" w:rsidR="00BF17DA" w:rsidRPr="006D0445" w:rsidRDefault="00BF17DA" w:rsidP="00BF17DA">
            <w:pPr>
              <w:spacing w:after="0" w:line="240" w:lineRule="auto"/>
              <w:jc w:val="center"/>
              <w:rPr>
                <w:color w:val="767171"/>
              </w:rPr>
            </w:pPr>
            <w:r>
              <w:rPr>
                <w:color w:val="767171"/>
              </w:rPr>
              <w:t>92</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4E03D4B1" w14:textId="221DE1EA" w:rsidR="00BF17DA" w:rsidRPr="006D0445" w:rsidRDefault="00BF17DA" w:rsidP="00BF17DA">
            <w:pPr>
              <w:spacing w:after="0" w:line="240" w:lineRule="auto"/>
              <w:jc w:val="right"/>
              <w:rPr>
                <w:color w:val="767171"/>
              </w:rPr>
            </w:pPr>
            <w:r>
              <w:rPr>
                <w:color w:val="767171"/>
              </w:rPr>
              <w:t xml:space="preserve">$50,729,915.09 </w:t>
            </w:r>
          </w:p>
        </w:tc>
      </w:tr>
      <w:tr w:rsidR="00BF17DA" w:rsidRPr="006D0445" w14:paraId="6E7F5476" w14:textId="77777777" w:rsidTr="00151441">
        <w:trPr>
          <w:trHeight w:val="295"/>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F082B" w14:textId="77777777" w:rsidR="00BF17DA" w:rsidRPr="006D0445" w:rsidRDefault="00BF17DA" w:rsidP="00BF17DA">
            <w:pPr>
              <w:spacing w:after="0" w:line="240" w:lineRule="auto"/>
              <w:rPr>
                <w:color w:val="767171"/>
              </w:rPr>
            </w:pPr>
            <w:r w:rsidRPr="006D0445">
              <w:rPr>
                <w:color w:val="767171"/>
              </w:rPr>
              <w:t>Comparación de precios</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05C906F5" w14:textId="2ABFC7A4" w:rsidR="00BF17DA" w:rsidRPr="006D0445" w:rsidRDefault="00BF17DA" w:rsidP="00BF17DA">
            <w:pPr>
              <w:spacing w:after="0" w:line="240" w:lineRule="auto"/>
              <w:jc w:val="center"/>
              <w:rPr>
                <w:color w:val="767171"/>
              </w:rPr>
            </w:pPr>
            <w:r>
              <w:rPr>
                <w:color w:val="767171"/>
              </w:rPr>
              <w:t>12</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3F745F78" w14:textId="22315746" w:rsidR="00BF17DA" w:rsidRPr="006D0445" w:rsidRDefault="00BF17DA" w:rsidP="00BF17DA">
            <w:pPr>
              <w:spacing w:after="0" w:line="240" w:lineRule="auto"/>
              <w:jc w:val="right"/>
              <w:rPr>
                <w:color w:val="767171"/>
              </w:rPr>
            </w:pPr>
            <w:r>
              <w:rPr>
                <w:color w:val="767171"/>
              </w:rPr>
              <w:t xml:space="preserve">$34,094,959.10 </w:t>
            </w:r>
          </w:p>
        </w:tc>
      </w:tr>
      <w:tr w:rsidR="004070DB" w:rsidRPr="006D0445" w14:paraId="4F39FDA7" w14:textId="77777777" w:rsidTr="00151441">
        <w:trPr>
          <w:trHeight w:val="436"/>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812DA" w14:textId="77777777" w:rsidR="004070DB" w:rsidRPr="006D0445" w:rsidRDefault="004070DB" w:rsidP="004070DB">
            <w:pPr>
              <w:spacing w:after="0" w:line="240" w:lineRule="auto"/>
              <w:rPr>
                <w:color w:val="767171"/>
              </w:rPr>
            </w:pPr>
            <w:r w:rsidRPr="006D0445">
              <w:rPr>
                <w:color w:val="767171"/>
              </w:rPr>
              <w:t>Licitación pública nacional</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D5802E5" w14:textId="4489F80E" w:rsidR="004070DB" w:rsidRPr="006D0445" w:rsidRDefault="004070DB" w:rsidP="004070DB">
            <w:pPr>
              <w:spacing w:after="0" w:line="240" w:lineRule="auto"/>
              <w:jc w:val="center"/>
              <w:rPr>
                <w:color w:val="767171"/>
              </w:rPr>
            </w:pPr>
            <w:r>
              <w:rPr>
                <w:color w:val="767171"/>
              </w:rPr>
              <w:t>7</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6473F2E4" w14:textId="5A804895" w:rsidR="004070DB" w:rsidRPr="006D0445" w:rsidRDefault="004070DB" w:rsidP="004070DB">
            <w:pPr>
              <w:spacing w:after="0" w:line="240" w:lineRule="auto"/>
              <w:jc w:val="right"/>
              <w:rPr>
                <w:color w:val="767171"/>
              </w:rPr>
            </w:pPr>
            <w:r>
              <w:rPr>
                <w:color w:val="767171"/>
              </w:rPr>
              <w:t xml:space="preserve">$84,836,889.97 </w:t>
            </w:r>
          </w:p>
        </w:tc>
      </w:tr>
      <w:tr w:rsidR="006D0445" w:rsidRPr="006D0445" w14:paraId="7E3216F8" w14:textId="77777777" w:rsidTr="00151441">
        <w:trPr>
          <w:trHeight w:val="404"/>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4CDED" w14:textId="77777777" w:rsidR="004F20B0" w:rsidRPr="006D0445" w:rsidRDefault="004F20B0" w:rsidP="00151441">
            <w:pPr>
              <w:spacing w:after="0" w:line="240" w:lineRule="auto"/>
              <w:rPr>
                <w:color w:val="767171"/>
              </w:rPr>
            </w:pPr>
            <w:r w:rsidRPr="006D0445">
              <w:rPr>
                <w:color w:val="767171"/>
              </w:rPr>
              <w:t>Licitación pública internacional</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F1CEA44" w14:textId="77777777" w:rsidR="004F20B0" w:rsidRPr="006D0445" w:rsidRDefault="004F20B0" w:rsidP="00151441">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73542591" w14:textId="77777777" w:rsidR="004F20B0" w:rsidRPr="006D0445" w:rsidRDefault="004F20B0" w:rsidP="00151441">
            <w:pPr>
              <w:spacing w:after="0" w:line="240" w:lineRule="auto"/>
              <w:jc w:val="right"/>
              <w:rPr>
                <w:color w:val="767171"/>
              </w:rPr>
            </w:pPr>
          </w:p>
        </w:tc>
      </w:tr>
      <w:tr w:rsidR="006D0445" w:rsidRPr="006D0445" w14:paraId="108D5A55" w14:textId="77777777" w:rsidTr="00151441">
        <w:trPr>
          <w:trHeight w:val="41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82C7E" w14:textId="77777777" w:rsidR="004F20B0" w:rsidRPr="006D0445" w:rsidRDefault="004F20B0" w:rsidP="00151441">
            <w:pPr>
              <w:spacing w:after="0" w:line="240" w:lineRule="auto"/>
              <w:rPr>
                <w:color w:val="767171"/>
              </w:rPr>
            </w:pPr>
            <w:r w:rsidRPr="006D0445">
              <w:rPr>
                <w:color w:val="767171"/>
              </w:rPr>
              <w:t>Licitación restringida</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8BFB61D" w14:textId="77777777" w:rsidR="004F20B0" w:rsidRPr="006D0445" w:rsidRDefault="004F20B0" w:rsidP="00151441">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1DBA564C" w14:textId="77777777" w:rsidR="004F20B0" w:rsidRPr="006D0445" w:rsidRDefault="004F20B0" w:rsidP="00151441">
            <w:pPr>
              <w:spacing w:after="0" w:line="240" w:lineRule="auto"/>
              <w:jc w:val="right"/>
              <w:rPr>
                <w:color w:val="767171"/>
              </w:rPr>
            </w:pPr>
          </w:p>
        </w:tc>
      </w:tr>
      <w:tr w:rsidR="006D0445" w:rsidRPr="006D0445" w14:paraId="0EAD837E" w14:textId="77777777" w:rsidTr="00151441">
        <w:trPr>
          <w:trHeight w:val="417"/>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F359D" w14:textId="77777777" w:rsidR="004F20B0" w:rsidRPr="006D0445" w:rsidRDefault="004F20B0" w:rsidP="00151441">
            <w:pPr>
              <w:spacing w:after="0" w:line="240" w:lineRule="auto"/>
              <w:rPr>
                <w:color w:val="767171"/>
              </w:rPr>
            </w:pPr>
            <w:r w:rsidRPr="006D0445">
              <w:rPr>
                <w:color w:val="767171"/>
              </w:rPr>
              <w:t>Sorteo de obras</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3D488D7F" w14:textId="77777777" w:rsidR="004F20B0" w:rsidRPr="006D0445" w:rsidRDefault="004F20B0" w:rsidP="00151441">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2369033A" w14:textId="77777777" w:rsidR="004F20B0" w:rsidRPr="006D0445" w:rsidRDefault="004F20B0" w:rsidP="00151441">
            <w:pPr>
              <w:spacing w:after="0" w:line="240" w:lineRule="auto"/>
              <w:jc w:val="right"/>
              <w:rPr>
                <w:color w:val="767171"/>
              </w:rPr>
            </w:pPr>
          </w:p>
        </w:tc>
      </w:tr>
      <w:tr w:rsidR="00DD10B7" w:rsidRPr="006D0445" w14:paraId="4DBB4939" w14:textId="77777777" w:rsidTr="00DD10B7">
        <w:trPr>
          <w:trHeight w:val="409"/>
          <w:jc w:val="center"/>
        </w:trPr>
        <w:tc>
          <w:tcPr>
            <w:tcW w:w="4106"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1D1F13D4" w14:textId="7C160D0C" w:rsidR="00DD10B7" w:rsidRPr="00DD10B7" w:rsidRDefault="00DD10B7" w:rsidP="00DD10B7">
            <w:pPr>
              <w:spacing w:after="0" w:line="240" w:lineRule="auto"/>
              <w:jc w:val="center"/>
              <w:rPr>
                <w:color w:val="767171"/>
              </w:rPr>
            </w:pPr>
            <w:r w:rsidRPr="00DD10B7">
              <w:rPr>
                <w:color w:val="FFFFFF" w:themeColor="background1"/>
              </w:rPr>
              <w:lastRenderedPageBreak/>
              <w:t>Tipo de Procedimiento</w:t>
            </w:r>
          </w:p>
        </w:tc>
        <w:tc>
          <w:tcPr>
            <w:tcW w:w="1007" w:type="dxa"/>
            <w:tcBorders>
              <w:top w:val="single" w:sz="4" w:space="0" w:color="auto"/>
              <w:left w:val="nil"/>
              <w:bottom w:val="single" w:sz="4" w:space="0" w:color="auto"/>
              <w:right w:val="single" w:sz="4" w:space="0" w:color="auto"/>
            </w:tcBorders>
            <w:shd w:val="clear" w:color="auto" w:fill="002060"/>
            <w:noWrap/>
            <w:vAlign w:val="center"/>
          </w:tcPr>
          <w:p w14:paraId="4C487A9D" w14:textId="74FF8C01" w:rsidR="00DD10B7" w:rsidRPr="00DD10B7" w:rsidRDefault="00DD10B7" w:rsidP="00DD10B7">
            <w:pPr>
              <w:spacing w:after="0" w:line="240" w:lineRule="auto"/>
              <w:jc w:val="center"/>
              <w:rPr>
                <w:color w:val="767171"/>
              </w:rPr>
            </w:pPr>
            <w:r w:rsidRPr="00DD10B7">
              <w:rPr>
                <w:color w:val="FFFFFF" w:themeColor="background1"/>
              </w:rPr>
              <w:t>Cantidad</w:t>
            </w:r>
          </w:p>
        </w:tc>
        <w:tc>
          <w:tcPr>
            <w:tcW w:w="2746" w:type="dxa"/>
            <w:tcBorders>
              <w:top w:val="single" w:sz="4" w:space="0" w:color="auto"/>
              <w:left w:val="nil"/>
              <w:bottom w:val="single" w:sz="4" w:space="0" w:color="auto"/>
              <w:right w:val="single" w:sz="4" w:space="0" w:color="auto"/>
            </w:tcBorders>
            <w:shd w:val="clear" w:color="auto" w:fill="002060"/>
            <w:noWrap/>
            <w:vAlign w:val="center"/>
          </w:tcPr>
          <w:p w14:paraId="1394C7A2" w14:textId="0AAAEBF1" w:rsidR="00DD10B7" w:rsidRPr="00DD10B7" w:rsidRDefault="00DD10B7" w:rsidP="00DD10B7">
            <w:pPr>
              <w:spacing w:after="0" w:line="240" w:lineRule="auto"/>
              <w:jc w:val="center"/>
              <w:rPr>
                <w:color w:val="767171"/>
              </w:rPr>
            </w:pPr>
            <w:r w:rsidRPr="00DD10B7">
              <w:rPr>
                <w:color w:val="FFFFFF" w:themeColor="background1"/>
              </w:rPr>
              <w:t>Total</w:t>
            </w:r>
          </w:p>
        </w:tc>
      </w:tr>
      <w:tr w:rsidR="00DD10B7" w:rsidRPr="006D0445" w14:paraId="7EC4AD1B" w14:textId="77777777" w:rsidTr="00151441">
        <w:trPr>
          <w:trHeight w:val="409"/>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A2DD3" w14:textId="77777777" w:rsidR="00DD10B7" w:rsidRPr="006D0445" w:rsidRDefault="00DD10B7" w:rsidP="00DD10B7">
            <w:pPr>
              <w:spacing w:after="0" w:line="240" w:lineRule="auto"/>
              <w:rPr>
                <w:color w:val="767171"/>
              </w:rPr>
            </w:pPr>
            <w:r w:rsidRPr="006D0445">
              <w:rPr>
                <w:color w:val="767171"/>
              </w:rPr>
              <w:t>Subasta inversa</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02DCC236" w14:textId="77777777" w:rsidR="00DD10B7" w:rsidRPr="006D0445" w:rsidRDefault="00DD10B7" w:rsidP="00DD10B7">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6A133AD3" w14:textId="77777777" w:rsidR="00DD10B7" w:rsidRPr="006D0445" w:rsidRDefault="00DD10B7" w:rsidP="00DD10B7">
            <w:pPr>
              <w:spacing w:after="0" w:line="240" w:lineRule="auto"/>
              <w:jc w:val="right"/>
              <w:rPr>
                <w:color w:val="767171"/>
              </w:rPr>
            </w:pPr>
          </w:p>
        </w:tc>
      </w:tr>
      <w:tr w:rsidR="00DD10B7" w:rsidRPr="006D0445" w14:paraId="4D6408EA" w14:textId="77777777" w:rsidTr="00151441">
        <w:trPr>
          <w:trHeight w:val="295"/>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1F0B3" w14:textId="77777777" w:rsidR="00DD10B7" w:rsidRPr="006D0445" w:rsidRDefault="00DD10B7" w:rsidP="00DD10B7">
            <w:pPr>
              <w:spacing w:after="0" w:line="240" w:lineRule="auto"/>
              <w:rPr>
                <w:color w:val="767171"/>
              </w:rPr>
            </w:pPr>
            <w:r w:rsidRPr="006D0445">
              <w:rPr>
                <w:color w:val="767171"/>
              </w:rPr>
              <w:t>Excepción - bienes o servicios con</w:t>
            </w:r>
          </w:p>
          <w:p w14:paraId="48EBE1A9" w14:textId="77777777" w:rsidR="00DD10B7" w:rsidRPr="006D0445" w:rsidRDefault="00DD10B7" w:rsidP="00DD10B7">
            <w:pPr>
              <w:spacing w:after="0" w:line="240" w:lineRule="auto"/>
              <w:rPr>
                <w:color w:val="767171"/>
              </w:rPr>
            </w:pPr>
            <w:r w:rsidRPr="006D0445">
              <w:rPr>
                <w:color w:val="767171"/>
              </w:rPr>
              <w:t>exclusividad</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C3CFA0C" w14:textId="084CF9CD" w:rsidR="00DD10B7" w:rsidRPr="006D0445" w:rsidRDefault="00DD10B7" w:rsidP="00DD10B7">
            <w:pPr>
              <w:spacing w:after="0" w:line="240" w:lineRule="auto"/>
              <w:jc w:val="center"/>
              <w:rPr>
                <w:color w:val="767171"/>
              </w:rPr>
            </w:pPr>
            <w:r>
              <w:rPr>
                <w:color w:val="767171"/>
              </w:rPr>
              <w:t>4</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6A51562E" w14:textId="6C0633BD" w:rsidR="00DD10B7" w:rsidRPr="006D0445" w:rsidRDefault="00DD10B7" w:rsidP="00DD10B7">
            <w:pPr>
              <w:spacing w:after="0" w:line="240" w:lineRule="auto"/>
              <w:jc w:val="right"/>
              <w:rPr>
                <w:color w:val="767171"/>
              </w:rPr>
            </w:pPr>
            <w:r>
              <w:rPr>
                <w:color w:val="767171"/>
              </w:rPr>
              <w:t>$143,025,446.23</w:t>
            </w:r>
          </w:p>
        </w:tc>
      </w:tr>
      <w:tr w:rsidR="00DD10B7" w:rsidRPr="006D0445" w14:paraId="48EF745F" w14:textId="77777777" w:rsidTr="00151441">
        <w:trPr>
          <w:trHeight w:val="295"/>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6C98F" w14:textId="77777777" w:rsidR="00DD10B7" w:rsidRPr="006D0445" w:rsidRDefault="00DD10B7" w:rsidP="00DD10B7">
            <w:pPr>
              <w:spacing w:after="0" w:line="240" w:lineRule="auto"/>
              <w:rPr>
                <w:color w:val="767171"/>
              </w:rPr>
            </w:pPr>
            <w:r w:rsidRPr="006D0445">
              <w:rPr>
                <w:color w:val="767171"/>
              </w:rPr>
              <w:t>Excepción - construcción, instalación o</w:t>
            </w:r>
          </w:p>
          <w:p w14:paraId="2C5F308B" w14:textId="77777777" w:rsidR="00DD10B7" w:rsidRPr="006D0445" w:rsidRDefault="00DD10B7" w:rsidP="00DD10B7">
            <w:pPr>
              <w:spacing w:after="0" w:line="240" w:lineRule="auto"/>
              <w:rPr>
                <w:color w:val="767171"/>
              </w:rPr>
            </w:pPr>
            <w:r w:rsidRPr="006D0445">
              <w:rPr>
                <w:color w:val="767171"/>
              </w:rPr>
              <w:t>adquisición de oficinas para el servicio</w:t>
            </w:r>
          </w:p>
          <w:p w14:paraId="5AD603CF" w14:textId="77777777" w:rsidR="00DD10B7" w:rsidRPr="006D0445" w:rsidRDefault="00DD10B7" w:rsidP="00DD10B7">
            <w:pPr>
              <w:spacing w:after="0" w:line="240" w:lineRule="auto"/>
              <w:rPr>
                <w:color w:val="767171"/>
              </w:rPr>
            </w:pPr>
            <w:r w:rsidRPr="006D0445">
              <w:rPr>
                <w:color w:val="767171"/>
              </w:rPr>
              <w:t>exterior</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F5D08B2" w14:textId="77777777" w:rsidR="00DD10B7" w:rsidRPr="006D0445" w:rsidRDefault="00DD10B7" w:rsidP="00DD10B7">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0F236F1B" w14:textId="77777777" w:rsidR="00DD10B7" w:rsidRPr="006D0445" w:rsidRDefault="00DD10B7" w:rsidP="00DD10B7">
            <w:pPr>
              <w:spacing w:after="0" w:line="240" w:lineRule="auto"/>
              <w:jc w:val="right"/>
              <w:rPr>
                <w:color w:val="767171"/>
              </w:rPr>
            </w:pPr>
          </w:p>
          <w:p w14:paraId="5D6A1B80" w14:textId="77777777" w:rsidR="00DD10B7" w:rsidRPr="006D0445" w:rsidRDefault="00DD10B7" w:rsidP="00DD10B7">
            <w:pPr>
              <w:spacing w:after="0" w:line="240" w:lineRule="auto"/>
              <w:jc w:val="right"/>
              <w:rPr>
                <w:color w:val="767171"/>
              </w:rPr>
            </w:pPr>
          </w:p>
          <w:p w14:paraId="4AADDC49" w14:textId="77777777" w:rsidR="00DD10B7" w:rsidRPr="006D0445" w:rsidRDefault="00DD10B7" w:rsidP="00DD10B7">
            <w:pPr>
              <w:spacing w:after="0" w:line="240" w:lineRule="auto"/>
              <w:jc w:val="right"/>
              <w:rPr>
                <w:color w:val="767171"/>
              </w:rPr>
            </w:pPr>
          </w:p>
          <w:p w14:paraId="0AE8ADBF" w14:textId="77777777" w:rsidR="00DD10B7" w:rsidRPr="006D0445" w:rsidRDefault="00DD10B7" w:rsidP="00DD10B7">
            <w:pPr>
              <w:spacing w:after="0" w:line="240" w:lineRule="auto"/>
              <w:jc w:val="right"/>
              <w:rPr>
                <w:color w:val="767171"/>
              </w:rPr>
            </w:pPr>
          </w:p>
          <w:p w14:paraId="1B5E27F8" w14:textId="77777777" w:rsidR="00DD10B7" w:rsidRPr="006D0445" w:rsidRDefault="00DD10B7" w:rsidP="00DD10B7">
            <w:pPr>
              <w:spacing w:after="0" w:line="240" w:lineRule="auto"/>
              <w:jc w:val="right"/>
              <w:rPr>
                <w:color w:val="767171"/>
              </w:rPr>
            </w:pPr>
          </w:p>
          <w:p w14:paraId="063015B0" w14:textId="77777777" w:rsidR="00DD10B7" w:rsidRPr="006D0445" w:rsidRDefault="00DD10B7" w:rsidP="00DD10B7">
            <w:pPr>
              <w:spacing w:after="0" w:line="240" w:lineRule="auto"/>
              <w:jc w:val="right"/>
              <w:rPr>
                <w:color w:val="767171"/>
              </w:rPr>
            </w:pPr>
          </w:p>
          <w:p w14:paraId="7DBCA413" w14:textId="77777777" w:rsidR="00DD10B7" w:rsidRPr="006D0445" w:rsidRDefault="00DD10B7" w:rsidP="00DD10B7">
            <w:pPr>
              <w:spacing w:after="0" w:line="240" w:lineRule="auto"/>
              <w:jc w:val="right"/>
              <w:rPr>
                <w:color w:val="767171"/>
              </w:rPr>
            </w:pPr>
          </w:p>
        </w:tc>
      </w:tr>
      <w:tr w:rsidR="00DD10B7" w:rsidRPr="006D0445" w14:paraId="293D24ED" w14:textId="77777777" w:rsidTr="00151441">
        <w:trPr>
          <w:trHeight w:val="693"/>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49F0" w14:textId="77777777" w:rsidR="00DD10B7" w:rsidRPr="006D0445" w:rsidRDefault="00DD10B7" w:rsidP="00DD10B7">
            <w:pPr>
              <w:spacing w:after="0" w:line="240" w:lineRule="auto"/>
              <w:rPr>
                <w:color w:val="767171"/>
              </w:rPr>
            </w:pPr>
            <w:r w:rsidRPr="006D0445">
              <w:rPr>
                <w:color w:val="767171"/>
              </w:rPr>
              <w:t>Excepción - contratación de publicidad a</w:t>
            </w:r>
          </w:p>
          <w:p w14:paraId="14314578" w14:textId="77777777" w:rsidR="00DD10B7" w:rsidRPr="006D0445" w:rsidRDefault="00DD10B7" w:rsidP="00DD10B7">
            <w:pPr>
              <w:spacing w:after="0" w:line="240" w:lineRule="auto"/>
              <w:rPr>
                <w:color w:val="767171"/>
              </w:rPr>
            </w:pPr>
            <w:r w:rsidRPr="006D0445">
              <w:rPr>
                <w:color w:val="767171"/>
              </w:rPr>
              <w:t>través de medios de comunicación social</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4142D8CC" w14:textId="19B772B2" w:rsidR="00DD10B7" w:rsidRPr="006D0445" w:rsidRDefault="00DD10B7" w:rsidP="00DD10B7">
            <w:pPr>
              <w:spacing w:after="0" w:line="240" w:lineRule="auto"/>
              <w:jc w:val="center"/>
              <w:rPr>
                <w:color w:val="767171"/>
              </w:rPr>
            </w:pPr>
            <w:r>
              <w:rPr>
                <w:color w:val="767171"/>
              </w:rPr>
              <w:t>9</w:t>
            </w:r>
            <w:r w:rsidRPr="006D0445">
              <w:rPr>
                <w:color w:val="767171"/>
              </w:rPr>
              <w:t>1</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3C83D989" w14:textId="5DFE450B" w:rsidR="00DD10B7" w:rsidRPr="006D0445" w:rsidRDefault="00DD10B7" w:rsidP="00DD10B7">
            <w:pPr>
              <w:spacing w:after="0" w:line="240" w:lineRule="auto"/>
              <w:jc w:val="right"/>
              <w:rPr>
                <w:color w:val="767171"/>
              </w:rPr>
            </w:pPr>
            <w:r>
              <w:rPr>
                <w:color w:val="767171"/>
              </w:rPr>
              <w:t>$</w:t>
            </w:r>
            <w:r w:rsidRPr="00BF17DA">
              <w:rPr>
                <w:color w:val="767171"/>
              </w:rPr>
              <w:t>31</w:t>
            </w:r>
            <w:r>
              <w:rPr>
                <w:color w:val="767171"/>
              </w:rPr>
              <w:t>,</w:t>
            </w:r>
            <w:r w:rsidRPr="00BF17DA">
              <w:rPr>
                <w:color w:val="767171"/>
              </w:rPr>
              <w:t>815</w:t>
            </w:r>
            <w:r>
              <w:rPr>
                <w:color w:val="767171"/>
              </w:rPr>
              <w:t>,</w:t>
            </w:r>
            <w:r w:rsidRPr="00BF17DA">
              <w:rPr>
                <w:color w:val="767171"/>
              </w:rPr>
              <w:t>336.81</w:t>
            </w:r>
          </w:p>
        </w:tc>
      </w:tr>
      <w:tr w:rsidR="00DD10B7" w:rsidRPr="006D0445" w14:paraId="2716F908" w14:textId="77777777" w:rsidTr="00151441">
        <w:trPr>
          <w:trHeight w:val="295"/>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E6EDE" w14:textId="77777777" w:rsidR="00DD10B7" w:rsidRPr="006D0445" w:rsidRDefault="00DD10B7" w:rsidP="00DD10B7">
            <w:pPr>
              <w:spacing w:after="0" w:line="240" w:lineRule="auto"/>
              <w:rPr>
                <w:color w:val="767171"/>
              </w:rPr>
            </w:pPr>
            <w:r w:rsidRPr="006D0445">
              <w:rPr>
                <w:color w:val="767171"/>
              </w:rPr>
              <w:t>Excepción - obras científicas, técnicas,</w:t>
            </w:r>
          </w:p>
          <w:p w14:paraId="09AFFB2A" w14:textId="77777777" w:rsidR="00DD10B7" w:rsidRPr="006D0445" w:rsidRDefault="00DD10B7" w:rsidP="00DD10B7">
            <w:pPr>
              <w:spacing w:after="0" w:line="240" w:lineRule="auto"/>
              <w:rPr>
                <w:color w:val="767171"/>
              </w:rPr>
            </w:pPr>
            <w:r w:rsidRPr="006D0445">
              <w:rPr>
                <w:color w:val="767171"/>
              </w:rPr>
              <w:t>artísticas, o restauración de monumentos</w:t>
            </w:r>
          </w:p>
          <w:p w14:paraId="3F433CCB" w14:textId="77777777" w:rsidR="00DD10B7" w:rsidRPr="006D0445" w:rsidRDefault="00DD10B7" w:rsidP="00DD10B7">
            <w:pPr>
              <w:spacing w:after="0" w:line="240" w:lineRule="auto"/>
              <w:rPr>
                <w:color w:val="767171"/>
              </w:rPr>
            </w:pPr>
            <w:r w:rsidRPr="006D0445">
              <w:rPr>
                <w:color w:val="767171"/>
              </w:rPr>
              <w:t>históricos</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1801CFA" w14:textId="037E62F4" w:rsidR="00DD10B7" w:rsidRPr="006D0445" w:rsidRDefault="00DD10B7" w:rsidP="00DD10B7">
            <w:pPr>
              <w:spacing w:after="0" w:line="240" w:lineRule="auto"/>
              <w:jc w:val="center"/>
              <w:rPr>
                <w:color w:val="767171"/>
              </w:rPr>
            </w:pPr>
            <w:r>
              <w:rPr>
                <w:color w:val="767171"/>
              </w:rPr>
              <w:t>5</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7AE46581" w14:textId="0F244844" w:rsidR="00DD10B7" w:rsidRPr="006D0445" w:rsidRDefault="00DD10B7" w:rsidP="00DD10B7">
            <w:pPr>
              <w:spacing w:after="0" w:line="240" w:lineRule="auto"/>
              <w:jc w:val="right"/>
              <w:rPr>
                <w:color w:val="767171"/>
              </w:rPr>
            </w:pPr>
            <w:r w:rsidRPr="006D0445">
              <w:rPr>
                <w:color w:val="767171"/>
              </w:rPr>
              <w:t>$</w:t>
            </w:r>
            <w:r w:rsidRPr="00BF17DA">
              <w:rPr>
                <w:color w:val="767171"/>
              </w:rPr>
              <w:t>10</w:t>
            </w:r>
            <w:r>
              <w:rPr>
                <w:color w:val="767171"/>
              </w:rPr>
              <w:t>,</w:t>
            </w:r>
            <w:r w:rsidRPr="00BF17DA">
              <w:rPr>
                <w:color w:val="767171"/>
              </w:rPr>
              <w:t>837</w:t>
            </w:r>
            <w:r>
              <w:rPr>
                <w:color w:val="767171"/>
              </w:rPr>
              <w:t>,</w:t>
            </w:r>
            <w:r w:rsidRPr="00BF17DA">
              <w:rPr>
                <w:color w:val="767171"/>
              </w:rPr>
              <w:t>068.2</w:t>
            </w:r>
          </w:p>
        </w:tc>
      </w:tr>
      <w:tr w:rsidR="00DD10B7" w:rsidRPr="006D0445" w14:paraId="322B07A6" w14:textId="77777777" w:rsidTr="00151441">
        <w:trPr>
          <w:trHeight w:val="431"/>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C626D" w14:textId="77777777" w:rsidR="00DD10B7" w:rsidRPr="006D0445" w:rsidRDefault="00DD10B7" w:rsidP="00DD10B7">
            <w:pPr>
              <w:spacing w:after="0" w:line="240" w:lineRule="auto"/>
              <w:rPr>
                <w:color w:val="767171"/>
              </w:rPr>
            </w:pPr>
            <w:r w:rsidRPr="006D0445">
              <w:rPr>
                <w:color w:val="767171"/>
              </w:rPr>
              <w:t>Excepción - proveedor único</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E38C41D" w14:textId="4F1C4523" w:rsidR="00DD10B7" w:rsidRPr="006D0445" w:rsidRDefault="00DD10B7" w:rsidP="00DD10B7">
            <w:pPr>
              <w:spacing w:after="0" w:line="240" w:lineRule="auto"/>
              <w:jc w:val="center"/>
              <w:rPr>
                <w:color w:val="767171"/>
              </w:rPr>
            </w:pPr>
            <w:r>
              <w:rPr>
                <w:color w:val="767171"/>
              </w:rPr>
              <w:t>10</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12C8888B" w14:textId="1DEDE4BB" w:rsidR="00DD10B7" w:rsidRPr="006D0445" w:rsidRDefault="00DD10B7" w:rsidP="00DD10B7">
            <w:pPr>
              <w:spacing w:after="0" w:line="240" w:lineRule="auto"/>
              <w:jc w:val="right"/>
              <w:rPr>
                <w:color w:val="767171"/>
              </w:rPr>
            </w:pPr>
            <w:r w:rsidRPr="006D0445">
              <w:rPr>
                <w:color w:val="767171"/>
              </w:rPr>
              <w:t>$</w:t>
            </w:r>
            <w:r w:rsidRPr="00BF17DA">
              <w:rPr>
                <w:color w:val="767171"/>
              </w:rPr>
              <w:t>79</w:t>
            </w:r>
            <w:r>
              <w:rPr>
                <w:color w:val="767171"/>
              </w:rPr>
              <w:t>,</w:t>
            </w:r>
            <w:r w:rsidRPr="00BF17DA">
              <w:rPr>
                <w:color w:val="767171"/>
              </w:rPr>
              <w:t>739</w:t>
            </w:r>
            <w:r>
              <w:rPr>
                <w:color w:val="767171"/>
              </w:rPr>
              <w:t>,</w:t>
            </w:r>
            <w:r w:rsidRPr="00BF17DA">
              <w:rPr>
                <w:color w:val="767171"/>
              </w:rPr>
              <w:t>962</w:t>
            </w:r>
            <w:r>
              <w:rPr>
                <w:color w:val="767171"/>
              </w:rPr>
              <w:t>.00</w:t>
            </w:r>
          </w:p>
        </w:tc>
      </w:tr>
      <w:tr w:rsidR="00DD10B7" w:rsidRPr="006D0445" w14:paraId="7AF8F85E" w14:textId="77777777" w:rsidTr="00151441">
        <w:trPr>
          <w:trHeight w:val="988"/>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14C43" w14:textId="77777777" w:rsidR="00DD10B7" w:rsidRPr="006D0445" w:rsidRDefault="00DD10B7" w:rsidP="00DD10B7">
            <w:pPr>
              <w:spacing w:after="0" w:line="240" w:lineRule="auto"/>
              <w:rPr>
                <w:color w:val="767171"/>
              </w:rPr>
            </w:pPr>
            <w:r w:rsidRPr="006D0445">
              <w:rPr>
                <w:color w:val="767171"/>
              </w:rPr>
              <w:t>Excepción - rescisión de contratos cuya</w:t>
            </w:r>
          </w:p>
          <w:p w14:paraId="736781D3" w14:textId="77777777" w:rsidR="00DD10B7" w:rsidRPr="006D0445" w:rsidRDefault="00DD10B7" w:rsidP="00DD10B7">
            <w:pPr>
              <w:spacing w:after="0" w:line="240" w:lineRule="auto"/>
              <w:rPr>
                <w:color w:val="767171"/>
              </w:rPr>
            </w:pPr>
            <w:r w:rsidRPr="006D0445">
              <w:rPr>
                <w:color w:val="767171"/>
              </w:rPr>
              <w:t>terminación no exceda el 40 % del monto</w:t>
            </w:r>
          </w:p>
          <w:p w14:paraId="64EC7389" w14:textId="77777777" w:rsidR="00DD10B7" w:rsidRPr="006D0445" w:rsidRDefault="00DD10B7" w:rsidP="00DD10B7">
            <w:pPr>
              <w:spacing w:after="0" w:line="240" w:lineRule="auto"/>
              <w:rPr>
                <w:color w:val="767171"/>
              </w:rPr>
            </w:pPr>
            <w:proofErr w:type="gramStart"/>
            <w:r w:rsidRPr="006D0445">
              <w:rPr>
                <w:color w:val="767171"/>
              </w:rPr>
              <w:t>total</w:t>
            </w:r>
            <w:proofErr w:type="gramEnd"/>
            <w:r w:rsidRPr="006D0445">
              <w:rPr>
                <w:color w:val="767171"/>
              </w:rPr>
              <w:t xml:space="preserve"> del proyecto, obra o servicio</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E194096" w14:textId="77777777" w:rsidR="00DD10B7" w:rsidRPr="006D0445" w:rsidRDefault="00DD10B7" w:rsidP="00DD10B7">
            <w:pPr>
              <w:spacing w:after="0" w:line="240" w:lineRule="auto"/>
              <w:jc w:val="center"/>
              <w:rPr>
                <w:color w:val="767171"/>
              </w:rPr>
            </w:pPr>
            <w:r w:rsidRPr="006D0445">
              <w:rPr>
                <w:color w:val="767171"/>
              </w:rPr>
              <w:t>N/A</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09CF90F7" w14:textId="77777777" w:rsidR="00DD10B7" w:rsidRPr="006D0445" w:rsidRDefault="00DD10B7" w:rsidP="00DD10B7">
            <w:pPr>
              <w:spacing w:after="0" w:line="240" w:lineRule="auto"/>
              <w:jc w:val="right"/>
              <w:rPr>
                <w:color w:val="767171"/>
              </w:rPr>
            </w:pPr>
          </w:p>
        </w:tc>
      </w:tr>
      <w:tr w:rsidR="00DD10B7" w:rsidRPr="006D0445" w14:paraId="1042F0E9" w14:textId="77777777" w:rsidTr="00151441">
        <w:trPr>
          <w:trHeight w:val="433"/>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D2788" w14:textId="77777777" w:rsidR="00DD10B7" w:rsidRPr="006D0445" w:rsidRDefault="00DD10B7" w:rsidP="00DD10B7">
            <w:pPr>
              <w:spacing w:after="0" w:line="240" w:lineRule="auto"/>
              <w:rPr>
                <w:color w:val="767171"/>
              </w:rPr>
            </w:pPr>
            <w:r w:rsidRPr="006D0445">
              <w:rPr>
                <w:color w:val="767171"/>
              </w:rPr>
              <w:t>Todas las modalidades</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5CC27022" w14:textId="5E2C3B50" w:rsidR="00DD10B7" w:rsidRPr="006D0445" w:rsidRDefault="00DD10B7" w:rsidP="00DD10B7">
            <w:pPr>
              <w:spacing w:after="0" w:line="240" w:lineRule="auto"/>
              <w:jc w:val="center"/>
              <w:rPr>
                <w:color w:val="767171"/>
              </w:rPr>
            </w:pPr>
            <w:r>
              <w:rPr>
                <w:color w:val="767171"/>
              </w:rPr>
              <w:t>296</w:t>
            </w:r>
          </w:p>
        </w:tc>
        <w:tc>
          <w:tcPr>
            <w:tcW w:w="2746" w:type="dxa"/>
            <w:tcBorders>
              <w:top w:val="single" w:sz="4" w:space="0" w:color="auto"/>
              <w:left w:val="nil"/>
              <w:bottom w:val="single" w:sz="4" w:space="0" w:color="auto"/>
              <w:right w:val="single" w:sz="4" w:space="0" w:color="auto"/>
            </w:tcBorders>
            <w:shd w:val="clear" w:color="auto" w:fill="auto"/>
            <w:noWrap/>
            <w:vAlign w:val="center"/>
          </w:tcPr>
          <w:p w14:paraId="2A54BF7D" w14:textId="04E5F79A" w:rsidR="00DD10B7" w:rsidRPr="006D0445" w:rsidRDefault="00DD10B7" w:rsidP="00DD10B7">
            <w:pPr>
              <w:spacing w:after="0" w:line="240" w:lineRule="auto"/>
              <w:jc w:val="right"/>
              <w:rPr>
                <w:color w:val="767171"/>
              </w:rPr>
            </w:pPr>
            <w:r w:rsidRPr="006D0445">
              <w:rPr>
                <w:color w:val="767171"/>
              </w:rPr>
              <w:t>$</w:t>
            </w:r>
            <w:r>
              <w:rPr>
                <w:color w:val="767171"/>
              </w:rPr>
              <w:t>445,045,172.25</w:t>
            </w:r>
          </w:p>
        </w:tc>
      </w:tr>
    </w:tbl>
    <w:p w14:paraId="3E554CF1" w14:textId="6205814F" w:rsidR="0004540B" w:rsidRPr="006D0445" w:rsidRDefault="0004540B" w:rsidP="00967D16">
      <w:pPr>
        <w:spacing w:after="0"/>
        <w:rPr>
          <w:b/>
          <w:bCs/>
          <w:color w:val="767171"/>
        </w:rPr>
      </w:pPr>
    </w:p>
    <w:p w14:paraId="7EFD2D0D" w14:textId="79AF0E21" w:rsidR="00E87E51" w:rsidRPr="006D0445" w:rsidRDefault="00E87E51" w:rsidP="00967D16">
      <w:pPr>
        <w:spacing w:after="0"/>
        <w:rPr>
          <w:b/>
          <w:bCs/>
          <w:color w:val="767171"/>
        </w:rPr>
      </w:pPr>
    </w:p>
    <w:p w14:paraId="58E7BC4A" w14:textId="47200E60" w:rsidR="00E87E51" w:rsidRPr="006D0445" w:rsidRDefault="00E87E51" w:rsidP="00967D16">
      <w:pPr>
        <w:spacing w:after="0"/>
        <w:rPr>
          <w:b/>
          <w:bCs/>
          <w:color w:val="767171"/>
        </w:rPr>
      </w:pPr>
    </w:p>
    <w:p w14:paraId="3B9FBF66" w14:textId="6FABD883" w:rsidR="00E87E51" w:rsidRPr="006D0445" w:rsidRDefault="00E87E51" w:rsidP="00967D16">
      <w:pPr>
        <w:spacing w:after="0"/>
        <w:rPr>
          <w:b/>
          <w:bCs/>
          <w:color w:val="767171"/>
        </w:rPr>
      </w:pPr>
    </w:p>
    <w:p w14:paraId="4B92EAAF" w14:textId="058DDB78" w:rsidR="00E87E51" w:rsidRPr="006D0445" w:rsidRDefault="00E87E51" w:rsidP="00967D16">
      <w:pPr>
        <w:spacing w:after="0"/>
        <w:rPr>
          <w:b/>
          <w:bCs/>
          <w:color w:val="767171"/>
        </w:rPr>
      </w:pPr>
    </w:p>
    <w:p w14:paraId="0DA59027" w14:textId="215ACD41" w:rsidR="00E87E51" w:rsidRPr="006D0445" w:rsidRDefault="00E87E51" w:rsidP="00967D16">
      <w:pPr>
        <w:spacing w:after="0"/>
        <w:rPr>
          <w:b/>
          <w:bCs/>
          <w:color w:val="767171"/>
        </w:rPr>
      </w:pPr>
    </w:p>
    <w:p w14:paraId="4247288A" w14:textId="36648FCD" w:rsidR="00E87E51" w:rsidRPr="006D0445" w:rsidRDefault="00E87E51" w:rsidP="00967D16">
      <w:pPr>
        <w:spacing w:after="0"/>
        <w:rPr>
          <w:b/>
          <w:bCs/>
          <w:color w:val="767171"/>
        </w:rPr>
      </w:pPr>
    </w:p>
    <w:p w14:paraId="4E2890B3" w14:textId="53074387" w:rsidR="00E87E51" w:rsidRPr="006D0445" w:rsidRDefault="00E87E51" w:rsidP="00967D16">
      <w:pPr>
        <w:spacing w:after="0"/>
        <w:rPr>
          <w:b/>
          <w:bCs/>
          <w:color w:val="767171"/>
        </w:rPr>
      </w:pPr>
    </w:p>
    <w:p w14:paraId="47BB43C8" w14:textId="48A047BC" w:rsidR="00E87E51" w:rsidRPr="006D0445" w:rsidRDefault="00E87E51" w:rsidP="00967D16">
      <w:pPr>
        <w:spacing w:after="0"/>
        <w:rPr>
          <w:b/>
          <w:bCs/>
          <w:color w:val="767171"/>
        </w:rPr>
      </w:pPr>
    </w:p>
    <w:p w14:paraId="06F37511" w14:textId="5177E405" w:rsidR="007419DA" w:rsidRPr="006D0445" w:rsidRDefault="007419DA" w:rsidP="00967D16">
      <w:pPr>
        <w:spacing w:after="0"/>
        <w:rPr>
          <w:b/>
          <w:bCs/>
          <w:color w:val="767171"/>
        </w:rPr>
        <w:sectPr w:rsidR="007419DA" w:rsidRPr="006D0445" w:rsidSect="003D6947">
          <w:headerReference w:type="default" r:id="rId28"/>
          <w:footerReference w:type="default" r:id="rId29"/>
          <w:pgSz w:w="12240" w:h="15840"/>
          <w:pgMar w:top="1440" w:right="2160" w:bottom="1843" w:left="2160" w:header="720" w:footer="720" w:gutter="0"/>
          <w:cols w:space="720"/>
          <w:docGrid w:linePitch="360"/>
        </w:sectPr>
      </w:pPr>
    </w:p>
    <w:p w14:paraId="3442321A" w14:textId="5B2FBD24" w:rsidR="006C3AB9" w:rsidRPr="006D0445" w:rsidRDefault="006C3AB9" w:rsidP="005E72C4">
      <w:pPr>
        <w:rPr>
          <w:noProof/>
          <w:color w:val="767171"/>
        </w:rPr>
      </w:pPr>
    </w:p>
    <w:sectPr w:rsidR="006C3AB9" w:rsidRPr="006D0445" w:rsidSect="00122ED9">
      <w:footerReference w:type="default" r:id="rId30"/>
      <w:pgSz w:w="12240" w:h="15840"/>
      <w:pgMar w:top="1440" w:right="2160" w:bottom="184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AC2B" w14:textId="77777777" w:rsidR="001E5208" w:rsidRDefault="001E5208" w:rsidP="005E6948">
      <w:r>
        <w:separator/>
      </w:r>
    </w:p>
  </w:endnote>
  <w:endnote w:type="continuationSeparator" w:id="0">
    <w:p w14:paraId="5B3F1E5D" w14:textId="77777777" w:rsidR="001E5208" w:rsidRDefault="001E5208" w:rsidP="005E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otham Thin">
    <w:altName w:val="Calibri"/>
    <w:panose1 w:val="00000000000000000000"/>
    <w:charset w:val="00"/>
    <w:family w:val="modern"/>
    <w:notTrueType/>
    <w:pitch w:val="variable"/>
    <w:sig w:usb0="A00000AF" w:usb1="5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rPr>
        <w:noProof/>
      </w:rPr>
    </w:sdtEndPr>
    <w:sdtContent>
      <w:p w14:paraId="1A9E6193" w14:textId="53F74689" w:rsidR="00791379" w:rsidRDefault="00791379" w:rsidP="005E6948">
        <w:pPr>
          <w:pStyle w:val="Piedepgina"/>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791379" w:rsidRDefault="00791379" w:rsidP="005E69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EndPr>
      <w:rPr>
        <w:noProof/>
      </w:rPr>
    </w:sdtEndPr>
    <w:sdtContent>
      <w:p w14:paraId="76783BEA" w14:textId="3B2E45C0" w:rsidR="00791379" w:rsidRDefault="00791379" w:rsidP="005E6948">
        <w:pPr>
          <w:pStyle w:val="Piedepgina"/>
        </w:pPr>
        <w:r>
          <w:rPr>
            <w:noProof/>
          </w:rPr>
          <w:drawing>
            <wp:anchor distT="0" distB="0" distL="114300" distR="114300" simplePos="0" relativeHeight="251633664" behindDoc="0" locked="0" layoutInCell="1" allowOverlap="1" wp14:anchorId="54F82055" wp14:editId="6F6E8088">
              <wp:simplePos x="0" y="0"/>
              <wp:positionH relativeFrom="margin">
                <wp:align>center</wp:align>
              </wp:positionH>
              <wp:positionV relativeFrom="paragraph">
                <wp:posOffset>709</wp:posOffset>
              </wp:positionV>
              <wp:extent cx="2495550" cy="339725"/>
              <wp:effectExtent l="0" t="0" r="0" b="3175"/>
              <wp:wrapSquare wrapText="bothSides"/>
              <wp:docPr id="1356077235" name="Imagen 135607723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C570F" w14:textId="3C5D1A63" w:rsidR="00791379" w:rsidRDefault="00791379" w:rsidP="005E6948">
        <w:pPr>
          <w:pStyle w:val="Piedepgina"/>
        </w:pPr>
      </w:p>
      <w:p w14:paraId="2B095E5E" w14:textId="53193BFC" w:rsidR="00791379" w:rsidRDefault="00791379" w:rsidP="00E06CEB">
        <w:pPr>
          <w:pStyle w:val="Piedepgina"/>
          <w:jc w:val="center"/>
        </w:pPr>
        <w:r w:rsidRPr="00F74112">
          <w:fldChar w:fldCharType="begin"/>
        </w:r>
        <w:r w:rsidRPr="00F74112">
          <w:instrText xml:space="preserve"> PAGE   \* MERGEFORMAT </w:instrText>
        </w:r>
        <w:r w:rsidRPr="00F74112">
          <w:fldChar w:fldCharType="separate"/>
        </w:r>
        <w:r>
          <w:rPr>
            <w:noProof/>
          </w:rPr>
          <w:t>8</w:t>
        </w:r>
        <w:r w:rsidRPr="00F7411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51566"/>
      <w:docPartObj>
        <w:docPartGallery w:val="Page Numbers (Bottom of Page)"/>
        <w:docPartUnique/>
      </w:docPartObj>
    </w:sdtPr>
    <w:sdtEndPr>
      <w:rPr>
        <w:noProof/>
      </w:rPr>
    </w:sdtEndPr>
    <w:sdtContent>
      <w:p w14:paraId="49D2682C" w14:textId="77777777" w:rsidR="004E6B8C" w:rsidRDefault="004E6B8C" w:rsidP="005E6948">
        <w:pPr>
          <w:pStyle w:val="Piedepgina"/>
        </w:pPr>
        <w:r>
          <w:rPr>
            <w:noProof/>
          </w:rPr>
          <w:drawing>
            <wp:anchor distT="0" distB="0" distL="114300" distR="114300" simplePos="0" relativeHeight="251659264" behindDoc="1" locked="0" layoutInCell="1" allowOverlap="1" wp14:anchorId="03552B76" wp14:editId="0EAA4CCF">
              <wp:simplePos x="0" y="0"/>
              <wp:positionH relativeFrom="column">
                <wp:posOffset>2743200</wp:posOffset>
              </wp:positionH>
              <wp:positionV relativeFrom="paragraph">
                <wp:posOffset>16674</wp:posOffset>
              </wp:positionV>
              <wp:extent cx="2494800" cy="340008"/>
              <wp:effectExtent l="0" t="0" r="1270" b="3175"/>
              <wp:wrapNone/>
              <wp:docPr id="716824650" name="Imagen 71682465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40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32CDD" w14:textId="77777777" w:rsidR="004E6B8C" w:rsidRDefault="004E6B8C" w:rsidP="005E6948">
        <w:pPr>
          <w:pStyle w:val="Piedepgina"/>
        </w:pPr>
      </w:p>
      <w:p w14:paraId="370CDBB3" w14:textId="73D4F02A" w:rsidR="004E6B8C" w:rsidRDefault="004E6B8C" w:rsidP="00E06CEB">
        <w:pPr>
          <w:pStyle w:val="Piedepgina"/>
          <w:jc w:val="center"/>
        </w:pPr>
        <w:r w:rsidRPr="00F74112">
          <w:fldChar w:fldCharType="begin"/>
        </w:r>
        <w:r w:rsidRPr="00F74112">
          <w:instrText xml:space="preserve"> PAGE   \* MERGEFORMAT </w:instrText>
        </w:r>
        <w:r w:rsidRPr="00F74112">
          <w:fldChar w:fldCharType="separate"/>
        </w:r>
        <w:r>
          <w:rPr>
            <w:noProof/>
          </w:rPr>
          <w:t>8</w:t>
        </w:r>
        <w:r w:rsidRPr="00F74112">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516"/>
      <w:docPartObj>
        <w:docPartGallery w:val="Page Numbers (Bottom of Page)"/>
        <w:docPartUnique/>
      </w:docPartObj>
    </w:sdtPr>
    <w:sdtEndPr>
      <w:rPr>
        <w:noProof/>
      </w:rPr>
    </w:sdtEndPr>
    <w:sdtContent>
      <w:p w14:paraId="37D6A89F" w14:textId="2F803130" w:rsidR="00755C71" w:rsidRDefault="004E6B8C" w:rsidP="005E6948">
        <w:pPr>
          <w:pStyle w:val="Piedepgina"/>
        </w:pPr>
        <w:r>
          <w:rPr>
            <w:noProof/>
          </w:rPr>
          <w:drawing>
            <wp:anchor distT="0" distB="0" distL="114300" distR="114300" simplePos="0" relativeHeight="251661312" behindDoc="0" locked="0" layoutInCell="1" allowOverlap="1" wp14:anchorId="39A01AF7" wp14:editId="0AB32C5E">
              <wp:simplePos x="0" y="0"/>
              <wp:positionH relativeFrom="margin">
                <wp:posOffset>1285875</wp:posOffset>
              </wp:positionH>
              <wp:positionV relativeFrom="margin">
                <wp:posOffset>10910570</wp:posOffset>
              </wp:positionV>
              <wp:extent cx="2494280" cy="339725"/>
              <wp:effectExtent l="0" t="0" r="1270" b="3175"/>
              <wp:wrapSquare wrapText="bothSides"/>
              <wp:docPr id="2070521321" name="Imagen 207052132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23F38" w14:textId="04F8035A" w:rsidR="004E6B8C" w:rsidRDefault="00755C71" w:rsidP="002639F7">
        <w:pPr>
          <w:pStyle w:val="Piedepgina"/>
          <w:jc w:val="center"/>
        </w:pPr>
        <w:r>
          <w:rPr>
            <w:noProof/>
          </w:rPr>
          <w:drawing>
            <wp:anchor distT="0" distB="0" distL="114300" distR="114300" simplePos="0" relativeHeight="251679744" behindDoc="0" locked="0" layoutInCell="1" allowOverlap="1" wp14:anchorId="29D5E9FF" wp14:editId="2EEA73F5">
              <wp:simplePos x="0" y="0"/>
              <wp:positionH relativeFrom="margin">
                <wp:posOffset>-885825</wp:posOffset>
              </wp:positionH>
              <wp:positionV relativeFrom="paragraph">
                <wp:posOffset>5335270</wp:posOffset>
              </wp:positionV>
              <wp:extent cx="2483003" cy="338400"/>
              <wp:effectExtent l="0" t="0" r="0" b="5080"/>
              <wp:wrapSquare wrapText="bothSides"/>
              <wp:docPr id="1779479300" name="Imagen 177947930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DCDE25E" wp14:editId="4BA7B022">
              <wp:simplePos x="0" y="0"/>
              <wp:positionH relativeFrom="margin">
                <wp:posOffset>1273175</wp:posOffset>
              </wp:positionH>
              <wp:positionV relativeFrom="paragraph">
                <wp:posOffset>4761230</wp:posOffset>
              </wp:positionV>
              <wp:extent cx="2483003" cy="338400"/>
              <wp:effectExtent l="0" t="0" r="0" b="5080"/>
              <wp:wrapSquare wrapText="bothSides"/>
              <wp:docPr id="223394902" name="Imagen 22339490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B8C" w:rsidRPr="00F74112">
          <w:fldChar w:fldCharType="begin"/>
        </w:r>
        <w:r w:rsidR="004E6B8C" w:rsidRPr="00F74112">
          <w:instrText xml:space="preserve"> PAGE   \* MERGEFORMAT </w:instrText>
        </w:r>
        <w:r w:rsidR="004E6B8C" w:rsidRPr="00F74112">
          <w:fldChar w:fldCharType="separate"/>
        </w:r>
        <w:r w:rsidR="004E6B8C">
          <w:rPr>
            <w:noProof/>
          </w:rPr>
          <w:t>8</w:t>
        </w:r>
        <w:r w:rsidR="004E6B8C" w:rsidRPr="00F74112">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58536"/>
      <w:docPartObj>
        <w:docPartGallery w:val="Page Numbers (Bottom of Page)"/>
        <w:docPartUnique/>
      </w:docPartObj>
    </w:sdtPr>
    <w:sdtEndPr>
      <w:rPr>
        <w:noProof/>
      </w:rPr>
    </w:sdtEndPr>
    <w:sdtContent>
      <w:p w14:paraId="24BC1A58" w14:textId="42A0DC4E" w:rsidR="00755C71" w:rsidRDefault="00755C71" w:rsidP="002639F7">
        <w:pPr>
          <w:pStyle w:val="Piedepgina"/>
          <w:jc w:val="center"/>
        </w:pPr>
        <w:r>
          <w:rPr>
            <w:noProof/>
          </w:rPr>
          <w:drawing>
            <wp:anchor distT="0" distB="0" distL="114300" distR="114300" simplePos="0" relativeHeight="251685888" behindDoc="0" locked="0" layoutInCell="1" allowOverlap="1" wp14:anchorId="0DF13A55" wp14:editId="0C38E132">
              <wp:simplePos x="0" y="0"/>
              <wp:positionH relativeFrom="margin">
                <wp:align>center</wp:align>
              </wp:positionH>
              <wp:positionV relativeFrom="paragraph">
                <wp:posOffset>-365953</wp:posOffset>
              </wp:positionV>
              <wp:extent cx="2483003" cy="338400"/>
              <wp:effectExtent l="0" t="0" r="0" b="5080"/>
              <wp:wrapSquare wrapText="bothSides"/>
              <wp:docPr id="87571739" name="Imagen 8757173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5F4B5AD6" wp14:editId="68E8BEC6">
              <wp:simplePos x="0" y="0"/>
              <wp:positionH relativeFrom="margin">
                <wp:align>center</wp:align>
              </wp:positionH>
              <wp:positionV relativeFrom="margin">
                <wp:posOffset>10910652</wp:posOffset>
              </wp:positionV>
              <wp:extent cx="2494800" cy="339935"/>
              <wp:effectExtent l="0" t="0" r="1270" b="3175"/>
              <wp:wrapSquare wrapText="bothSides"/>
              <wp:docPr id="2093809277" name="Imagen 209380927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3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43EB9582" wp14:editId="3FD3856D">
              <wp:simplePos x="0" y="0"/>
              <wp:positionH relativeFrom="margin">
                <wp:posOffset>-885825</wp:posOffset>
              </wp:positionH>
              <wp:positionV relativeFrom="paragraph">
                <wp:posOffset>5335270</wp:posOffset>
              </wp:positionV>
              <wp:extent cx="2483003" cy="338400"/>
              <wp:effectExtent l="0" t="0" r="0" b="5080"/>
              <wp:wrapSquare wrapText="bothSides"/>
              <wp:docPr id="472254986" name="Imagen 47225498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30B28156" wp14:editId="4B1898CF">
              <wp:simplePos x="0" y="0"/>
              <wp:positionH relativeFrom="margin">
                <wp:posOffset>1273175</wp:posOffset>
              </wp:positionH>
              <wp:positionV relativeFrom="paragraph">
                <wp:posOffset>4761230</wp:posOffset>
              </wp:positionV>
              <wp:extent cx="2483003" cy="338400"/>
              <wp:effectExtent l="0" t="0" r="0" b="5080"/>
              <wp:wrapSquare wrapText="bothSides"/>
              <wp:docPr id="715065466" name="Imagen 71506546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4112">
          <w:fldChar w:fldCharType="begin"/>
        </w:r>
        <w:r w:rsidRPr="00F74112">
          <w:instrText xml:space="preserve"> PAGE   \* MERGEFORMAT </w:instrText>
        </w:r>
        <w:r w:rsidRPr="00F74112">
          <w:fldChar w:fldCharType="separate"/>
        </w:r>
        <w:r>
          <w:rPr>
            <w:noProof/>
          </w:rPr>
          <w:t>8</w:t>
        </w:r>
        <w:r w:rsidRPr="00F74112">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61412"/>
      <w:docPartObj>
        <w:docPartGallery w:val="Page Numbers (Bottom of Page)"/>
        <w:docPartUnique/>
      </w:docPartObj>
    </w:sdtPr>
    <w:sdtEndPr>
      <w:rPr>
        <w:noProof/>
      </w:rPr>
    </w:sdtEndPr>
    <w:sdtContent>
      <w:p w14:paraId="315ABC1C" w14:textId="5D69216E" w:rsidR="003D6947" w:rsidRDefault="003D6947" w:rsidP="005E6948">
        <w:pPr>
          <w:pStyle w:val="Piedepgina"/>
        </w:pPr>
        <w:r>
          <w:rPr>
            <w:noProof/>
          </w:rPr>
          <w:drawing>
            <wp:anchor distT="0" distB="0" distL="114300" distR="114300" simplePos="0" relativeHeight="251675648" behindDoc="0" locked="0" layoutInCell="1" allowOverlap="1" wp14:anchorId="68D6F5F2" wp14:editId="7D4C29B4">
              <wp:simplePos x="0" y="0"/>
              <wp:positionH relativeFrom="margin">
                <wp:posOffset>1281126</wp:posOffset>
              </wp:positionH>
              <wp:positionV relativeFrom="paragraph">
                <wp:posOffset>5080</wp:posOffset>
              </wp:positionV>
              <wp:extent cx="2483003" cy="338400"/>
              <wp:effectExtent l="0" t="0" r="0" b="5080"/>
              <wp:wrapSquare wrapText="bothSides"/>
              <wp:docPr id="1080260239" name="Imagen 108026023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003"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F570B" w14:textId="77777777" w:rsidR="003D6947" w:rsidRDefault="003D6947" w:rsidP="005E6948">
        <w:pPr>
          <w:pStyle w:val="Piedepgina"/>
        </w:pPr>
      </w:p>
      <w:p w14:paraId="78EAF571" w14:textId="77777777" w:rsidR="003D6947" w:rsidRDefault="003D6947" w:rsidP="002639F7">
        <w:pPr>
          <w:pStyle w:val="Piedepgina"/>
          <w:jc w:val="center"/>
        </w:pPr>
        <w:r w:rsidRPr="00F74112">
          <w:fldChar w:fldCharType="begin"/>
        </w:r>
        <w:r w:rsidRPr="00F74112">
          <w:instrText xml:space="preserve"> PAGE   \* MERGEFORMAT </w:instrText>
        </w:r>
        <w:r w:rsidRPr="00F74112">
          <w:fldChar w:fldCharType="separate"/>
        </w:r>
        <w:r>
          <w:rPr>
            <w:noProof/>
          </w:rPr>
          <w:t>8</w:t>
        </w:r>
        <w:r w:rsidRPr="00F74112">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730035"/>
      <w:docPartObj>
        <w:docPartGallery w:val="Page Numbers (Bottom of Page)"/>
        <w:docPartUnique/>
      </w:docPartObj>
    </w:sdtPr>
    <w:sdtEndPr>
      <w:rPr>
        <w:noProof/>
      </w:rPr>
    </w:sdtEndPr>
    <w:sdtContent>
      <w:p w14:paraId="3F9F1C0D" w14:textId="38C27EA3" w:rsidR="00DF40E3" w:rsidRDefault="00DF40E3" w:rsidP="005E6948">
        <w:pPr>
          <w:pStyle w:val="Piedepgina"/>
        </w:pPr>
        <w:r>
          <w:rPr>
            <w:noProof/>
          </w:rPr>
          <w:drawing>
            <wp:anchor distT="0" distB="0" distL="114300" distR="114300" simplePos="0" relativeHeight="251669504" behindDoc="0" locked="0" layoutInCell="1" allowOverlap="1" wp14:anchorId="188104E4" wp14:editId="0D22444E">
              <wp:simplePos x="0" y="0"/>
              <wp:positionH relativeFrom="column">
                <wp:posOffset>1285875</wp:posOffset>
              </wp:positionH>
              <wp:positionV relativeFrom="paragraph">
                <wp:posOffset>-123825</wp:posOffset>
              </wp:positionV>
              <wp:extent cx="2995930" cy="408305"/>
              <wp:effectExtent l="0" t="0" r="0" b="0"/>
              <wp:wrapSquare wrapText="bothSides"/>
              <wp:docPr id="1396523279" name="Imagen 139652327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603EDFF" w14:textId="77777777" w:rsidR="00DF40E3" w:rsidRDefault="00DF40E3" w:rsidP="005E6948">
        <w:pPr>
          <w:pStyle w:val="Piedepgina"/>
        </w:pPr>
      </w:p>
      <w:p w14:paraId="6FCE3037" w14:textId="77777777" w:rsidR="00DF40E3" w:rsidRDefault="00DF40E3" w:rsidP="005E6948">
        <w:pPr>
          <w:pStyle w:val="Piedepgina"/>
          <w:jc w:val="center"/>
        </w:pPr>
        <w:r>
          <w:rPr>
            <w:noProof/>
          </w:rPr>
          <w:drawing>
            <wp:anchor distT="0" distB="0" distL="114300" distR="114300" simplePos="0" relativeHeight="251665408" behindDoc="0" locked="0" layoutInCell="1" allowOverlap="1" wp14:anchorId="541CB35A" wp14:editId="6C1969D2">
              <wp:simplePos x="0" y="0"/>
              <wp:positionH relativeFrom="column">
                <wp:posOffset>2013319</wp:posOffset>
              </wp:positionH>
              <wp:positionV relativeFrom="paragraph">
                <wp:posOffset>1877355</wp:posOffset>
              </wp:positionV>
              <wp:extent cx="2995930" cy="408305"/>
              <wp:effectExtent l="0" t="0" r="0" b="0"/>
              <wp:wrapSquare wrapText="bothSides"/>
              <wp:docPr id="1343740410" name="Imagen 134374041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Pr="00F74112">
          <w:fldChar w:fldCharType="begin"/>
        </w:r>
        <w:r w:rsidRPr="00F74112">
          <w:instrText xml:space="preserve"> PAGE   \* MERGEFORMAT </w:instrText>
        </w:r>
        <w:r w:rsidRPr="00F74112">
          <w:fldChar w:fldCharType="separate"/>
        </w:r>
        <w:r>
          <w:rPr>
            <w:noProof/>
          </w:rPr>
          <w:t>8</w:t>
        </w:r>
        <w:r w:rsidRPr="00F7411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6219" w14:textId="77777777" w:rsidR="001E5208" w:rsidRDefault="001E5208" w:rsidP="005E6948">
      <w:r>
        <w:separator/>
      </w:r>
    </w:p>
  </w:footnote>
  <w:footnote w:type="continuationSeparator" w:id="0">
    <w:p w14:paraId="720D7997" w14:textId="77777777" w:rsidR="001E5208" w:rsidRDefault="001E5208" w:rsidP="005E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791379" w:rsidRDefault="00791379" w:rsidP="005E69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4C98" w14:textId="77777777" w:rsidR="004E6B8C" w:rsidRPr="00795A10" w:rsidRDefault="004E6B8C" w:rsidP="00795A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BDAF" w14:textId="77777777" w:rsidR="004E6B8C" w:rsidRDefault="004E6B8C" w:rsidP="005E694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7B66" w14:textId="77777777" w:rsidR="00755C71" w:rsidRDefault="00755C71" w:rsidP="005E6948">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B749" w14:textId="71043D32" w:rsidR="003D6947" w:rsidRDefault="003D6947" w:rsidP="005E6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995"/>
    <w:multiLevelType w:val="hybridMultilevel"/>
    <w:tmpl w:val="CF7C5A8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8B07879"/>
    <w:multiLevelType w:val="hybridMultilevel"/>
    <w:tmpl w:val="20105432"/>
    <w:lvl w:ilvl="0" w:tplc="FFFFFFFF">
      <w:start w:val="1"/>
      <w:numFmt w:val="bullet"/>
      <w:lvlText w:val=""/>
      <w:lvlJc w:val="left"/>
      <w:pPr>
        <w:ind w:left="720" w:hanging="360"/>
      </w:pPr>
      <w:rPr>
        <w:rFonts w:ascii="Symbol" w:hAnsi="Symbol" w:hint="default"/>
      </w:rPr>
    </w:lvl>
    <w:lvl w:ilvl="1" w:tplc="3A1C9E0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885575"/>
    <w:multiLevelType w:val="hybridMultilevel"/>
    <w:tmpl w:val="79E0FE0A"/>
    <w:lvl w:ilvl="0" w:tplc="7D7A0F0C">
      <w:start w:val="1"/>
      <w:numFmt w:val="lowerLetter"/>
      <w:pStyle w:val="Ttulo3"/>
      <w:lvlText w:val="%1."/>
      <w:lvlJc w:val="left"/>
      <w:pPr>
        <w:ind w:left="720" w:hanging="360"/>
      </w:pPr>
      <w:rPr>
        <w:rFonts w:hint="default"/>
        <w:color w:val="767171" w:themeColor="background2"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3E31F5B"/>
    <w:multiLevelType w:val="hybridMultilevel"/>
    <w:tmpl w:val="29260CB0"/>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3A1C9E02">
      <w:numFmt w:val="bullet"/>
      <w:lvlText w:val="-"/>
      <w:lvlJc w:val="left"/>
      <w:pPr>
        <w:ind w:left="1800" w:hanging="360"/>
      </w:pPr>
      <w:rPr>
        <w:rFonts w:ascii="Times New Roman" w:eastAsia="Times New Roman" w:hAnsi="Times New Roman" w:cs="Times New Roman" w:hint="default"/>
      </w:rPr>
    </w:lvl>
    <w:lvl w:ilvl="3" w:tplc="1C0A0001">
      <w:start w:val="1"/>
      <w:numFmt w:val="bullet"/>
      <w:lvlText w:val=""/>
      <w:lvlJc w:val="left"/>
      <w:pPr>
        <w:ind w:left="2520" w:hanging="360"/>
      </w:pPr>
      <w:rPr>
        <w:rFonts w:ascii="Symbol" w:hAnsi="Symbol" w:hint="default"/>
      </w:rPr>
    </w:lvl>
    <w:lvl w:ilvl="4" w:tplc="1C0A0003">
      <w:start w:val="1"/>
      <w:numFmt w:val="bullet"/>
      <w:lvlText w:val="o"/>
      <w:lvlJc w:val="left"/>
      <w:pPr>
        <w:ind w:left="3240" w:hanging="360"/>
      </w:pPr>
      <w:rPr>
        <w:rFonts w:ascii="Courier New" w:hAnsi="Courier New" w:cs="Courier New" w:hint="default"/>
      </w:rPr>
    </w:lvl>
    <w:lvl w:ilvl="5" w:tplc="1C0A0005">
      <w:start w:val="1"/>
      <w:numFmt w:val="bullet"/>
      <w:lvlText w:val=""/>
      <w:lvlJc w:val="left"/>
      <w:pPr>
        <w:ind w:left="3960" w:hanging="360"/>
      </w:pPr>
      <w:rPr>
        <w:rFonts w:ascii="Wingdings" w:hAnsi="Wingdings" w:hint="default"/>
      </w:rPr>
    </w:lvl>
    <w:lvl w:ilvl="6" w:tplc="1C0A0001">
      <w:start w:val="1"/>
      <w:numFmt w:val="bullet"/>
      <w:lvlText w:val=""/>
      <w:lvlJc w:val="left"/>
      <w:pPr>
        <w:ind w:left="4680" w:hanging="360"/>
      </w:pPr>
      <w:rPr>
        <w:rFonts w:ascii="Symbol" w:hAnsi="Symbol" w:hint="default"/>
      </w:rPr>
    </w:lvl>
    <w:lvl w:ilvl="7" w:tplc="1C0A0003">
      <w:start w:val="1"/>
      <w:numFmt w:val="bullet"/>
      <w:lvlText w:val="o"/>
      <w:lvlJc w:val="left"/>
      <w:pPr>
        <w:ind w:left="5400" w:hanging="360"/>
      </w:pPr>
      <w:rPr>
        <w:rFonts w:ascii="Courier New" w:hAnsi="Courier New" w:cs="Courier New" w:hint="default"/>
      </w:rPr>
    </w:lvl>
    <w:lvl w:ilvl="8" w:tplc="1C0A0005">
      <w:start w:val="1"/>
      <w:numFmt w:val="bullet"/>
      <w:lvlText w:val=""/>
      <w:lvlJc w:val="left"/>
      <w:pPr>
        <w:ind w:left="6120" w:hanging="360"/>
      </w:pPr>
      <w:rPr>
        <w:rFonts w:ascii="Wingdings" w:hAnsi="Wingdings" w:hint="default"/>
      </w:rPr>
    </w:lvl>
  </w:abstractNum>
  <w:abstractNum w:abstractNumId="4" w15:restartNumberingAfterBreak="0">
    <w:nsid w:val="162B15A5"/>
    <w:multiLevelType w:val="hybridMultilevel"/>
    <w:tmpl w:val="2392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800C45"/>
    <w:multiLevelType w:val="hybridMultilevel"/>
    <w:tmpl w:val="CF58F5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7D6FAA"/>
    <w:multiLevelType w:val="hybridMultilevel"/>
    <w:tmpl w:val="4CF261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5607F5F"/>
    <w:multiLevelType w:val="hybridMultilevel"/>
    <w:tmpl w:val="89563B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29D92FDB"/>
    <w:multiLevelType w:val="hybridMultilevel"/>
    <w:tmpl w:val="7ACA0512"/>
    <w:lvl w:ilvl="0" w:tplc="66D80C4E">
      <w:start w:val="1"/>
      <w:numFmt w:val="lowerLetter"/>
      <w:lvlText w:val="%1."/>
      <w:lvlJc w:val="left"/>
      <w:pPr>
        <w:ind w:left="1211" w:hanging="360"/>
      </w:pPr>
      <w:rPr>
        <w:rFonts w:hint="default"/>
      </w:rPr>
    </w:lvl>
    <w:lvl w:ilvl="1" w:tplc="1C0A0019" w:tentative="1">
      <w:start w:val="1"/>
      <w:numFmt w:val="lowerLetter"/>
      <w:lvlText w:val="%2."/>
      <w:lvlJc w:val="left"/>
      <w:pPr>
        <w:ind w:left="1931" w:hanging="360"/>
      </w:pPr>
    </w:lvl>
    <w:lvl w:ilvl="2" w:tplc="1C0A001B" w:tentative="1">
      <w:start w:val="1"/>
      <w:numFmt w:val="lowerRoman"/>
      <w:lvlText w:val="%3."/>
      <w:lvlJc w:val="right"/>
      <w:pPr>
        <w:ind w:left="2651" w:hanging="180"/>
      </w:pPr>
    </w:lvl>
    <w:lvl w:ilvl="3" w:tplc="1C0A000F" w:tentative="1">
      <w:start w:val="1"/>
      <w:numFmt w:val="decimal"/>
      <w:lvlText w:val="%4."/>
      <w:lvlJc w:val="left"/>
      <w:pPr>
        <w:ind w:left="3371" w:hanging="360"/>
      </w:pPr>
    </w:lvl>
    <w:lvl w:ilvl="4" w:tplc="1C0A0019" w:tentative="1">
      <w:start w:val="1"/>
      <w:numFmt w:val="lowerLetter"/>
      <w:lvlText w:val="%5."/>
      <w:lvlJc w:val="left"/>
      <w:pPr>
        <w:ind w:left="4091" w:hanging="360"/>
      </w:pPr>
    </w:lvl>
    <w:lvl w:ilvl="5" w:tplc="1C0A001B" w:tentative="1">
      <w:start w:val="1"/>
      <w:numFmt w:val="lowerRoman"/>
      <w:lvlText w:val="%6."/>
      <w:lvlJc w:val="right"/>
      <w:pPr>
        <w:ind w:left="4811" w:hanging="180"/>
      </w:pPr>
    </w:lvl>
    <w:lvl w:ilvl="6" w:tplc="1C0A000F" w:tentative="1">
      <w:start w:val="1"/>
      <w:numFmt w:val="decimal"/>
      <w:lvlText w:val="%7."/>
      <w:lvlJc w:val="left"/>
      <w:pPr>
        <w:ind w:left="5531" w:hanging="360"/>
      </w:pPr>
    </w:lvl>
    <w:lvl w:ilvl="7" w:tplc="1C0A0019" w:tentative="1">
      <w:start w:val="1"/>
      <w:numFmt w:val="lowerLetter"/>
      <w:lvlText w:val="%8."/>
      <w:lvlJc w:val="left"/>
      <w:pPr>
        <w:ind w:left="6251" w:hanging="360"/>
      </w:pPr>
    </w:lvl>
    <w:lvl w:ilvl="8" w:tplc="1C0A001B" w:tentative="1">
      <w:start w:val="1"/>
      <w:numFmt w:val="lowerRoman"/>
      <w:lvlText w:val="%9."/>
      <w:lvlJc w:val="right"/>
      <w:pPr>
        <w:ind w:left="6971" w:hanging="180"/>
      </w:pPr>
    </w:lvl>
  </w:abstractNum>
  <w:abstractNum w:abstractNumId="9" w15:restartNumberingAfterBreak="0">
    <w:nsid w:val="2C3775DE"/>
    <w:multiLevelType w:val="hybridMultilevel"/>
    <w:tmpl w:val="1AE4E6B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30F15660"/>
    <w:multiLevelType w:val="hybridMultilevel"/>
    <w:tmpl w:val="B3C079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1AC5FB7"/>
    <w:multiLevelType w:val="multilevel"/>
    <w:tmpl w:val="921009FA"/>
    <w:lvl w:ilvl="0">
      <w:start w:val="1"/>
      <w:numFmt w:val="upperRoman"/>
      <w:pStyle w:val="Ttulo1"/>
      <w:lvlText w:val="%1."/>
      <w:lvlJc w:val="left"/>
      <w:pPr>
        <w:ind w:left="1080" w:hanging="720"/>
      </w:pPr>
      <w:rPr>
        <w:rFonts w:hint="default"/>
      </w:rPr>
    </w:lvl>
    <w:lvl w:ilvl="1">
      <w:start w:val="1"/>
      <w:numFmt w:val="decimal"/>
      <w:pStyle w:val="Ttulo2"/>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2" w15:restartNumberingAfterBreak="0">
    <w:nsid w:val="350A72FD"/>
    <w:multiLevelType w:val="hybridMultilevel"/>
    <w:tmpl w:val="387C5F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36B57F5A"/>
    <w:multiLevelType w:val="hybridMultilevel"/>
    <w:tmpl w:val="23B09626"/>
    <w:lvl w:ilvl="0" w:tplc="1C0A0001">
      <w:start w:val="1"/>
      <w:numFmt w:val="bullet"/>
      <w:lvlText w:val=""/>
      <w:lvlJc w:val="left"/>
      <w:pPr>
        <w:ind w:left="720" w:hanging="360"/>
      </w:pPr>
      <w:rPr>
        <w:rFonts w:ascii="Symbol" w:hAnsi="Symbol" w:hint="default"/>
        <w:b w:val="0"/>
        <w:b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39D43816"/>
    <w:multiLevelType w:val="hybridMultilevel"/>
    <w:tmpl w:val="E11A358E"/>
    <w:lvl w:ilvl="0" w:tplc="8DF09E82">
      <w:start w:val="1"/>
      <w:numFmt w:val="bullet"/>
      <w:lvlText w:val=""/>
      <w:lvlJc w:val="left"/>
      <w:pPr>
        <w:ind w:left="1069" w:hanging="360"/>
      </w:pPr>
      <w:rPr>
        <w:rFonts w:ascii="Symbol" w:hAnsi="Symbol" w:hint="default"/>
      </w:rPr>
    </w:lvl>
    <w:lvl w:ilvl="1" w:tplc="1C0A0003" w:tentative="1">
      <w:start w:val="1"/>
      <w:numFmt w:val="bullet"/>
      <w:lvlText w:val="o"/>
      <w:lvlJc w:val="left"/>
      <w:pPr>
        <w:ind w:left="1789" w:hanging="360"/>
      </w:pPr>
      <w:rPr>
        <w:rFonts w:ascii="Courier New" w:hAnsi="Courier New" w:cs="Courier New" w:hint="default"/>
      </w:rPr>
    </w:lvl>
    <w:lvl w:ilvl="2" w:tplc="1C0A0005" w:tentative="1">
      <w:start w:val="1"/>
      <w:numFmt w:val="bullet"/>
      <w:lvlText w:val=""/>
      <w:lvlJc w:val="left"/>
      <w:pPr>
        <w:ind w:left="2509" w:hanging="360"/>
      </w:pPr>
      <w:rPr>
        <w:rFonts w:ascii="Wingdings" w:hAnsi="Wingdings" w:hint="default"/>
      </w:rPr>
    </w:lvl>
    <w:lvl w:ilvl="3" w:tplc="1C0A0001" w:tentative="1">
      <w:start w:val="1"/>
      <w:numFmt w:val="bullet"/>
      <w:lvlText w:val=""/>
      <w:lvlJc w:val="left"/>
      <w:pPr>
        <w:ind w:left="3229" w:hanging="360"/>
      </w:pPr>
      <w:rPr>
        <w:rFonts w:ascii="Symbol" w:hAnsi="Symbol" w:hint="default"/>
      </w:rPr>
    </w:lvl>
    <w:lvl w:ilvl="4" w:tplc="1C0A0003" w:tentative="1">
      <w:start w:val="1"/>
      <w:numFmt w:val="bullet"/>
      <w:lvlText w:val="o"/>
      <w:lvlJc w:val="left"/>
      <w:pPr>
        <w:ind w:left="3949" w:hanging="360"/>
      </w:pPr>
      <w:rPr>
        <w:rFonts w:ascii="Courier New" w:hAnsi="Courier New" w:cs="Courier New" w:hint="default"/>
      </w:rPr>
    </w:lvl>
    <w:lvl w:ilvl="5" w:tplc="1C0A0005" w:tentative="1">
      <w:start w:val="1"/>
      <w:numFmt w:val="bullet"/>
      <w:lvlText w:val=""/>
      <w:lvlJc w:val="left"/>
      <w:pPr>
        <w:ind w:left="4669" w:hanging="360"/>
      </w:pPr>
      <w:rPr>
        <w:rFonts w:ascii="Wingdings" w:hAnsi="Wingdings" w:hint="default"/>
      </w:rPr>
    </w:lvl>
    <w:lvl w:ilvl="6" w:tplc="1C0A0001" w:tentative="1">
      <w:start w:val="1"/>
      <w:numFmt w:val="bullet"/>
      <w:lvlText w:val=""/>
      <w:lvlJc w:val="left"/>
      <w:pPr>
        <w:ind w:left="5389" w:hanging="360"/>
      </w:pPr>
      <w:rPr>
        <w:rFonts w:ascii="Symbol" w:hAnsi="Symbol" w:hint="default"/>
      </w:rPr>
    </w:lvl>
    <w:lvl w:ilvl="7" w:tplc="1C0A0003" w:tentative="1">
      <w:start w:val="1"/>
      <w:numFmt w:val="bullet"/>
      <w:lvlText w:val="o"/>
      <w:lvlJc w:val="left"/>
      <w:pPr>
        <w:ind w:left="6109" w:hanging="360"/>
      </w:pPr>
      <w:rPr>
        <w:rFonts w:ascii="Courier New" w:hAnsi="Courier New" w:cs="Courier New" w:hint="default"/>
      </w:rPr>
    </w:lvl>
    <w:lvl w:ilvl="8" w:tplc="1C0A0005" w:tentative="1">
      <w:start w:val="1"/>
      <w:numFmt w:val="bullet"/>
      <w:lvlText w:val=""/>
      <w:lvlJc w:val="left"/>
      <w:pPr>
        <w:ind w:left="6829" w:hanging="360"/>
      </w:pPr>
      <w:rPr>
        <w:rFonts w:ascii="Wingdings" w:hAnsi="Wingdings" w:hint="default"/>
      </w:rPr>
    </w:lvl>
  </w:abstractNum>
  <w:abstractNum w:abstractNumId="15" w15:restartNumberingAfterBreak="0">
    <w:nsid w:val="3D0D60D6"/>
    <w:multiLevelType w:val="hybridMultilevel"/>
    <w:tmpl w:val="1F3EFD0E"/>
    <w:lvl w:ilvl="0" w:tplc="CDD283D8">
      <w:start w:val="1"/>
      <w:numFmt w:val="bullet"/>
      <w:lvlText w:val=""/>
      <w:lvlJc w:val="left"/>
      <w:pPr>
        <w:ind w:left="720" w:hanging="360"/>
      </w:pPr>
      <w:rPr>
        <w:rFonts w:ascii="Symbol" w:hAnsi="Symbol" w:hint="default"/>
        <w:color w:val="767171" w:themeColor="background2" w:themeShade="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DFA4FD2"/>
    <w:multiLevelType w:val="hybridMultilevel"/>
    <w:tmpl w:val="F51E15F0"/>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7" w15:restartNumberingAfterBreak="0">
    <w:nsid w:val="446C37C6"/>
    <w:multiLevelType w:val="hybridMultilevel"/>
    <w:tmpl w:val="CFA44E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6223DFD"/>
    <w:multiLevelType w:val="hybridMultilevel"/>
    <w:tmpl w:val="8D3CD03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9" w15:restartNumberingAfterBreak="0">
    <w:nsid w:val="4A444E9A"/>
    <w:multiLevelType w:val="hybridMultilevel"/>
    <w:tmpl w:val="C12A045A"/>
    <w:lvl w:ilvl="0" w:tplc="707A5B6A">
      <w:start w:val="1"/>
      <w:numFmt w:val="bullet"/>
      <w:lvlText w:val=""/>
      <w:lvlJc w:val="left"/>
      <w:pPr>
        <w:ind w:left="720" w:hanging="360"/>
      </w:pPr>
      <w:rPr>
        <w:rFonts w:ascii="Symbol" w:hAnsi="Symbol" w:hint="default"/>
        <w:color w:val="767171" w:themeColor="background2" w:themeShade="80"/>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BB22FFE"/>
    <w:multiLevelType w:val="hybridMultilevel"/>
    <w:tmpl w:val="08F4C436"/>
    <w:lvl w:ilvl="0" w:tplc="CB24BDFC">
      <w:start w:val="1"/>
      <w:numFmt w:val="decimal"/>
      <w:lvlText w:val="%1."/>
      <w:lvlJc w:val="left"/>
      <w:pPr>
        <w:ind w:left="360" w:hanging="360"/>
      </w:pPr>
      <w:rPr>
        <w:rFonts w:hint="default"/>
        <w:b w:val="0"/>
        <w:color w:val="767171" w:themeColor="background2" w:themeShade="8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72201A"/>
    <w:multiLevelType w:val="multilevel"/>
    <w:tmpl w:val="94E477BC"/>
    <w:lvl w:ilvl="0">
      <w:start w:val="16"/>
      <w:numFmt w:val="bullet"/>
      <w:lvlText w:val="-"/>
      <w:lvlJc w:val="left"/>
      <w:pPr>
        <w:ind w:left="720" w:hanging="360"/>
      </w:pPr>
      <w:rPr>
        <w:rFonts w:ascii="Calibri" w:eastAsia="Calibri" w:hAnsi="Calibri"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3B0F29"/>
    <w:multiLevelType w:val="hybridMultilevel"/>
    <w:tmpl w:val="2898DA4C"/>
    <w:lvl w:ilvl="0" w:tplc="1C0A0001">
      <w:start w:val="1"/>
      <w:numFmt w:val="bullet"/>
      <w:lvlText w:val=""/>
      <w:lvlJc w:val="left"/>
      <w:pPr>
        <w:ind w:left="720" w:hanging="360"/>
      </w:pPr>
      <w:rPr>
        <w:rFonts w:ascii="Symbol" w:hAnsi="Symbol" w:hint="default"/>
      </w:rPr>
    </w:lvl>
    <w:lvl w:ilvl="1" w:tplc="3DEC00AC">
      <w:start w:val="16"/>
      <w:numFmt w:val="bullet"/>
      <w:lvlText w:val="-"/>
      <w:lvlJc w:val="left"/>
      <w:pPr>
        <w:ind w:left="1440" w:hanging="360"/>
      </w:pPr>
      <w:rPr>
        <w:rFonts w:ascii="Calibri" w:eastAsia="Calibri" w:hAnsi="Calibri" w:cs="Times New Roman" w:hint="default"/>
      </w:rPr>
    </w:lvl>
    <w:lvl w:ilvl="2" w:tplc="3DEC00AC">
      <w:start w:val="16"/>
      <w:numFmt w:val="bullet"/>
      <w:lvlText w:val="-"/>
      <w:lvlJc w:val="left"/>
      <w:pPr>
        <w:ind w:left="2160" w:hanging="360"/>
      </w:pPr>
      <w:rPr>
        <w:rFonts w:ascii="Calibri" w:eastAsia="Calibri" w:hAnsi="Calibri" w:cs="Times New Roman"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77322FD"/>
    <w:multiLevelType w:val="multilevel"/>
    <w:tmpl w:val="DD56C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F93871"/>
    <w:multiLevelType w:val="multilevel"/>
    <w:tmpl w:val="0054F11C"/>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29412C"/>
    <w:multiLevelType w:val="hybridMultilevel"/>
    <w:tmpl w:val="CCE03A9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6" w15:restartNumberingAfterBreak="0">
    <w:nsid w:val="5CE45AB1"/>
    <w:multiLevelType w:val="hybridMultilevel"/>
    <w:tmpl w:val="FB56C5C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663254D7"/>
    <w:multiLevelType w:val="hybridMultilevel"/>
    <w:tmpl w:val="E716DD1E"/>
    <w:lvl w:ilvl="0" w:tplc="1C0A0001">
      <w:start w:val="1"/>
      <w:numFmt w:val="bullet"/>
      <w:lvlText w:val=""/>
      <w:lvlJc w:val="left"/>
      <w:pPr>
        <w:ind w:left="787" w:hanging="360"/>
      </w:pPr>
      <w:rPr>
        <w:rFonts w:ascii="Symbol" w:hAnsi="Symbol" w:hint="default"/>
      </w:rPr>
    </w:lvl>
    <w:lvl w:ilvl="1" w:tplc="1C0A0003" w:tentative="1">
      <w:start w:val="1"/>
      <w:numFmt w:val="bullet"/>
      <w:lvlText w:val="o"/>
      <w:lvlJc w:val="left"/>
      <w:pPr>
        <w:ind w:left="1507" w:hanging="360"/>
      </w:pPr>
      <w:rPr>
        <w:rFonts w:ascii="Courier New" w:hAnsi="Courier New" w:cs="Courier New" w:hint="default"/>
      </w:rPr>
    </w:lvl>
    <w:lvl w:ilvl="2" w:tplc="1C0A0005" w:tentative="1">
      <w:start w:val="1"/>
      <w:numFmt w:val="bullet"/>
      <w:lvlText w:val=""/>
      <w:lvlJc w:val="left"/>
      <w:pPr>
        <w:ind w:left="2227" w:hanging="360"/>
      </w:pPr>
      <w:rPr>
        <w:rFonts w:ascii="Wingdings" w:hAnsi="Wingdings" w:hint="default"/>
      </w:rPr>
    </w:lvl>
    <w:lvl w:ilvl="3" w:tplc="1C0A0001" w:tentative="1">
      <w:start w:val="1"/>
      <w:numFmt w:val="bullet"/>
      <w:lvlText w:val=""/>
      <w:lvlJc w:val="left"/>
      <w:pPr>
        <w:ind w:left="2947" w:hanging="360"/>
      </w:pPr>
      <w:rPr>
        <w:rFonts w:ascii="Symbol" w:hAnsi="Symbol" w:hint="default"/>
      </w:rPr>
    </w:lvl>
    <w:lvl w:ilvl="4" w:tplc="1C0A0003" w:tentative="1">
      <w:start w:val="1"/>
      <w:numFmt w:val="bullet"/>
      <w:lvlText w:val="o"/>
      <w:lvlJc w:val="left"/>
      <w:pPr>
        <w:ind w:left="3667" w:hanging="360"/>
      </w:pPr>
      <w:rPr>
        <w:rFonts w:ascii="Courier New" w:hAnsi="Courier New" w:cs="Courier New" w:hint="default"/>
      </w:rPr>
    </w:lvl>
    <w:lvl w:ilvl="5" w:tplc="1C0A0005" w:tentative="1">
      <w:start w:val="1"/>
      <w:numFmt w:val="bullet"/>
      <w:lvlText w:val=""/>
      <w:lvlJc w:val="left"/>
      <w:pPr>
        <w:ind w:left="4387" w:hanging="360"/>
      </w:pPr>
      <w:rPr>
        <w:rFonts w:ascii="Wingdings" w:hAnsi="Wingdings" w:hint="default"/>
      </w:rPr>
    </w:lvl>
    <w:lvl w:ilvl="6" w:tplc="1C0A0001" w:tentative="1">
      <w:start w:val="1"/>
      <w:numFmt w:val="bullet"/>
      <w:lvlText w:val=""/>
      <w:lvlJc w:val="left"/>
      <w:pPr>
        <w:ind w:left="5107" w:hanging="360"/>
      </w:pPr>
      <w:rPr>
        <w:rFonts w:ascii="Symbol" w:hAnsi="Symbol" w:hint="default"/>
      </w:rPr>
    </w:lvl>
    <w:lvl w:ilvl="7" w:tplc="1C0A0003" w:tentative="1">
      <w:start w:val="1"/>
      <w:numFmt w:val="bullet"/>
      <w:lvlText w:val="o"/>
      <w:lvlJc w:val="left"/>
      <w:pPr>
        <w:ind w:left="5827" w:hanging="360"/>
      </w:pPr>
      <w:rPr>
        <w:rFonts w:ascii="Courier New" w:hAnsi="Courier New" w:cs="Courier New" w:hint="default"/>
      </w:rPr>
    </w:lvl>
    <w:lvl w:ilvl="8" w:tplc="1C0A0005" w:tentative="1">
      <w:start w:val="1"/>
      <w:numFmt w:val="bullet"/>
      <w:lvlText w:val=""/>
      <w:lvlJc w:val="left"/>
      <w:pPr>
        <w:ind w:left="6547" w:hanging="360"/>
      </w:pPr>
      <w:rPr>
        <w:rFonts w:ascii="Wingdings" w:hAnsi="Wingdings" w:hint="default"/>
      </w:rPr>
    </w:lvl>
  </w:abstractNum>
  <w:abstractNum w:abstractNumId="28" w15:restartNumberingAfterBreak="0">
    <w:nsid w:val="73BC3C84"/>
    <w:multiLevelType w:val="hybridMultilevel"/>
    <w:tmpl w:val="CB421B94"/>
    <w:lvl w:ilvl="0" w:tplc="8DF09E82">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5BD2367"/>
    <w:multiLevelType w:val="hybridMultilevel"/>
    <w:tmpl w:val="86805C7E"/>
    <w:lvl w:ilvl="0" w:tplc="EAFA1E86">
      <w:start w:val="1"/>
      <w:numFmt w:val="bullet"/>
      <w:lvlText w:val=""/>
      <w:lvlJc w:val="left"/>
      <w:pPr>
        <w:ind w:left="720" w:hanging="360"/>
      </w:pPr>
      <w:rPr>
        <w:rFonts w:ascii="Symbol" w:hAnsi="Symbol" w:hint="default"/>
        <w:color w:val="767171" w:themeColor="background2"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215A28"/>
    <w:multiLevelType w:val="hybridMultilevel"/>
    <w:tmpl w:val="CFFCA1E0"/>
    <w:lvl w:ilvl="0" w:tplc="8DF09E82">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num w:numId="1" w16cid:durableId="1651789080">
    <w:abstractNumId w:val="11"/>
  </w:num>
  <w:num w:numId="2" w16cid:durableId="1540433004">
    <w:abstractNumId w:val="2"/>
  </w:num>
  <w:num w:numId="3" w16cid:durableId="1619602218">
    <w:abstractNumId w:val="8"/>
  </w:num>
  <w:num w:numId="4" w16cid:durableId="608002123">
    <w:abstractNumId w:val="27"/>
  </w:num>
  <w:num w:numId="5" w16cid:durableId="1849177054">
    <w:abstractNumId w:val="5"/>
  </w:num>
  <w:num w:numId="6" w16cid:durableId="990793680">
    <w:abstractNumId w:val="6"/>
  </w:num>
  <w:num w:numId="7" w16cid:durableId="111900277">
    <w:abstractNumId w:val="19"/>
  </w:num>
  <w:num w:numId="8" w16cid:durableId="2000771646">
    <w:abstractNumId w:val="22"/>
  </w:num>
  <w:num w:numId="9" w16cid:durableId="2076079995">
    <w:abstractNumId w:val="0"/>
  </w:num>
  <w:num w:numId="10" w16cid:durableId="337855161">
    <w:abstractNumId w:val="24"/>
  </w:num>
  <w:num w:numId="11" w16cid:durableId="453914261">
    <w:abstractNumId w:val="26"/>
  </w:num>
  <w:num w:numId="12" w16cid:durableId="581572847">
    <w:abstractNumId w:val="15"/>
  </w:num>
  <w:num w:numId="13" w16cid:durableId="1537768659">
    <w:abstractNumId w:val="29"/>
  </w:num>
  <w:num w:numId="14" w16cid:durableId="155925364">
    <w:abstractNumId w:val="1"/>
  </w:num>
  <w:num w:numId="15" w16cid:durableId="1377004007">
    <w:abstractNumId w:val="4"/>
  </w:num>
  <w:num w:numId="16" w16cid:durableId="656034946">
    <w:abstractNumId w:val="20"/>
  </w:num>
  <w:num w:numId="17" w16cid:durableId="124544785">
    <w:abstractNumId w:val="17"/>
  </w:num>
  <w:num w:numId="18" w16cid:durableId="992371793">
    <w:abstractNumId w:val="16"/>
  </w:num>
  <w:num w:numId="19" w16cid:durableId="279917703">
    <w:abstractNumId w:val="7"/>
  </w:num>
  <w:num w:numId="20" w16cid:durableId="726419713">
    <w:abstractNumId w:val="13"/>
  </w:num>
  <w:num w:numId="21" w16cid:durableId="1698896366">
    <w:abstractNumId w:val="9"/>
  </w:num>
  <w:num w:numId="22" w16cid:durableId="513111029">
    <w:abstractNumId w:val="18"/>
  </w:num>
  <w:num w:numId="23" w16cid:durableId="1290163739">
    <w:abstractNumId w:val="3"/>
  </w:num>
  <w:num w:numId="24" w16cid:durableId="1442266397">
    <w:abstractNumId w:val="23"/>
  </w:num>
  <w:num w:numId="25" w16cid:durableId="1947931013">
    <w:abstractNumId w:val="21"/>
  </w:num>
  <w:num w:numId="26" w16cid:durableId="165638089">
    <w:abstractNumId w:val="12"/>
  </w:num>
  <w:num w:numId="27" w16cid:durableId="1381631694">
    <w:abstractNumId w:val="14"/>
  </w:num>
  <w:num w:numId="28" w16cid:durableId="1473255294">
    <w:abstractNumId w:val="28"/>
  </w:num>
  <w:num w:numId="29" w16cid:durableId="1289360741">
    <w:abstractNumId w:val="30"/>
  </w:num>
  <w:num w:numId="30" w16cid:durableId="1695501636">
    <w:abstractNumId w:val="2"/>
    <w:lvlOverride w:ilvl="0">
      <w:startOverride w:val="1"/>
    </w:lvlOverride>
  </w:num>
  <w:num w:numId="31" w16cid:durableId="624040199">
    <w:abstractNumId w:val="2"/>
  </w:num>
  <w:num w:numId="32" w16cid:durableId="2141219965">
    <w:abstractNumId w:val="25"/>
  </w:num>
  <w:num w:numId="33" w16cid:durableId="71967114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EF0"/>
    <w:rsid w:val="00001097"/>
    <w:rsid w:val="00002183"/>
    <w:rsid w:val="000024A4"/>
    <w:rsid w:val="00002941"/>
    <w:rsid w:val="0000429A"/>
    <w:rsid w:val="000047F1"/>
    <w:rsid w:val="00007FBE"/>
    <w:rsid w:val="00010932"/>
    <w:rsid w:val="00011DA0"/>
    <w:rsid w:val="00012003"/>
    <w:rsid w:val="000130B9"/>
    <w:rsid w:val="0001546A"/>
    <w:rsid w:val="00016A83"/>
    <w:rsid w:val="00022159"/>
    <w:rsid w:val="00022306"/>
    <w:rsid w:val="00022C33"/>
    <w:rsid w:val="00024903"/>
    <w:rsid w:val="0002649E"/>
    <w:rsid w:val="00026F58"/>
    <w:rsid w:val="000305B6"/>
    <w:rsid w:val="00030C28"/>
    <w:rsid w:val="00031512"/>
    <w:rsid w:val="00032423"/>
    <w:rsid w:val="00032812"/>
    <w:rsid w:val="00032FD8"/>
    <w:rsid w:val="00033DFD"/>
    <w:rsid w:val="000349FD"/>
    <w:rsid w:val="000377CC"/>
    <w:rsid w:val="000404EC"/>
    <w:rsid w:val="00041B5A"/>
    <w:rsid w:val="00042FA9"/>
    <w:rsid w:val="00044B66"/>
    <w:rsid w:val="00044E66"/>
    <w:rsid w:val="00045122"/>
    <w:rsid w:val="0004540B"/>
    <w:rsid w:val="000523CC"/>
    <w:rsid w:val="00055BCF"/>
    <w:rsid w:val="00056C3E"/>
    <w:rsid w:val="0005718B"/>
    <w:rsid w:val="00060D44"/>
    <w:rsid w:val="00061DA4"/>
    <w:rsid w:val="00063CA9"/>
    <w:rsid w:val="00064710"/>
    <w:rsid w:val="00064BD5"/>
    <w:rsid w:val="00065749"/>
    <w:rsid w:val="00065C4D"/>
    <w:rsid w:val="00065F6F"/>
    <w:rsid w:val="000708D7"/>
    <w:rsid w:val="00072A4A"/>
    <w:rsid w:val="0007390B"/>
    <w:rsid w:val="0007427A"/>
    <w:rsid w:val="00074441"/>
    <w:rsid w:val="00074D98"/>
    <w:rsid w:val="00074F4E"/>
    <w:rsid w:val="00075316"/>
    <w:rsid w:val="00076CC3"/>
    <w:rsid w:val="0007779C"/>
    <w:rsid w:val="0008026B"/>
    <w:rsid w:val="000817D3"/>
    <w:rsid w:val="000846D1"/>
    <w:rsid w:val="00085272"/>
    <w:rsid w:val="0008597E"/>
    <w:rsid w:val="00086481"/>
    <w:rsid w:val="00086F16"/>
    <w:rsid w:val="0008796E"/>
    <w:rsid w:val="00090242"/>
    <w:rsid w:val="00091187"/>
    <w:rsid w:val="00091FC9"/>
    <w:rsid w:val="000920D4"/>
    <w:rsid w:val="00092B43"/>
    <w:rsid w:val="0009316A"/>
    <w:rsid w:val="00094703"/>
    <w:rsid w:val="000960E2"/>
    <w:rsid w:val="00096310"/>
    <w:rsid w:val="00096E3F"/>
    <w:rsid w:val="000979BC"/>
    <w:rsid w:val="00097A3E"/>
    <w:rsid w:val="000A2A76"/>
    <w:rsid w:val="000A2B8B"/>
    <w:rsid w:val="000A4CBC"/>
    <w:rsid w:val="000A64BA"/>
    <w:rsid w:val="000A6778"/>
    <w:rsid w:val="000A6C51"/>
    <w:rsid w:val="000A73B2"/>
    <w:rsid w:val="000B0529"/>
    <w:rsid w:val="000B0928"/>
    <w:rsid w:val="000B0E0B"/>
    <w:rsid w:val="000B14CC"/>
    <w:rsid w:val="000B1B78"/>
    <w:rsid w:val="000B1F2A"/>
    <w:rsid w:val="000B2757"/>
    <w:rsid w:val="000B4052"/>
    <w:rsid w:val="000C0EC0"/>
    <w:rsid w:val="000C1B02"/>
    <w:rsid w:val="000C20C2"/>
    <w:rsid w:val="000C28E9"/>
    <w:rsid w:val="000C553D"/>
    <w:rsid w:val="000C5C4B"/>
    <w:rsid w:val="000D08D0"/>
    <w:rsid w:val="000D19BD"/>
    <w:rsid w:val="000D3426"/>
    <w:rsid w:val="000D4F41"/>
    <w:rsid w:val="000D6C67"/>
    <w:rsid w:val="000D74FE"/>
    <w:rsid w:val="000E4300"/>
    <w:rsid w:val="000E46AC"/>
    <w:rsid w:val="000E721A"/>
    <w:rsid w:val="000E777E"/>
    <w:rsid w:val="000F3210"/>
    <w:rsid w:val="000F38E8"/>
    <w:rsid w:val="000F60DF"/>
    <w:rsid w:val="000F60EE"/>
    <w:rsid w:val="0010022A"/>
    <w:rsid w:val="00100A69"/>
    <w:rsid w:val="00106590"/>
    <w:rsid w:val="001101ED"/>
    <w:rsid w:val="00110F38"/>
    <w:rsid w:val="00111E5A"/>
    <w:rsid w:val="00112C82"/>
    <w:rsid w:val="00113E48"/>
    <w:rsid w:val="0011412F"/>
    <w:rsid w:val="00114F2A"/>
    <w:rsid w:val="00115790"/>
    <w:rsid w:val="00116411"/>
    <w:rsid w:val="00116818"/>
    <w:rsid w:val="0012220B"/>
    <w:rsid w:val="0012268F"/>
    <w:rsid w:val="00122ACD"/>
    <w:rsid w:val="00122ED9"/>
    <w:rsid w:val="0012385A"/>
    <w:rsid w:val="001240D0"/>
    <w:rsid w:val="001247D0"/>
    <w:rsid w:val="00125D46"/>
    <w:rsid w:val="00126094"/>
    <w:rsid w:val="001265BB"/>
    <w:rsid w:val="00126A7C"/>
    <w:rsid w:val="00130F9D"/>
    <w:rsid w:val="00131EF7"/>
    <w:rsid w:val="00133709"/>
    <w:rsid w:val="00133EDE"/>
    <w:rsid w:val="00135115"/>
    <w:rsid w:val="0013549C"/>
    <w:rsid w:val="00136921"/>
    <w:rsid w:val="001420E0"/>
    <w:rsid w:val="00143221"/>
    <w:rsid w:val="00143807"/>
    <w:rsid w:val="00143DAE"/>
    <w:rsid w:val="001456C1"/>
    <w:rsid w:val="001510CE"/>
    <w:rsid w:val="001513EA"/>
    <w:rsid w:val="001540CD"/>
    <w:rsid w:val="00154D13"/>
    <w:rsid w:val="0015519F"/>
    <w:rsid w:val="00156461"/>
    <w:rsid w:val="00157004"/>
    <w:rsid w:val="00157C75"/>
    <w:rsid w:val="00160B66"/>
    <w:rsid w:val="00161EEC"/>
    <w:rsid w:val="00161FBC"/>
    <w:rsid w:val="0016269F"/>
    <w:rsid w:val="001665EE"/>
    <w:rsid w:val="00166695"/>
    <w:rsid w:val="0016689C"/>
    <w:rsid w:val="00167B32"/>
    <w:rsid w:val="0017064C"/>
    <w:rsid w:val="00170911"/>
    <w:rsid w:val="00175B50"/>
    <w:rsid w:val="001760ED"/>
    <w:rsid w:val="0017691A"/>
    <w:rsid w:val="0017697F"/>
    <w:rsid w:val="001778F4"/>
    <w:rsid w:val="00177D81"/>
    <w:rsid w:val="00183564"/>
    <w:rsid w:val="0018441E"/>
    <w:rsid w:val="00187754"/>
    <w:rsid w:val="00190685"/>
    <w:rsid w:val="00190715"/>
    <w:rsid w:val="00191F8E"/>
    <w:rsid w:val="001923EA"/>
    <w:rsid w:val="00193AF8"/>
    <w:rsid w:val="00194EE0"/>
    <w:rsid w:val="00194EE2"/>
    <w:rsid w:val="00195501"/>
    <w:rsid w:val="001A00FC"/>
    <w:rsid w:val="001A0A26"/>
    <w:rsid w:val="001A21D5"/>
    <w:rsid w:val="001A293D"/>
    <w:rsid w:val="001A4C57"/>
    <w:rsid w:val="001A6B9B"/>
    <w:rsid w:val="001A7F7F"/>
    <w:rsid w:val="001B000C"/>
    <w:rsid w:val="001B0789"/>
    <w:rsid w:val="001B22B7"/>
    <w:rsid w:val="001B2D9E"/>
    <w:rsid w:val="001B3004"/>
    <w:rsid w:val="001B56BD"/>
    <w:rsid w:val="001B5E80"/>
    <w:rsid w:val="001B77FB"/>
    <w:rsid w:val="001B79C4"/>
    <w:rsid w:val="001C0C21"/>
    <w:rsid w:val="001C1066"/>
    <w:rsid w:val="001C2AF6"/>
    <w:rsid w:val="001C4A16"/>
    <w:rsid w:val="001C507C"/>
    <w:rsid w:val="001C62F2"/>
    <w:rsid w:val="001C6821"/>
    <w:rsid w:val="001C735A"/>
    <w:rsid w:val="001D084C"/>
    <w:rsid w:val="001D0AD4"/>
    <w:rsid w:val="001D1BAC"/>
    <w:rsid w:val="001D2D20"/>
    <w:rsid w:val="001D45FE"/>
    <w:rsid w:val="001D4D83"/>
    <w:rsid w:val="001D608D"/>
    <w:rsid w:val="001D65EC"/>
    <w:rsid w:val="001E07B9"/>
    <w:rsid w:val="001E0A29"/>
    <w:rsid w:val="001E0E77"/>
    <w:rsid w:val="001E2450"/>
    <w:rsid w:val="001E2DA7"/>
    <w:rsid w:val="001E3046"/>
    <w:rsid w:val="001E5208"/>
    <w:rsid w:val="001E6F2B"/>
    <w:rsid w:val="001F1ED7"/>
    <w:rsid w:val="001F2C27"/>
    <w:rsid w:val="001F46AE"/>
    <w:rsid w:val="001F584E"/>
    <w:rsid w:val="001F7188"/>
    <w:rsid w:val="001F7497"/>
    <w:rsid w:val="001F79AA"/>
    <w:rsid w:val="00200B6E"/>
    <w:rsid w:val="00201AC2"/>
    <w:rsid w:val="00202380"/>
    <w:rsid w:val="002032D3"/>
    <w:rsid w:val="002036B3"/>
    <w:rsid w:val="00204336"/>
    <w:rsid w:val="00205472"/>
    <w:rsid w:val="0020555A"/>
    <w:rsid w:val="00205C4A"/>
    <w:rsid w:val="00206B18"/>
    <w:rsid w:val="002070A9"/>
    <w:rsid w:val="00207490"/>
    <w:rsid w:val="002074A2"/>
    <w:rsid w:val="00210B62"/>
    <w:rsid w:val="00210BE9"/>
    <w:rsid w:val="00210EDC"/>
    <w:rsid w:val="0021106F"/>
    <w:rsid w:val="002126E6"/>
    <w:rsid w:val="00212779"/>
    <w:rsid w:val="00212B67"/>
    <w:rsid w:val="0021331F"/>
    <w:rsid w:val="00215BFA"/>
    <w:rsid w:val="00220EC6"/>
    <w:rsid w:val="00222D2E"/>
    <w:rsid w:val="0022477C"/>
    <w:rsid w:val="00224BB6"/>
    <w:rsid w:val="00225A28"/>
    <w:rsid w:val="00225FDF"/>
    <w:rsid w:val="00226343"/>
    <w:rsid w:val="002270E1"/>
    <w:rsid w:val="00230399"/>
    <w:rsid w:val="0023059D"/>
    <w:rsid w:val="002315CE"/>
    <w:rsid w:val="00233A5E"/>
    <w:rsid w:val="00233F4C"/>
    <w:rsid w:val="00234178"/>
    <w:rsid w:val="00234C0C"/>
    <w:rsid w:val="002379FD"/>
    <w:rsid w:val="00240A4B"/>
    <w:rsid w:val="00240B76"/>
    <w:rsid w:val="00241198"/>
    <w:rsid w:val="00242457"/>
    <w:rsid w:val="002435CD"/>
    <w:rsid w:val="00243FED"/>
    <w:rsid w:val="002452B0"/>
    <w:rsid w:val="00245868"/>
    <w:rsid w:val="0025275B"/>
    <w:rsid w:val="00252D9F"/>
    <w:rsid w:val="00253562"/>
    <w:rsid w:val="002545A5"/>
    <w:rsid w:val="00254721"/>
    <w:rsid w:val="00255959"/>
    <w:rsid w:val="002565DC"/>
    <w:rsid w:val="002604C6"/>
    <w:rsid w:val="0026097B"/>
    <w:rsid w:val="002620D3"/>
    <w:rsid w:val="00262FF0"/>
    <w:rsid w:val="002639F7"/>
    <w:rsid w:val="00263D2C"/>
    <w:rsid w:val="00265FD5"/>
    <w:rsid w:val="00267D64"/>
    <w:rsid w:val="002703C2"/>
    <w:rsid w:val="00271A39"/>
    <w:rsid w:val="00271D56"/>
    <w:rsid w:val="002721E6"/>
    <w:rsid w:val="002724BB"/>
    <w:rsid w:val="0027606F"/>
    <w:rsid w:val="00276845"/>
    <w:rsid w:val="00277F3E"/>
    <w:rsid w:val="002820B7"/>
    <w:rsid w:val="002823A8"/>
    <w:rsid w:val="00282CE3"/>
    <w:rsid w:val="0028333F"/>
    <w:rsid w:val="0028358E"/>
    <w:rsid w:val="00284513"/>
    <w:rsid w:val="0028463F"/>
    <w:rsid w:val="00285265"/>
    <w:rsid w:val="00285D04"/>
    <w:rsid w:val="00287CC8"/>
    <w:rsid w:val="00292111"/>
    <w:rsid w:val="00294255"/>
    <w:rsid w:val="002966B1"/>
    <w:rsid w:val="00297052"/>
    <w:rsid w:val="0029768B"/>
    <w:rsid w:val="002A0520"/>
    <w:rsid w:val="002A130F"/>
    <w:rsid w:val="002A2EF6"/>
    <w:rsid w:val="002A39E7"/>
    <w:rsid w:val="002A4131"/>
    <w:rsid w:val="002A5188"/>
    <w:rsid w:val="002A5407"/>
    <w:rsid w:val="002A5F0C"/>
    <w:rsid w:val="002B3127"/>
    <w:rsid w:val="002B4451"/>
    <w:rsid w:val="002B5539"/>
    <w:rsid w:val="002B5FAC"/>
    <w:rsid w:val="002C2D2F"/>
    <w:rsid w:val="002C3F97"/>
    <w:rsid w:val="002C4905"/>
    <w:rsid w:val="002C744B"/>
    <w:rsid w:val="002D0057"/>
    <w:rsid w:val="002D00F7"/>
    <w:rsid w:val="002D2580"/>
    <w:rsid w:val="002D42A3"/>
    <w:rsid w:val="002D47BD"/>
    <w:rsid w:val="002D5E90"/>
    <w:rsid w:val="002D6179"/>
    <w:rsid w:val="002D66F4"/>
    <w:rsid w:val="002D72F8"/>
    <w:rsid w:val="002E0E10"/>
    <w:rsid w:val="002E22A8"/>
    <w:rsid w:val="002E2847"/>
    <w:rsid w:val="002E2EB8"/>
    <w:rsid w:val="002E40CB"/>
    <w:rsid w:val="002E4DEF"/>
    <w:rsid w:val="002E55E5"/>
    <w:rsid w:val="002E696B"/>
    <w:rsid w:val="002E731E"/>
    <w:rsid w:val="002F0DF0"/>
    <w:rsid w:val="002F127B"/>
    <w:rsid w:val="002F1564"/>
    <w:rsid w:val="002F1F41"/>
    <w:rsid w:val="002F330D"/>
    <w:rsid w:val="002F6140"/>
    <w:rsid w:val="002F65EC"/>
    <w:rsid w:val="00300974"/>
    <w:rsid w:val="00300C11"/>
    <w:rsid w:val="00301610"/>
    <w:rsid w:val="00301B9E"/>
    <w:rsid w:val="003026E6"/>
    <w:rsid w:val="00302819"/>
    <w:rsid w:val="00302C61"/>
    <w:rsid w:val="003033A7"/>
    <w:rsid w:val="00303E0D"/>
    <w:rsid w:val="0030549B"/>
    <w:rsid w:val="003057D0"/>
    <w:rsid w:val="003058FE"/>
    <w:rsid w:val="00306FB7"/>
    <w:rsid w:val="00307410"/>
    <w:rsid w:val="00310084"/>
    <w:rsid w:val="00312277"/>
    <w:rsid w:val="003140E2"/>
    <w:rsid w:val="00314880"/>
    <w:rsid w:val="00315293"/>
    <w:rsid w:val="00317C37"/>
    <w:rsid w:val="00320E09"/>
    <w:rsid w:val="00324CF9"/>
    <w:rsid w:val="00325527"/>
    <w:rsid w:val="003258FA"/>
    <w:rsid w:val="00325CB3"/>
    <w:rsid w:val="0032618D"/>
    <w:rsid w:val="00326965"/>
    <w:rsid w:val="0032753E"/>
    <w:rsid w:val="00330BBF"/>
    <w:rsid w:val="00331295"/>
    <w:rsid w:val="00332F26"/>
    <w:rsid w:val="003341B4"/>
    <w:rsid w:val="00335B07"/>
    <w:rsid w:val="00336029"/>
    <w:rsid w:val="00336AA1"/>
    <w:rsid w:val="00340CE1"/>
    <w:rsid w:val="00340EEB"/>
    <w:rsid w:val="0034224F"/>
    <w:rsid w:val="003429A3"/>
    <w:rsid w:val="00343E61"/>
    <w:rsid w:val="00344A08"/>
    <w:rsid w:val="003454FC"/>
    <w:rsid w:val="003462CF"/>
    <w:rsid w:val="003479F5"/>
    <w:rsid w:val="00347A04"/>
    <w:rsid w:val="00350021"/>
    <w:rsid w:val="00351694"/>
    <w:rsid w:val="003531CB"/>
    <w:rsid w:val="003546D8"/>
    <w:rsid w:val="00355FE2"/>
    <w:rsid w:val="0035730C"/>
    <w:rsid w:val="00357847"/>
    <w:rsid w:val="003602F7"/>
    <w:rsid w:val="003605B3"/>
    <w:rsid w:val="003623E5"/>
    <w:rsid w:val="0036504C"/>
    <w:rsid w:val="00365C1A"/>
    <w:rsid w:val="00366566"/>
    <w:rsid w:val="00366D6F"/>
    <w:rsid w:val="00367D6B"/>
    <w:rsid w:val="00370E32"/>
    <w:rsid w:val="0037138F"/>
    <w:rsid w:val="00371E13"/>
    <w:rsid w:val="00373A43"/>
    <w:rsid w:val="003750E2"/>
    <w:rsid w:val="003761E5"/>
    <w:rsid w:val="00377BAB"/>
    <w:rsid w:val="00377D80"/>
    <w:rsid w:val="00380662"/>
    <w:rsid w:val="003816A7"/>
    <w:rsid w:val="00383602"/>
    <w:rsid w:val="00383BBE"/>
    <w:rsid w:val="003846B7"/>
    <w:rsid w:val="00386A14"/>
    <w:rsid w:val="00387957"/>
    <w:rsid w:val="00392036"/>
    <w:rsid w:val="00392BC1"/>
    <w:rsid w:val="00392C61"/>
    <w:rsid w:val="00393472"/>
    <w:rsid w:val="00393C5F"/>
    <w:rsid w:val="003947EE"/>
    <w:rsid w:val="00395BE2"/>
    <w:rsid w:val="00395EB9"/>
    <w:rsid w:val="003975BC"/>
    <w:rsid w:val="003A0484"/>
    <w:rsid w:val="003A2C46"/>
    <w:rsid w:val="003A572E"/>
    <w:rsid w:val="003B013F"/>
    <w:rsid w:val="003B15A3"/>
    <w:rsid w:val="003B2001"/>
    <w:rsid w:val="003B342F"/>
    <w:rsid w:val="003B3A50"/>
    <w:rsid w:val="003B596D"/>
    <w:rsid w:val="003B7835"/>
    <w:rsid w:val="003C261B"/>
    <w:rsid w:val="003C27D2"/>
    <w:rsid w:val="003C70B9"/>
    <w:rsid w:val="003C7900"/>
    <w:rsid w:val="003D054A"/>
    <w:rsid w:val="003D1C09"/>
    <w:rsid w:val="003D3D78"/>
    <w:rsid w:val="003D5FC7"/>
    <w:rsid w:val="003D61D7"/>
    <w:rsid w:val="003D6947"/>
    <w:rsid w:val="003D6E9C"/>
    <w:rsid w:val="003E0136"/>
    <w:rsid w:val="003E1094"/>
    <w:rsid w:val="003E15C7"/>
    <w:rsid w:val="003E19B3"/>
    <w:rsid w:val="003E33F9"/>
    <w:rsid w:val="003E3B04"/>
    <w:rsid w:val="003E6CFB"/>
    <w:rsid w:val="003E7B03"/>
    <w:rsid w:val="003E7C79"/>
    <w:rsid w:val="003E7EAF"/>
    <w:rsid w:val="003F049B"/>
    <w:rsid w:val="003F0E14"/>
    <w:rsid w:val="003F17B6"/>
    <w:rsid w:val="003F2155"/>
    <w:rsid w:val="003F2D41"/>
    <w:rsid w:val="003F4411"/>
    <w:rsid w:val="003F78DB"/>
    <w:rsid w:val="00400FB2"/>
    <w:rsid w:val="004015C3"/>
    <w:rsid w:val="004015E1"/>
    <w:rsid w:val="00402BCB"/>
    <w:rsid w:val="004048C1"/>
    <w:rsid w:val="00404B54"/>
    <w:rsid w:val="00404F27"/>
    <w:rsid w:val="00406988"/>
    <w:rsid w:val="00406ECF"/>
    <w:rsid w:val="004070DB"/>
    <w:rsid w:val="00407FAE"/>
    <w:rsid w:val="00411E11"/>
    <w:rsid w:val="00413144"/>
    <w:rsid w:val="00415F25"/>
    <w:rsid w:val="004166E4"/>
    <w:rsid w:val="00420A19"/>
    <w:rsid w:val="00420ACA"/>
    <w:rsid w:val="00420FAB"/>
    <w:rsid w:val="00421F82"/>
    <w:rsid w:val="00424797"/>
    <w:rsid w:val="00425CF6"/>
    <w:rsid w:val="0043092E"/>
    <w:rsid w:val="00431087"/>
    <w:rsid w:val="00431C92"/>
    <w:rsid w:val="00432464"/>
    <w:rsid w:val="00433B27"/>
    <w:rsid w:val="00434712"/>
    <w:rsid w:val="00436041"/>
    <w:rsid w:val="0043705D"/>
    <w:rsid w:val="00437B38"/>
    <w:rsid w:val="00441841"/>
    <w:rsid w:val="00442FD7"/>
    <w:rsid w:val="00443318"/>
    <w:rsid w:val="004434D8"/>
    <w:rsid w:val="00443BFC"/>
    <w:rsid w:val="0044490D"/>
    <w:rsid w:val="00445799"/>
    <w:rsid w:val="004460AC"/>
    <w:rsid w:val="00446417"/>
    <w:rsid w:val="00447341"/>
    <w:rsid w:val="00451F60"/>
    <w:rsid w:val="004526C0"/>
    <w:rsid w:val="00453486"/>
    <w:rsid w:val="00453C1F"/>
    <w:rsid w:val="00455D24"/>
    <w:rsid w:val="00456093"/>
    <w:rsid w:val="00456569"/>
    <w:rsid w:val="00456837"/>
    <w:rsid w:val="0045691C"/>
    <w:rsid w:val="00456928"/>
    <w:rsid w:val="00456F69"/>
    <w:rsid w:val="00456F6F"/>
    <w:rsid w:val="00457452"/>
    <w:rsid w:val="00460CDF"/>
    <w:rsid w:val="00461FB2"/>
    <w:rsid w:val="00462613"/>
    <w:rsid w:val="00463A18"/>
    <w:rsid w:val="00463F83"/>
    <w:rsid w:val="00466570"/>
    <w:rsid w:val="004671B7"/>
    <w:rsid w:val="00467407"/>
    <w:rsid w:val="00467734"/>
    <w:rsid w:val="00470DA2"/>
    <w:rsid w:val="00470F09"/>
    <w:rsid w:val="00475412"/>
    <w:rsid w:val="004755CF"/>
    <w:rsid w:val="00477339"/>
    <w:rsid w:val="0048077F"/>
    <w:rsid w:val="00482DE1"/>
    <w:rsid w:val="00483B43"/>
    <w:rsid w:val="0049065C"/>
    <w:rsid w:val="00491860"/>
    <w:rsid w:val="00492E31"/>
    <w:rsid w:val="00493C94"/>
    <w:rsid w:val="00494814"/>
    <w:rsid w:val="0049526F"/>
    <w:rsid w:val="004953E3"/>
    <w:rsid w:val="004972C4"/>
    <w:rsid w:val="00497664"/>
    <w:rsid w:val="004A330D"/>
    <w:rsid w:val="004A53EF"/>
    <w:rsid w:val="004A5411"/>
    <w:rsid w:val="004A7637"/>
    <w:rsid w:val="004A784D"/>
    <w:rsid w:val="004A7B1C"/>
    <w:rsid w:val="004B00E2"/>
    <w:rsid w:val="004B4188"/>
    <w:rsid w:val="004B47E4"/>
    <w:rsid w:val="004B52B2"/>
    <w:rsid w:val="004B53EC"/>
    <w:rsid w:val="004B772D"/>
    <w:rsid w:val="004C2797"/>
    <w:rsid w:val="004C28FB"/>
    <w:rsid w:val="004C3520"/>
    <w:rsid w:val="004C4863"/>
    <w:rsid w:val="004C4867"/>
    <w:rsid w:val="004C4A17"/>
    <w:rsid w:val="004C5775"/>
    <w:rsid w:val="004C7AF3"/>
    <w:rsid w:val="004C7B85"/>
    <w:rsid w:val="004D08CD"/>
    <w:rsid w:val="004D1697"/>
    <w:rsid w:val="004D350D"/>
    <w:rsid w:val="004D35D0"/>
    <w:rsid w:val="004D3650"/>
    <w:rsid w:val="004D4D19"/>
    <w:rsid w:val="004D7677"/>
    <w:rsid w:val="004D7C50"/>
    <w:rsid w:val="004D7F58"/>
    <w:rsid w:val="004E0224"/>
    <w:rsid w:val="004E0323"/>
    <w:rsid w:val="004E1585"/>
    <w:rsid w:val="004E15E9"/>
    <w:rsid w:val="004E186F"/>
    <w:rsid w:val="004E3AF5"/>
    <w:rsid w:val="004E4ABA"/>
    <w:rsid w:val="004E5143"/>
    <w:rsid w:val="004E5204"/>
    <w:rsid w:val="004E5252"/>
    <w:rsid w:val="004E6A96"/>
    <w:rsid w:val="004E6B8C"/>
    <w:rsid w:val="004E7218"/>
    <w:rsid w:val="004F02C1"/>
    <w:rsid w:val="004F208D"/>
    <w:rsid w:val="004F20B0"/>
    <w:rsid w:val="004F2DD5"/>
    <w:rsid w:val="004F31A8"/>
    <w:rsid w:val="004F4A93"/>
    <w:rsid w:val="004F5D27"/>
    <w:rsid w:val="004F66B5"/>
    <w:rsid w:val="004F6D3F"/>
    <w:rsid w:val="00500086"/>
    <w:rsid w:val="00500597"/>
    <w:rsid w:val="005014CE"/>
    <w:rsid w:val="00503E88"/>
    <w:rsid w:val="005044E5"/>
    <w:rsid w:val="00506080"/>
    <w:rsid w:val="0050671E"/>
    <w:rsid w:val="00510273"/>
    <w:rsid w:val="005109D0"/>
    <w:rsid w:val="00510D88"/>
    <w:rsid w:val="00510DC4"/>
    <w:rsid w:val="00511646"/>
    <w:rsid w:val="0051201B"/>
    <w:rsid w:val="00515DE5"/>
    <w:rsid w:val="005162B9"/>
    <w:rsid w:val="00520A6C"/>
    <w:rsid w:val="00520D08"/>
    <w:rsid w:val="0052121B"/>
    <w:rsid w:val="00521582"/>
    <w:rsid w:val="00521836"/>
    <w:rsid w:val="00522A2F"/>
    <w:rsid w:val="00524C0D"/>
    <w:rsid w:val="00524C42"/>
    <w:rsid w:val="005268FB"/>
    <w:rsid w:val="005273D1"/>
    <w:rsid w:val="0052782D"/>
    <w:rsid w:val="005315E7"/>
    <w:rsid w:val="005317EB"/>
    <w:rsid w:val="00533DCA"/>
    <w:rsid w:val="0053520D"/>
    <w:rsid w:val="00535A99"/>
    <w:rsid w:val="00536837"/>
    <w:rsid w:val="005405AB"/>
    <w:rsid w:val="00541128"/>
    <w:rsid w:val="00541F7A"/>
    <w:rsid w:val="00542134"/>
    <w:rsid w:val="005421D6"/>
    <w:rsid w:val="00543B99"/>
    <w:rsid w:val="00544AF4"/>
    <w:rsid w:val="00545797"/>
    <w:rsid w:val="00546E31"/>
    <w:rsid w:val="0054701E"/>
    <w:rsid w:val="0054768B"/>
    <w:rsid w:val="00550FE2"/>
    <w:rsid w:val="005516E1"/>
    <w:rsid w:val="00553AFC"/>
    <w:rsid w:val="00553D0D"/>
    <w:rsid w:val="00556065"/>
    <w:rsid w:val="005566E4"/>
    <w:rsid w:val="005569DE"/>
    <w:rsid w:val="00557D5E"/>
    <w:rsid w:val="00557DB5"/>
    <w:rsid w:val="00560698"/>
    <w:rsid w:val="00561B85"/>
    <w:rsid w:val="005622A8"/>
    <w:rsid w:val="00562C01"/>
    <w:rsid w:val="0056364B"/>
    <w:rsid w:val="0056706E"/>
    <w:rsid w:val="0056756A"/>
    <w:rsid w:val="0056759E"/>
    <w:rsid w:val="0057211C"/>
    <w:rsid w:val="00572A1B"/>
    <w:rsid w:val="00573103"/>
    <w:rsid w:val="005736B1"/>
    <w:rsid w:val="00574710"/>
    <w:rsid w:val="005764B8"/>
    <w:rsid w:val="005805BA"/>
    <w:rsid w:val="00581177"/>
    <w:rsid w:val="005824F4"/>
    <w:rsid w:val="00582F88"/>
    <w:rsid w:val="00584C7B"/>
    <w:rsid w:val="0058534C"/>
    <w:rsid w:val="005853AA"/>
    <w:rsid w:val="00587C70"/>
    <w:rsid w:val="0059185E"/>
    <w:rsid w:val="00592B4D"/>
    <w:rsid w:val="005937B1"/>
    <w:rsid w:val="00593B9E"/>
    <w:rsid w:val="005969DE"/>
    <w:rsid w:val="00596F2A"/>
    <w:rsid w:val="00597244"/>
    <w:rsid w:val="00597A34"/>
    <w:rsid w:val="00597B58"/>
    <w:rsid w:val="00597C00"/>
    <w:rsid w:val="005A1358"/>
    <w:rsid w:val="005A1CC5"/>
    <w:rsid w:val="005A1CD1"/>
    <w:rsid w:val="005A3C3A"/>
    <w:rsid w:val="005A3CF4"/>
    <w:rsid w:val="005A3E69"/>
    <w:rsid w:val="005A434D"/>
    <w:rsid w:val="005A45EE"/>
    <w:rsid w:val="005A6127"/>
    <w:rsid w:val="005A65D0"/>
    <w:rsid w:val="005A71A0"/>
    <w:rsid w:val="005A74E9"/>
    <w:rsid w:val="005B1524"/>
    <w:rsid w:val="005B1733"/>
    <w:rsid w:val="005B1AED"/>
    <w:rsid w:val="005B1C20"/>
    <w:rsid w:val="005B262D"/>
    <w:rsid w:val="005B3B0D"/>
    <w:rsid w:val="005B3FE4"/>
    <w:rsid w:val="005B5B86"/>
    <w:rsid w:val="005C1067"/>
    <w:rsid w:val="005C17B3"/>
    <w:rsid w:val="005C1BE3"/>
    <w:rsid w:val="005C1E98"/>
    <w:rsid w:val="005C384E"/>
    <w:rsid w:val="005C4212"/>
    <w:rsid w:val="005C548C"/>
    <w:rsid w:val="005C6A98"/>
    <w:rsid w:val="005C7720"/>
    <w:rsid w:val="005D0E89"/>
    <w:rsid w:val="005D2999"/>
    <w:rsid w:val="005D38B6"/>
    <w:rsid w:val="005D3C16"/>
    <w:rsid w:val="005D6063"/>
    <w:rsid w:val="005D6559"/>
    <w:rsid w:val="005D67ED"/>
    <w:rsid w:val="005D7CD4"/>
    <w:rsid w:val="005D7F70"/>
    <w:rsid w:val="005E1699"/>
    <w:rsid w:val="005E1C20"/>
    <w:rsid w:val="005E306D"/>
    <w:rsid w:val="005E3697"/>
    <w:rsid w:val="005E3F08"/>
    <w:rsid w:val="005E53F4"/>
    <w:rsid w:val="005E6948"/>
    <w:rsid w:val="005E72C4"/>
    <w:rsid w:val="005F0BD9"/>
    <w:rsid w:val="005F124E"/>
    <w:rsid w:val="005F13F3"/>
    <w:rsid w:val="005F1A3C"/>
    <w:rsid w:val="005F34D3"/>
    <w:rsid w:val="005F592E"/>
    <w:rsid w:val="005F5CF7"/>
    <w:rsid w:val="005F5E1E"/>
    <w:rsid w:val="005F6836"/>
    <w:rsid w:val="005F6E11"/>
    <w:rsid w:val="005F6E21"/>
    <w:rsid w:val="005F72E4"/>
    <w:rsid w:val="005F7DCF"/>
    <w:rsid w:val="006005E6"/>
    <w:rsid w:val="00601D6F"/>
    <w:rsid w:val="00603CD2"/>
    <w:rsid w:val="00605536"/>
    <w:rsid w:val="0061095C"/>
    <w:rsid w:val="00610A97"/>
    <w:rsid w:val="006116AF"/>
    <w:rsid w:val="006119A9"/>
    <w:rsid w:val="006128E0"/>
    <w:rsid w:val="0061396F"/>
    <w:rsid w:val="00613C73"/>
    <w:rsid w:val="00614303"/>
    <w:rsid w:val="00615311"/>
    <w:rsid w:val="006160B6"/>
    <w:rsid w:val="00617BBE"/>
    <w:rsid w:val="00617E36"/>
    <w:rsid w:val="006209F6"/>
    <w:rsid w:val="006212E3"/>
    <w:rsid w:val="00621DBE"/>
    <w:rsid w:val="00623554"/>
    <w:rsid w:val="00625C8A"/>
    <w:rsid w:val="00625D43"/>
    <w:rsid w:val="00626A7D"/>
    <w:rsid w:val="00630AEE"/>
    <w:rsid w:val="00631F6E"/>
    <w:rsid w:val="00632799"/>
    <w:rsid w:val="00633300"/>
    <w:rsid w:val="00635162"/>
    <w:rsid w:val="0063609A"/>
    <w:rsid w:val="00636B26"/>
    <w:rsid w:val="00637049"/>
    <w:rsid w:val="00641DAE"/>
    <w:rsid w:val="00645D04"/>
    <w:rsid w:val="00646073"/>
    <w:rsid w:val="0064746B"/>
    <w:rsid w:val="00652334"/>
    <w:rsid w:val="0065266E"/>
    <w:rsid w:val="0065373F"/>
    <w:rsid w:val="00654EFA"/>
    <w:rsid w:val="0065623A"/>
    <w:rsid w:val="00657B3F"/>
    <w:rsid w:val="006603DB"/>
    <w:rsid w:val="00661BC1"/>
    <w:rsid w:val="00662DD3"/>
    <w:rsid w:val="00665233"/>
    <w:rsid w:val="00665C9B"/>
    <w:rsid w:val="006701A6"/>
    <w:rsid w:val="006701D5"/>
    <w:rsid w:val="0067022C"/>
    <w:rsid w:val="0067190C"/>
    <w:rsid w:val="00673395"/>
    <w:rsid w:val="00676259"/>
    <w:rsid w:val="00676C32"/>
    <w:rsid w:val="00677628"/>
    <w:rsid w:val="00680876"/>
    <w:rsid w:val="0068110B"/>
    <w:rsid w:val="00681510"/>
    <w:rsid w:val="006821E1"/>
    <w:rsid w:val="006829CB"/>
    <w:rsid w:val="00683EB8"/>
    <w:rsid w:val="00684081"/>
    <w:rsid w:val="00685C7D"/>
    <w:rsid w:val="0068661F"/>
    <w:rsid w:val="00687779"/>
    <w:rsid w:val="00690528"/>
    <w:rsid w:val="00692319"/>
    <w:rsid w:val="006949AA"/>
    <w:rsid w:val="00694EFA"/>
    <w:rsid w:val="00695BF3"/>
    <w:rsid w:val="00695E21"/>
    <w:rsid w:val="00696ABC"/>
    <w:rsid w:val="006A0AA3"/>
    <w:rsid w:val="006A25D9"/>
    <w:rsid w:val="006A2C79"/>
    <w:rsid w:val="006A3759"/>
    <w:rsid w:val="006A4567"/>
    <w:rsid w:val="006A59AC"/>
    <w:rsid w:val="006A6F9A"/>
    <w:rsid w:val="006B136E"/>
    <w:rsid w:val="006B1417"/>
    <w:rsid w:val="006B1B3C"/>
    <w:rsid w:val="006B3671"/>
    <w:rsid w:val="006B5B06"/>
    <w:rsid w:val="006B67E1"/>
    <w:rsid w:val="006B6EBF"/>
    <w:rsid w:val="006C3AB9"/>
    <w:rsid w:val="006C3C68"/>
    <w:rsid w:val="006C4476"/>
    <w:rsid w:val="006C6BDF"/>
    <w:rsid w:val="006C6C63"/>
    <w:rsid w:val="006C6DE2"/>
    <w:rsid w:val="006D0445"/>
    <w:rsid w:val="006D04C8"/>
    <w:rsid w:val="006D0C7A"/>
    <w:rsid w:val="006D21DF"/>
    <w:rsid w:val="006D3B02"/>
    <w:rsid w:val="006D3DB6"/>
    <w:rsid w:val="006D4639"/>
    <w:rsid w:val="006D5045"/>
    <w:rsid w:val="006D5567"/>
    <w:rsid w:val="006E00A7"/>
    <w:rsid w:val="006E06E4"/>
    <w:rsid w:val="006E2903"/>
    <w:rsid w:val="006E3CC6"/>
    <w:rsid w:val="006E3F08"/>
    <w:rsid w:val="006E41AD"/>
    <w:rsid w:val="006E5568"/>
    <w:rsid w:val="006E5586"/>
    <w:rsid w:val="006F0618"/>
    <w:rsid w:val="006F0907"/>
    <w:rsid w:val="006F2B2D"/>
    <w:rsid w:val="006F2DCA"/>
    <w:rsid w:val="006F3282"/>
    <w:rsid w:val="006F3BF9"/>
    <w:rsid w:val="006F3ED9"/>
    <w:rsid w:val="006F42B5"/>
    <w:rsid w:val="006F4589"/>
    <w:rsid w:val="006F5078"/>
    <w:rsid w:val="006F5774"/>
    <w:rsid w:val="006F7706"/>
    <w:rsid w:val="007026BC"/>
    <w:rsid w:val="00702C5D"/>
    <w:rsid w:val="00703120"/>
    <w:rsid w:val="00703664"/>
    <w:rsid w:val="00705E61"/>
    <w:rsid w:val="0071006D"/>
    <w:rsid w:val="00710C22"/>
    <w:rsid w:val="00711BFD"/>
    <w:rsid w:val="007133DB"/>
    <w:rsid w:val="00713DE1"/>
    <w:rsid w:val="00714341"/>
    <w:rsid w:val="007149DE"/>
    <w:rsid w:val="00716A3D"/>
    <w:rsid w:val="007178E5"/>
    <w:rsid w:val="007200EC"/>
    <w:rsid w:val="007217D6"/>
    <w:rsid w:val="007219DF"/>
    <w:rsid w:val="00722104"/>
    <w:rsid w:val="00722248"/>
    <w:rsid w:val="00722F89"/>
    <w:rsid w:val="00726C9B"/>
    <w:rsid w:val="00726D64"/>
    <w:rsid w:val="00731E9B"/>
    <w:rsid w:val="00732065"/>
    <w:rsid w:val="007321DF"/>
    <w:rsid w:val="00732D1A"/>
    <w:rsid w:val="00733E53"/>
    <w:rsid w:val="0073425D"/>
    <w:rsid w:val="00735B11"/>
    <w:rsid w:val="00737ADC"/>
    <w:rsid w:val="007419DA"/>
    <w:rsid w:val="00742B05"/>
    <w:rsid w:val="007459F5"/>
    <w:rsid w:val="0074605C"/>
    <w:rsid w:val="007465C2"/>
    <w:rsid w:val="00747397"/>
    <w:rsid w:val="00747CE2"/>
    <w:rsid w:val="00750300"/>
    <w:rsid w:val="00751D2C"/>
    <w:rsid w:val="007527AE"/>
    <w:rsid w:val="007554BF"/>
    <w:rsid w:val="00755C71"/>
    <w:rsid w:val="007566DA"/>
    <w:rsid w:val="00757895"/>
    <w:rsid w:val="00760C67"/>
    <w:rsid w:val="00762DCF"/>
    <w:rsid w:val="00763312"/>
    <w:rsid w:val="007634AC"/>
    <w:rsid w:val="007636B0"/>
    <w:rsid w:val="00764C58"/>
    <w:rsid w:val="0076509D"/>
    <w:rsid w:val="00765D6F"/>
    <w:rsid w:val="00771D16"/>
    <w:rsid w:val="007742CD"/>
    <w:rsid w:val="007747A1"/>
    <w:rsid w:val="00774876"/>
    <w:rsid w:val="0077543D"/>
    <w:rsid w:val="00777431"/>
    <w:rsid w:val="00780AE4"/>
    <w:rsid w:val="00781C1B"/>
    <w:rsid w:val="007824F5"/>
    <w:rsid w:val="007849DD"/>
    <w:rsid w:val="0078526E"/>
    <w:rsid w:val="00785A35"/>
    <w:rsid w:val="00786C60"/>
    <w:rsid w:val="00787FE6"/>
    <w:rsid w:val="00791379"/>
    <w:rsid w:val="00792AB7"/>
    <w:rsid w:val="00795A10"/>
    <w:rsid w:val="00795A16"/>
    <w:rsid w:val="0079630E"/>
    <w:rsid w:val="00796A70"/>
    <w:rsid w:val="00796C22"/>
    <w:rsid w:val="007A05B9"/>
    <w:rsid w:val="007A227D"/>
    <w:rsid w:val="007A267B"/>
    <w:rsid w:val="007A38C6"/>
    <w:rsid w:val="007A3E99"/>
    <w:rsid w:val="007A42B8"/>
    <w:rsid w:val="007A47D1"/>
    <w:rsid w:val="007A5A60"/>
    <w:rsid w:val="007A6CFB"/>
    <w:rsid w:val="007B0A9D"/>
    <w:rsid w:val="007B0FF6"/>
    <w:rsid w:val="007B1621"/>
    <w:rsid w:val="007B1C12"/>
    <w:rsid w:val="007B4336"/>
    <w:rsid w:val="007B4CC9"/>
    <w:rsid w:val="007B580C"/>
    <w:rsid w:val="007B6908"/>
    <w:rsid w:val="007C04EC"/>
    <w:rsid w:val="007C0910"/>
    <w:rsid w:val="007C12A0"/>
    <w:rsid w:val="007C29C6"/>
    <w:rsid w:val="007C3C65"/>
    <w:rsid w:val="007C4029"/>
    <w:rsid w:val="007C6071"/>
    <w:rsid w:val="007C76B6"/>
    <w:rsid w:val="007D03D2"/>
    <w:rsid w:val="007D0BA4"/>
    <w:rsid w:val="007D148E"/>
    <w:rsid w:val="007D1C64"/>
    <w:rsid w:val="007D2D25"/>
    <w:rsid w:val="007D3637"/>
    <w:rsid w:val="007D3985"/>
    <w:rsid w:val="007D3CAC"/>
    <w:rsid w:val="007D43C5"/>
    <w:rsid w:val="007D45BD"/>
    <w:rsid w:val="007D46C7"/>
    <w:rsid w:val="007D5044"/>
    <w:rsid w:val="007D53FE"/>
    <w:rsid w:val="007D5657"/>
    <w:rsid w:val="007D5D5F"/>
    <w:rsid w:val="007D78B4"/>
    <w:rsid w:val="007E20BA"/>
    <w:rsid w:val="007E24BE"/>
    <w:rsid w:val="007E3CDE"/>
    <w:rsid w:val="007E3D3D"/>
    <w:rsid w:val="007E65CF"/>
    <w:rsid w:val="007E7655"/>
    <w:rsid w:val="007F0216"/>
    <w:rsid w:val="007F03B0"/>
    <w:rsid w:val="007F20C9"/>
    <w:rsid w:val="007F4451"/>
    <w:rsid w:val="007F5930"/>
    <w:rsid w:val="007F6CE5"/>
    <w:rsid w:val="0080047A"/>
    <w:rsid w:val="00800A84"/>
    <w:rsid w:val="00800C95"/>
    <w:rsid w:val="00801AD0"/>
    <w:rsid w:val="00802223"/>
    <w:rsid w:val="0080230A"/>
    <w:rsid w:val="00803F61"/>
    <w:rsid w:val="0080582F"/>
    <w:rsid w:val="00805E83"/>
    <w:rsid w:val="00807C74"/>
    <w:rsid w:val="00807D69"/>
    <w:rsid w:val="00812C7C"/>
    <w:rsid w:val="00813AA7"/>
    <w:rsid w:val="008148C8"/>
    <w:rsid w:val="00815DDE"/>
    <w:rsid w:val="00815E42"/>
    <w:rsid w:val="00816584"/>
    <w:rsid w:val="00817338"/>
    <w:rsid w:val="00817566"/>
    <w:rsid w:val="0082135C"/>
    <w:rsid w:val="00822D7D"/>
    <w:rsid w:val="00825507"/>
    <w:rsid w:val="008255C3"/>
    <w:rsid w:val="00825A69"/>
    <w:rsid w:val="0083004A"/>
    <w:rsid w:val="0083073A"/>
    <w:rsid w:val="00830D7A"/>
    <w:rsid w:val="00832447"/>
    <w:rsid w:val="00832511"/>
    <w:rsid w:val="008336F5"/>
    <w:rsid w:val="00834DC3"/>
    <w:rsid w:val="00840CEA"/>
    <w:rsid w:val="00840E8A"/>
    <w:rsid w:val="00842C14"/>
    <w:rsid w:val="008443CB"/>
    <w:rsid w:val="0084636F"/>
    <w:rsid w:val="008467B7"/>
    <w:rsid w:val="00847A88"/>
    <w:rsid w:val="00847D9A"/>
    <w:rsid w:val="008511D0"/>
    <w:rsid w:val="00851A9F"/>
    <w:rsid w:val="00852503"/>
    <w:rsid w:val="00853B77"/>
    <w:rsid w:val="00855BA3"/>
    <w:rsid w:val="00855F5C"/>
    <w:rsid w:val="00857D1D"/>
    <w:rsid w:val="00860389"/>
    <w:rsid w:val="00861063"/>
    <w:rsid w:val="008613BC"/>
    <w:rsid w:val="00862F63"/>
    <w:rsid w:val="008631BC"/>
    <w:rsid w:val="0086356B"/>
    <w:rsid w:val="008640BA"/>
    <w:rsid w:val="00864152"/>
    <w:rsid w:val="0086463A"/>
    <w:rsid w:val="008652A9"/>
    <w:rsid w:val="00867146"/>
    <w:rsid w:val="00870C2D"/>
    <w:rsid w:val="008734FE"/>
    <w:rsid w:val="008735D6"/>
    <w:rsid w:val="008739E4"/>
    <w:rsid w:val="00874AC7"/>
    <w:rsid w:val="00874B3D"/>
    <w:rsid w:val="00874D45"/>
    <w:rsid w:val="00874FF8"/>
    <w:rsid w:val="008767C3"/>
    <w:rsid w:val="008770A5"/>
    <w:rsid w:val="0087772C"/>
    <w:rsid w:val="00880209"/>
    <w:rsid w:val="00880E9F"/>
    <w:rsid w:val="00881874"/>
    <w:rsid w:val="008828FB"/>
    <w:rsid w:val="00883320"/>
    <w:rsid w:val="0088341B"/>
    <w:rsid w:val="00890C39"/>
    <w:rsid w:val="0089273D"/>
    <w:rsid w:val="008927E3"/>
    <w:rsid w:val="00893201"/>
    <w:rsid w:val="00895137"/>
    <w:rsid w:val="00895161"/>
    <w:rsid w:val="00895359"/>
    <w:rsid w:val="00895E91"/>
    <w:rsid w:val="00897DC0"/>
    <w:rsid w:val="008A0C7F"/>
    <w:rsid w:val="008A1A95"/>
    <w:rsid w:val="008A2B33"/>
    <w:rsid w:val="008A4D90"/>
    <w:rsid w:val="008A5F92"/>
    <w:rsid w:val="008A69D2"/>
    <w:rsid w:val="008A709F"/>
    <w:rsid w:val="008A7962"/>
    <w:rsid w:val="008B0D73"/>
    <w:rsid w:val="008B1CEC"/>
    <w:rsid w:val="008B1DCE"/>
    <w:rsid w:val="008B441D"/>
    <w:rsid w:val="008B52A2"/>
    <w:rsid w:val="008B5619"/>
    <w:rsid w:val="008B66F8"/>
    <w:rsid w:val="008B7BA7"/>
    <w:rsid w:val="008C17B2"/>
    <w:rsid w:val="008C2036"/>
    <w:rsid w:val="008C22C6"/>
    <w:rsid w:val="008C4650"/>
    <w:rsid w:val="008C4DF5"/>
    <w:rsid w:val="008C7541"/>
    <w:rsid w:val="008D137D"/>
    <w:rsid w:val="008D342E"/>
    <w:rsid w:val="008D7484"/>
    <w:rsid w:val="008D7F4E"/>
    <w:rsid w:val="008E1953"/>
    <w:rsid w:val="008E272A"/>
    <w:rsid w:val="008E3703"/>
    <w:rsid w:val="008E3708"/>
    <w:rsid w:val="008E3ADA"/>
    <w:rsid w:val="008E448B"/>
    <w:rsid w:val="008E603C"/>
    <w:rsid w:val="008E694D"/>
    <w:rsid w:val="008E7595"/>
    <w:rsid w:val="008E7874"/>
    <w:rsid w:val="008E7E66"/>
    <w:rsid w:val="008F0191"/>
    <w:rsid w:val="008F0D50"/>
    <w:rsid w:val="008F2DBB"/>
    <w:rsid w:val="008F6391"/>
    <w:rsid w:val="008F63C4"/>
    <w:rsid w:val="008F6C47"/>
    <w:rsid w:val="009000C6"/>
    <w:rsid w:val="009027EA"/>
    <w:rsid w:val="00902F53"/>
    <w:rsid w:val="009058C0"/>
    <w:rsid w:val="00906FDE"/>
    <w:rsid w:val="009071A5"/>
    <w:rsid w:val="009144E8"/>
    <w:rsid w:val="00914F21"/>
    <w:rsid w:val="0091590A"/>
    <w:rsid w:val="009164EC"/>
    <w:rsid w:val="0091660A"/>
    <w:rsid w:val="0091737F"/>
    <w:rsid w:val="00917946"/>
    <w:rsid w:val="0092062B"/>
    <w:rsid w:val="00920B03"/>
    <w:rsid w:val="009219D3"/>
    <w:rsid w:val="00921DE8"/>
    <w:rsid w:val="009222BB"/>
    <w:rsid w:val="009243BC"/>
    <w:rsid w:val="00924E7A"/>
    <w:rsid w:val="00927429"/>
    <w:rsid w:val="00927A99"/>
    <w:rsid w:val="009308FE"/>
    <w:rsid w:val="00930FC3"/>
    <w:rsid w:val="009310C6"/>
    <w:rsid w:val="00932412"/>
    <w:rsid w:val="009329AC"/>
    <w:rsid w:val="0093491A"/>
    <w:rsid w:val="00936436"/>
    <w:rsid w:val="00940B60"/>
    <w:rsid w:val="00940BFA"/>
    <w:rsid w:val="00943F18"/>
    <w:rsid w:val="00944EBB"/>
    <w:rsid w:val="00946305"/>
    <w:rsid w:val="00947148"/>
    <w:rsid w:val="00947C73"/>
    <w:rsid w:val="00947D6F"/>
    <w:rsid w:val="00947E4E"/>
    <w:rsid w:val="0095122A"/>
    <w:rsid w:val="009526F8"/>
    <w:rsid w:val="00952C29"/>
    <w:rsid w:val="009534A9"/>
    <w:rsid w:val="00953E4C"/>
    <w:rsid w:val="00954A7C"/>
    <w:rsid w:val="0095582C"/>
    <w:rsid w:val="009558E4"/>
    <w:rsid w:val="00955F96"/>
    <w:rsid w:val="0095768C"/>
    <w:rsid w:val="00961D2A"/>
    <w:rsid w:val="009621B5"/>
    <w:rsid w:val="00963000"/>
    <w:rsid w:val="0096361C"/>
    <w:rsid w:val="00964993"/>
    <w:rsid w:val="009662FA"/>
    <w:rsid w:val="00967D16"/>
    <w:rsid w:val="0097169D"/>
    <w:rsid w:val="009721F4"/>
    <w:rsid w:val="009744ED"/>
    <w:rsid w:val="00974C61"/>
    <w:rsid w:val="00974F68"/>
    <w:rsid w:val="00974FEE"/>
    <w:rsid w:val="009764FD"/>
    <w:rsid w:val="009800D8"/>
    <w:rsid w:val="0098068C"/>
    <w:rsid w:val="00982453"/>
    <w:rsid w:val="00982A73"/>
    <w:rsid w:val="00982C6E"/>
    <w:rsid w:val="00983851"/>
    <w:rsid w:val="00984DA3"/>
    <w:rsid w:val="00985A6A"/>
    <w:rsid w:val="009904DB"/>
    <w:rsid w:val="0099105C"/>
    <w:rsid w:val="00991533"/>
    <w:rsid w:val="009936FC"/>
    <w:rsid w:val="0099705B"/>
    <w:rsid w:val="0099790D"/>
    <w:rsid w:val="009A0686"/>
    <w:rsid w:val="009A236D"/>
    <w:rsid w:val="009A3E30"/>
    <w:rsid w:val="009A3F44"/>
    <w:rsid w:val="009A4C33"/>
    <w:rsid w:val="009A4F55"/>
    <w:rsid w:val="009A5106"/>
    <w:rsid w:val="009A51F4"/>
    <w:rsid w:val="009A7425"/>
    <w:rsid w:val="009B239B"/>
    <w:rsid w:val="009B273D"/>
    <w:rsid w:val="009B2881"/>
    <w:rsid w:val="009B36A0"/>
    <w:rsid w:val="009B397B"/>
    <w:rsid w:val="009B409D"/>
    <w:rsid w:val="009B42DE"/>
    <w:rsid w:val="009B5131"/>
    <w:rsid w:val="009B5A10"/>
    <w:rsid w:val="009B6B3D"/>
    <w:rsid w:val="009C1DE3"/>
    <w:rsid w:val="009C2845"/>
    <w:rsid w:val="009C54E1"/>
    <w:rsid w:val="009C655C"/>
    <w:rsid w:val="009C7DA5"/>
    <w:rsid w:val="009C7EC3"/>
    <w:rsid w:val="009D0C33"/>
    <w:rsid w:val="009D3B35"/>
    <w:rsid w:val="009D5652"/>
    <w:rsid w:val="009D645B"/>
    <w:rsid w:val="009D6C2A"/>
    <w:rsid w:val="009D7B7C"/>
    <w:rsid w:val="009E164E"/>
    <w:rsid w:val="009E40DF"/>
    <w:rsid w:val="009E5538"/>
    <w:rsid w:val="009E6B8C"/>
    <w:rsid w:val="009F2A77"/>
    <w:rsid w:val="009F3D54"/>
    <w:rsid w:val="009F4249"/>
    <w:rsid w:val="009F42BE"/>
    <w:rsid w:val="009F42EE"/>
    <w:rsid w:val="009F6BD9"/>
    <w:rsid w:val="009F7809"/>
    <w:rsid w:val="00A002D2"/>
    <w:rsid w:val="00A00439"/>
    <w:rsid w:val="00A01C2E"/>
    <w:rsid w:val="00A02312"/>
    <w:rsid w:val="00A02D57"/>
    <w:rsid w:val="00A02D79"/>
    <w:rsid w:val="00A0354F"/>
    <w:rsid w:val="00A04B5B"/>
    <w:rsid w:val="00A0630B"/>
    <w:rsid w:val="00A07314"/>
    <w:rsid w:val="00A078E0"/>
    <w:rsid w:val="00A079D1"/>
    <w:rsid w:val="00A1138C"/>
    <w:rsid w:val="00A12F65"/>
    <w:rsid w:val="00A13015"/>
    <w:rsid w:val="00A13EB1"/>
    <w:rsid w:val="00A160F3"/>
    <w:rsid w:val="00A16875"/>
    <w:rsid w:val="00A17533"/>
    <w:rsid w:val="00A17A2C"/>
    <w:rsid w:val="00A2255C"/>
    <w:rsid w:val="00A225D3"/>
    <w:rsid w:val="00A23CA3"/>
    <w:rsid w:val="00A24A6D"/>
    <w:rsid w:val="00A24CDF"/>
    <w:rsid w:val="00A24E20"/>
    <w:rsid w:val="00A2770C"/>
    <w:rsid w:val="00A310EE"/>
    <w:rsid w:val="00A32195"/>
    <w:rsid w:val="00A324EE"/>
    <w:rsid w:val="00A32BF3"/>
    <w:rsid w:val="00A32BF4"/>
    <w:rsid w:val="00A32E7E"/>
    <w:rsid w:val="00A34152"/>
    <w:rsid w:val="00A35BAC"/>
    <w:rsid w:val="00A36183"/>
    <w:rsid w:val="00A3668E"/>
    <w:rsid w:val="00A37010"/>
    <w:rsid w:val="00A3771C"/>
    <w:rsid w:val="00A3786B"/>
    <w:rsid w:val="00A37ECF"/>
    <w:rsid w:val="00A408A7"/>
    <w:rsid w:val="00A40D5A"/>
    <w:rsid w:val="00A411CC"/>
    <w:rsid w:val="00A42633"/>
    <w:rsid w:val="00A43E73"/>
    <w:rsid w:val="00A44089"/>
    <w:rsid w:val="00A4549E"/>
    <w:rsid w:val="00A51CC8"/>
    <w:rsid w:val="00A5279A"/>
    <w:rsid w:val="00A53D95"/>
    <w:rsid w:val="00A56C47"/>
    <w:rsid w:val="00A60E38"/>
    <w:rsid w:val="00A61438"/>
    <w:rsid w:val="00A61A92"/>
    <w:rsid w:val="00A6259D"/>
    <w:rsid w:val="00A639CA"/>
    <w:rsid w:val="00A63A00"/>
    <w:rsid w:val="00A64145"/>
    <w:rsid w:val="00A6438B"/>
    <w:rsid w:val="00A646CA"/>
    <w:rsid w:val="00A64D1B"/>
    <w:rsid w:val="00A6523C"/>
    <w:rsid w:val="00A6776C"/>
    <w:rsid w:val="00A67F4C"/>
    <w:rsid w:val="00A70107"/>
    <w:rsid w:val="00A70160"/>
    <w:rsid w:val="00A7112B"/>
    <w:rsid w:val="00A716AD"/>
    <w:rsid w:val="00A7534D"/>
    <w:rsid w:val="00A75412"/>
    <w:rsid w:val="00A75DFA"/>
    <w:rsid w:val="00A76429"/>
    <w:rsid w:val="00A76549"/>
    <w:rsid w:val="00A8285C"/>
    <w:rsid w:val="00A848DA"/>
    <w:rsid w:val="00A867FE"/>
    <w:rsid w:val="00A87264"/>
    <w:rsid w:val="00A901D5"/>
    <w:rsid w:val="00A916C9"/>
    <w:rsid w:val="00A92AD4"/>
    <w:rsid w:val="00A932F1"/>
    <w:rsid w:val="00A93451"/>
    <w:rsid w:val="00A940D4"/>
    <w:rsid w:val="00A951E2"/>
    <w:rsid w:val="00A952E0"/>
    <w:rsid w:val="00A959CD"/>
    <w:rsid w:val="00A965BC"/>
    <w:rsid w:val="00A96847"/>
    <w:rsid w:val="00A96A6B"/>
    <w:rsid w:val="00A97BA5"/>
    <w:rsid w:val="00AA19E3"/>
    <w:rsid w:val="00AA2343"/>
    <w:rsid w:val="00AA379F"/>
    <w:rsid w:val="00AA4085"/>
    <w:rsid w:val="00AA429D"/>
    <w:rsid w:val="00AA6BF4"/>
    <w:rsid w:val="00AA6D8D"/>
    <w:rsid w:val="00AB1EB1"/>
    <w:rsid w:val="00AB44ED"/>
    <w:rsid w:val="00AB67C5"/>
    <w:rsid w:val="00AC099A"/>
    <w:rsid w:val="00AC112B"/>
    <w:rsid w:val="00AC31B2"/>
    <w:rsid w:val="00AC3494"/>
    <w:rsid w:val="00AC4933"/>
    <w:rsid w:val="00AC5489"/>
    <w:rsid w:val="00AD0EAC"/>
    <w:rsid w:val="00AD135D"/>
    <w:rsid w:val="00AD2301"/>
    <w:rsid w:val="00AD4E1E"/>
    <w:rsid w:val="00AE03F5"/>
    <w:rsid w:val="00AE2044"/>
    <w:rsid w:val="00AE21C2"/>
    <w:rsid w:val="00AE2855"/>
    <w:rsid w:val="00AE53F5"/>
    <w:rsid w:val="00AE6336"/>
    <w:rsid w:val="00AE68AD"/>
    <w:rsid w:val="00AE6F16"/>
    <w:rsid w:val="00AE770A"/>
    <w:rsid w:val="00AF2C20"/>
    <w:rsid w:val="00AF50C4"/>
    <w:rsid w:val="00AF5C4C"/>
    <w:rsid w:val="00AF65DA"/>
    <w:rsid w:val="00AF6B5A"/>
    <w:rsid w:val="00AF6FCD"/>
    <w:rsid w:val="00AF7E2E"/>
    <w:rsid w:val="00B00615"/>
    <w:rsid w:val="00B0156F"/>
    <w:rsid w:val="00B03548"/>
    <w:rsid w:val="00B04471"/>
    <w:rsid w:val="00B079EE"/>
    <w:rsid w:val="00B10770"/>
    <w:rsid w:val="00B11868"/>
    <w:rsid w:val="00B128B6"/>
    <w:rsid w:val="00B12D67"/>
    <w:rsid w:val="00B13E8A"/>
    <w:rsid w:val="00B13FDF"/>
    <w:rsid w:val="00B14123"/>
    <w:rsid w:val="00B14D9A"/>
    <w:rsid w:val="00B150B8"/>
    <w:rsid w:val="00B157F2"/>
    <w:rsid w:val="00B16EF5"/>
    <w:rsid w:val="00B1756E"/>
    <w:rsid w:val="00B20568"/>
    <w:rsid w:val="00B2085A"/>
    <w:rsid w:val="00B21724"/>
    <w:rsid w:val="00B2233F"/>
    <w:rsid w:val="00B227EF"/>
    <w:rsid w:val="00B23025"/>
    <w:rsid w:val="00B235B7"/>
    <w:rsid w:val="00B23B87"/>
    <w:rsid w:val="00B24D3D"/>
    <w:rsid w:val="00B2531F"/>
    <w:rsid w:val="00B25F17"/>
    <w:rsid w:val="00B265E9"/>
    <w:rsid w:val="00B27238"/>
    <w:rsid w:val="00B27F8F"/>
    <w:rsid w:val="00B340C6"/>
    <w:rsid w:val="00B34448"/>
    <w:rsid w:val="00B36D88"/>
    <w:rsid w:val="00B375E9"/>
    <w:rsid w:val="00B37748"/>
    <w:rsid w:val="00B41CC5"/>
    <w:rsid w:val="00B421DC"/>
    <w:rsid w:val="00B4244A"/>
    <w:rsid w:val="00B4554C"/>
    <w:rsid w:val="00B45B38"/>
    <w:rsid w:val="00B46B40"/>
    <w:rsid w:val="00B527E0"/>
    <w:rsid w:val="00B53DB9"/>
    <w:rsid w:val="00B53E73"/>
    <w:rsid w:val="00B54A5A"/>
    <w:rsid w:val="00B553F2"/>
    <w:rsid w:val="00B55858"/>
    <w:rsid w:val="00B56CA4"/>
    <w:rsid w:val="00B61A21"/>
    <w:rsid w:val="00B712C5"/>
    <w:rsid w:val="00B7170D"/>
    <w:rsid w:val="00B727CB"/>
    <w:rsid w:val="00B739A7"/>
    <w:rsid w:val="00B73EF2"/>
    <w:rsid w:val="00B74033"/>
    <w:rsid w:val="00B741FC"/>
    <w:rsid w:val="00B7452B"/>
    <w:rsid w:val="00B749FB"/>
    <w:rsid w:val="00B75B8B"/>
    <w:rsid w:val="00B76EBE"/>
    <w:rsid w:val="00B81B9B"/>
    <w:rsid w:val="00B81D5F"/>
    <w:rsid w:val="00B82605"/>
    <w:rsid w:val="00B82ACC"/>
    <w:rsid w:val="00B85263"/>
    <w:rsid w:val="00B876EE"/>
    <w:rsid w:val="00B910DD"/>
    <w:rsid w:val="00B92332"/>
    <w:rsid w:val="00B931E6"/>
    <w:rsid w:val="00B9344A"/>
    <w:rsid w:val="00B93644"/>
    <w:rsid w:val="00B95485"/>
    <w:rsid w:val="00B95DC2"/>
    <w:rsid w:val="00B96363"/>
    <w:rsid w:val="00B96904"/>
    <w:rsid w:val="00B97BE6"/>
    <w:rsid w:val="00BA094A"/>
    <w:rsid w:val="00BA2E67"/>
    <w:rsid w:val="00BA3064"/>
    <w:rsid w:val="00BA3433"/>
    <w:rsid w:val="00BA3C83"/>
    <w:rsid w:val="00BA4905"/>
    <w:rsid w:val="00BA4ECD"/>
    <w:rsid w:val="00BA519C"/>
    <w:rsid w:val="00BA51E2"/>
    <w:rsid w:val="00BA56DF"/>
    <w:rsid w:val="00BA5AF1"/>
    <w:rsid w:val="00BA6124"/>
    <w:rsid w:val="00BA64AA"/>
    <w:rsid w:val="00BA6E04"/>
    <w:rsid w:val="00BA6F5F"/>
    <w:rsid w:val="00BA7EE6"/>
    <w:rsid w:val="00BB1B42"/>
    <w:rsid w:val="00BB23CD"/>
    <w:rsid w:val="00BB37E4"/>
    <w:rsid w:val="00BB560B"/>
    <w:rsid w:val="00BB63F4"/>
    <w:rsid w:val="00BB7662"/>
    <w:rsid w:val="00BC13A8"/>
    <w:rsid w:val="00BC1FE4"/>
    <w:rsid w:val="00BC3A95"/>
    <w:rsid w:val="00BC56F6"/>
    <w:rsid w:val="00BC5AA2"/>
    <w:rsid w:val="00BC5F4A"/>
    <w:rsid w:val="00BC62D3"/>
    <w:rsid w:val="00BC6BC2"/>
    <w:rsid w:val="00BC70BC"/>
    <w:rsid w:val="00BC75C1"/>
    <w:rsid w:val="00BD03A8"/>
    <w:rsid w:val="00BD03DB"/>
    <w:rsid w:val="00BD4981"/>
    <w:rsid w:val="00BE019F"/>
    <w:rsid w:val="00BE07DD"/>
    <w:rsid w:val="00BE183B"/>
    <w:rsid w:val="00BE2AB6"/>
    <w:rsid w:val="00BE2B4F"/>
    <w:rsid w:val="00BE2BD1"/>
    <w:rsid w:val="00BE3668"/>
    <w:rsid w:val="00BE3ACD"/>
    <w:rsid w:val="00BE6000"/>
    <w:rsid w:val="00BE6A70"/>
    <w:rsid w:val="00BF08CA"/>
    <w:rsid w:val="00BF0942"/>
    <w:rsid w:val="00BF17DA"/>
    <w:rsid w:val="00BF18BA"/>
    <w:rsid w:val="00BF41C7"/>
    <w:rsid w:val="00BF4326"/>
    <w:rsid w:val="00BF6E42"/>
    <w:rsid w:val="00BF77F5"/>
    <w:rsid w:val="00C01D85"/>
    <w:rsid w:val="00C02322"/>
    <w:rsid w:val="00C02618"/>
    <w:rsid w:val="00C05174"/>
    <w:rsid w:val="00C05823"/>
    <w:rsid w:val="00C07694"/>
    <w:rsid w:val="00C07D4D"/>
    <w:rsid w:val="00C102DB"/>
    <w:rsid w:val="00C10543"/>
    <w:rsid w:val="00C112FF"/>
    <w:rsid w:val="00C1217B"/>
    <w:rsid w:val="00C12F6E"/>
    <w:rsid w:val="00C1416E"/>
    <w:rsid w:val="00C14F40"/>
    <w:rsid w:val="00C14F4E"/>
    <w:rsid w:val="00C15744"/>
    <w:rsid w:val="00C178F0"/>
    <w:rsid w:val="00C23BC4"/>
    <w:rsid w:val="00C23FC9"/>
    <w:rsid w:val="00C2458B"/>
    <w:rsid w:val="00C2599C"/>
    <w:rsid w:val="00C25ED0"/>
    <w:rsid w:val="00C27A40"/>
    <w:rsid w:val="00C27AE9"/>
    <w:rsid w:val="00C30AA4"/>
    <w:rsid w:val="00C345E3"/>
    <w:rsid w:val="00C3471B"/>
    <w:rsid w:val="00C35A41"/>
    <w:rsid w:val="00C36C40"/>
    <w:rsid w:val="00C37700"/>
    <w:rsid w:val="00C40278"/>
    <w:rsid w:val="00C43673"/>
    <w:rsid w:val="00C448FD"/>
    <w:rsid w:val="00C449F4"/>
    <w:rsid w:val="00C46138"/>
    <w:rsid w:val="00C46EF4"/>
    <w:rsid w:val="00C47101"/>
    <w:rsid w:val="00C507CB"/>
    <w:rsid w:val="00C51999"/>
    <w:rsid w:val="00C560EA"/>
    <w:rsid w:val="00C566C9"/>
    <w:rsid w:val="00C56A8E"/>
    <w:rsid w:val="00C60488"/>
    <w:rsid w:val="00C6107E"/>
    <w:rsid w:val="00C616E7"/>
    <w:rsid w:val="00C61FE9"/>
    <w:rsid w:val="00C62CF6"/>
    <w:rsid w:val="00C630BC"/>
    <w:rsid w:val="00C6316D"/>
    <w:rsid w:val="00C643D2"/>
    <w:rsid w:val="00C64CEF"/>
    <w:rsid w:val="00C65508"/>
    <w:rsid w:val="00C724D1"/>
    <w:rsid w:val="00C72D9D"/>
    <w:rsid w:val="00C74598"/>
    <w:rsid w:val="00C747D5"/>
    <w:rsid w:val="00C74D88"/>
    <w:rsid w:val="00C830E8"/>
    <w:rsid w:val="00C8331F"/>
    <w:rsid w:val="00C84E4C"/>
    <w:rsid w:val="00C860FA"/>
    <w:rsid w:val="00C8743F"/>
    <w:rsid w:val="00C930BB"/>
    <w:rsid w:val="00C938E4"/>
    <w:rsid w:val="00C93C2F"/>
    <w:rsid w:val="00C9459D"/>
    <w:rsid w:val="00C9635A"/>
    <w:rsid w:val="00C978B4"/>
    <w:rsid w:val="00CA084A"/>
    <w:rsid w:val="00CA1385"/>
    <w:rsid w:val="00CA1ACB"/>
    <w:rsid w:val="00CA2A59"/>
    <w:rsid w:val="00CA31C1"/>
    <w:rsid w:val="00CA4197"/>
    <w:rsid w:val="00CA4A09"/>
    <w:rsid w:val="00CA4B56"/>
    <w:rsid w:val="00CA4F77"/>
    <w:rsid w:val="00CA5EC0"/>
    <w:rsid w:val="00CB0603"/>
    <w:rsid w:val="00CB0B9B"/>
    <w:rsid w:val="00CB0F3C"/>
    <w:rsid w:val="00CB2972"/>
    <w:rsid w:val="00CB34A4"/>
    <w:rsid w:val="00CB3EE1"/>
    <w:rsid w:val="00CB44F6"/>
    <w:rsid w:val="00CB4909"/>
    <w:rsid w:val="00CB4B96"/>
    <w:rsid w:val="00CB7E04"/>
    <w:rsid w:val="00CC0D74"/>
    <w:rsid w:val="00CC4BD2"/>
    <w:rsid w:val="00CC634D"/>
    <w:rsid w:val="00CC675A"/>
    <w:rsid w:val="00CC68BA"/>
    <w:rsid w:val="00CC7F09"/>
    <w:rsid w:val="00CD05A4"/>
    <w:rsid w:val="00CD0E39"/>
    <w:rsid w:val="00CD0F92"/>
    <w:rsid w:val="00CD35CC"/>
    <w:rsid w:val="00CD3911"/>
    <w:rsid w:val="00CD5FA0"/>
    <w:rsid w:val="00CE046E"/>
    <w:rsid w:val="00CE4BC5"/>
    <w:rsid w:val="00CF125F"/>
    <w:rsid w:val="00CF3109"/>
    <w:rsid w:val="00CF3247"/>
    <w:rsid w:val="00CF37AB"/>
    <w:rsid w:val="00CF4750"/>
    <w:rsid w:val="00CF4B4E"/>
    <w:rsid w:val="00CF5BA9"/>
    <w:rsid w:val="00CF6B04"/>
    <w:rsid w:val="00CF73D1"/>
    <w:rsid w:val="00CF7D53"/>
    <w:rsid w:val="00CF7DB4"/>
    <w:rsid w:val="00D012B6"/>
    <w:rsid w:val="00D03624"/>
    <w:rsid w:val="00D04192"/>
    <w:rsid w:val="00D0447E"/>
    <w:rsid w:val="00D068A9"/>
    <w:rsid w:val="00D114DB"/>
    <w:rsid w:val="00D11FFE"/>
    <w:rsid w:val="00D12F72"/>
    <w:rsid w:val="00D13B0A"/>
    <w:rsid w:val="00D1431C"/>
    <w:rsid w:val="00D1657D"/>
    <w:rsid w:val="00D17A65"/>
    <w:rsid w:val="00D2018B"/>
    <w:rsid w:val="00D2102C"/>
    <w:rsid w:val="00D2110E"/>
    <w:rsid w:val="00D223FD"/>
    <w:rsid w:val="00D22567"/>
    <w:rsid w:val="00D22615"/>
    <w:rsid w:val="00D23481"/>
    <w:rsid w:val="00D25146"/>
    <w:rsid w:val="00D254DF"/>
    <w:rsid w:val="00D27FD9"/>
    <w:rsid w:val="00D31559"/>
    <w:rsid w:val="00D316A8"/>
    <w:rsid w:val="00D321B0"/>
    <w:rsid w:val="00D3267C"/>
    <w:rsid w:val="00D33C9D"/>
    <w:rsid w:val="00D34A97"/>
    <w:rsid w:val="00D34D35"/>
    <w:rsid w:val="00D350E7"/>
    <w:rsid w:val="00D3510F"/>
    <w:rsid w:val="00D36269"/>
    <w:rsid w:val="00D40742"/>
    <w:rsid w:val="00D41CE2"/>
    <w:rsid w:val="00D42BE0"/>
    <w:rsid w:val="00D43110"/>
    <w:rsid w:val="00D4386E"/>
    <w:rsid w:val="00D445E6"/>
    <w:rsid w:val="00D4575C"/>
    <w:rsid w:val="00D46E67"/>
    <w:rsid w:val="00D46ECB"/>
    <w:rsid w:val="00D51928"/>
    <w:rsid w:val="00D51D59"/>
    <w:rsid w:val="00D53306"/>
    <w:rsid w:val="00D533B2"/>
    <w:rsid w:val="00D53D21"/>
    <w:rsid w:val="00D54550"/>
    <w:rsid w:val="00D55463"/>
    <w:rsid w:val="00D56C66"/>
    <w:rsid w:val="00D579A8"/>
    <w:rsid w:val="00D605A6"/>
    <w:rsid w:val="00D6189E"/>
    <w:rsid w:val="00D61B7D"/>
    <w:rsid w:val="00D61BD5"/>
    <w:rsid w:val="00D61C85"/>
    <w:rsid w:val="00D62060"/>
    <w:rsid w:val="00D63897"/>
    <w:rsid w:val="00D6428B"/>
    <w:rsid w:val="00D647CC"/>
    <w:rsid w:val="00D702A4"/>
    <w:rsid w:val="00D7032C"/>
    <w:rsid w:val="00D710F4"/>
    <w:rsid w:val="00D72826"/>
    <w:rsid w:val="00D72CCE"/>
    <w:rsid w:val="00D75115"/>
    <w:rsid w:val="00D7623A"/>
    <w:rsid w:val="00D76FCA"/>
    <w:rsid w:val="00D83525"/>
    <w:rsid w:val="00D85960"/>
    <w:rsid w:val="00D85C2C"/>
    <w:rsid w:val="00D86E9F"/>
    <w:rsid w:val="00D87251"/>
    <w:rsid w:val="00D87500"/>
    <w:rsid w:val="00D90EA5"/>
    <w:rsid w:val="00D91BCB"/>
    <w:rsid w:val="00D92826"/>
    <w:rsid w:val="00D94ADD"/>
    <w:rsid w:val="00D94EDA"/>
    <w:rsid w:val="00D95D03"/>
    <w:rsid w:val="00D96BC1"/>
    <w:rsid w:val="00D97450"/>
    <w:rsid w:val="00D974CE"/>
    <w:rsid w:val="00DA0A27"/>
    <w:rsid w:val="00DA0BD4"/>
    <w:rsid w:val="00DA298F"/>
    <w:rsid w:val="00DA3488"/>
    <w:rsid w:val="00DA5AFB"/>
    <w:rsid w:val="00DB12AA"/>
    <w:rsid w:val="00DB177B"/>
    <w:rsid w:val="00DB568C"/>
    <w:rsid w:val="00DB7EE6"/>
    <w:rsid w:val="00DC3B9F"/>
    <w:rsid w:val="00DC49E7"/>
    <w:rsid w:val="00DC532C"/>
    <w:rsid w:val="00DC6275"/>
    <w:rsid w:val="00DC6C08"/>
    <w:rsid w:val="00DD00FC"/>
    <w:rsid w:val="00DD015D"/>
    <w:rsid w:val="00DD10B7"/>
    <w:rsid w:val="00DD2633"/>
    <w:rsid w:val="00DD3F2F"/>
    <w:rsid w:val="00DD44CF"/>
    <w:rsid w:val="00DD58FA"/>
    <w:rsid w:val="00DD5ECC"/>
    <w:rsid w:val="00DD79A5"/>
    <w:rsid w:val="00DE007F"/>
    <w:rsid w:val="00DE6CE6"/>
    <w:rsid w:val="00DE7237"/>
    <w:rsid w:val="00DE777A"/>
    <w:rsid w:val="00DE7FC2"/>
    <w:rsid w:val="00DF0B54"/>
    <w:rsid w:val="00DF40E3"/>
    <w:rsid w:val="00DF6638"/>
    <w:rsid w:val="00E0221C"/>
    <w:rsid w:val="00E025B3"/>
    <w:rsid w:val="00E02A75"/>
    <w:rsid w:val="00E043F1"/>
    <w:rsid w:val="00E04CA8"/>
    <w:rsid w:val="00E05B14"/>
    <w:rsid w:val="00E05FFC"/>
    <w:rsid w:val="00E06532"/>
    <w:rsid w:val="00E06CEB"/>
    <w:rsid w:val="00E07A0F"/>
    <w:rsid w:val="00E07A92"/>
    <w:rsid w:val="00E07EA7"/>
    <w:rsid w:val="00E10596"/>
    <w:rsid w:val="00E109A6"/>
    <w:rsid w:val="00E11504"/>
    <w:rsid w:val="00E11990"/>
    <w:rsid w:val="00E12718"/>
    <w:rsid w:val="00E12DDE"/>
    <w:rsid w:val="00E138F6"/>
    <w:rsid w:val="00E14734"/>
    <w:rsid w:val="00E153BC"/>
    <w:rsid w:val="00E16391"/>
    <w:rsid w:val="00E17127"/>
    <w:rsid w:val="00E20816"/>
    <w:rsid w:val="00E2102C"/>
    <w:rsid w:val="00E21419"/>
    <w:rsid w:val="00E21F99"/>
    <w:rsid w:val="00E25315"/>
    <w:rsid w:val="00E259DC"/>
    <w:rsid w:val="00E25DC9"/>
    <w:rsid w:val="00E261BE"/>
    <w:rsid w:val="00E30CBB"/>
    <w:rsid w:val="00E31426"/>
    <w:rsid w:val="00E31658"/>
    <w:rsid w:val="00E32EB0"/>
    <w:rsid w:val="00E33365"/>
    <w:rsid w:val="00E33E0C"/>
    <w:rsid w:val="00E357AB"/>
    <w:rsid w:val="00E35908"/>
    <w:rsid w:val="00E3731C"/>
    <w:rsid w:val="00E37F0E"/>
    <w:rsid w:val="00E45810"/>
    <w:rsid w:val="00E47262"/>
    <w:rsid w:val="00E509E5"/>
    <w:rsid w:val="00E51714"/>
    <w:rsid w:val="00E51C90"/>
    <w:rsid w:val="00E51EB5"/>
    <w:rsid w:val="00E55154"/>
    <w:rsid w:val="00E55703"/>
    <w:rsid w:val="00E55D67"/>
    <w:rsid w:val="00E56677"/>
    <w:rsid w:val="00E60765"/>
    <w:rsid w:val="00E607B6"/>
    <w:rsid w:val="00E60E18"/>
    <w:rsid w:val="00E61158"/>
    <w:rsid w:val="00E63947"/>
    <w:rsid w:val="00E63F32"/>
    <w:rsid w:val="00E64060"/>
    <w:rsid w:val="00E64139"/>
    <w:rsid w:val="00E644E2"/>
    <w:rsid w:val="00E649D8"/>
    <w:rsid w:val="00E655A3"/>
    <w:rsid w:val="00E66472"/>
    <w:rsid w:val="00E72042"/>
    <w:rsid w:val="00E739F8"/>
    <w:rsid w:val="00E7552F"/>
    <w:rsid w:val="00E759E3"/>
    <w:rsid w:val="00E75F87"/>
    <w:rsid w:val="00E77632"/>
    <w:rsid w:val="00E77E1B"/>
    <w:rsid w:val="00E80BF2"/>
    <w:rsid w:val="00E814B1"/>
    <w:rsid w:val="00E81F13"/>
    <w:rsid w:val="00E82B6E"/>
    <w:rsid w:val="00E841FF"/>
    <w:rsid w:val="00E84651"/>
    <w:rsid w:val="00E85CB7"/>
    <w:rsid w:val="00E87E51"/>
    <w:rsid w:val="00E9160D"/>
    <w:rsid w:val="00E922FB"/>
    <w:rsid w:val="00E92CEA"/>
    <w:rsid w:val="00E9440B"/>
    <w:rsid w:val="00E95A60"/>
    <w:rsid w:val="00E96592"/>
    <w:rsid w:val="00E96BAD"/>
    <w:rsid w:val="00E96C8D"/>
    <w:rsid w:val="00E975E6"/>
    <w:rsid w:val="00E97EA1"/>
    <w:rsid w:val="00EA3FE0"/>
    <w:rsid w:val="00EA6D99"/>
    <w:rsid w:val="00EB0FFD"/>
    <w:rsid w:val="00EB1014"/>
    <w:rsid w:val="00EB39D2"/>
    <w:rsid w:val="00EB4988"/>
    <w:rsid w:val="00EB4CC7"/>
    <w:rsid w:val="00EB66BE"/>
    <w:rsid w:val="00EB67DF"/>
    <w:rsid w:val="00EB6EE5"/>
    <w:rsid w:val="00EB7862"/>
    <w:rsid w:val="00EC04F0"/>
    <w:rsid w:val="00EC25EB"/>
    <w:rsid w:val="00EC507F"/>
    <w:rsid w:val="00EC6247"/>
    <w:rsid w:val="00ED0615"/>
    <w:rsid w:val="00ED2F69"/>
    <w:rsid w:val="00ED51CA"/>
    <w:rsid w:val="00EE0687"/>
    <w:rsid w:val="00EE33D1"/>
    <w:rsid w:val="00EE3C32"/>
    <w:rsid w:val="00EE4CFF"/>
    <w:rsid w:val="00EE4D27"/>
    <w:rsid w:val="00EF0A81"/>
    <w:rsid w:val="00EF14C2"/>
    <w:rsid w:val="00EF1746"/>
    <w:rsid w:val="00EF2094"/>
    <w:rsid w:val="00EF52A0"/>
    <w:rsid w:val="00EF612F"/>
    <w:rsid w:val="00F004F9"/>
    <w:rsid w:val="00F026BA"/>
    <w:rsid w:val="00F04C1A"/>
    <w:rsid w:val="00F054AA"/>
    <w:rsid w:val="00F059D6"/>
    <w:rsid w:val="00F0629A"/>
    <w:rsid w:val="00F07397"/>
    <w:rsid w:val="00F11541"/>
    <w:rsid w:val="00F11B71"/>
    <w:rsid w:val="00F145F3"/>
    <w:rsid w:val="00F1535A"/>
    <w:rsid w:val="00F162A5"/>
    <w:rsid w:val="00F163D7"/>
    <w:rsid w:val="00F177DE"/>
    <w:rsid w:val="00F178BF"/>
    <w:rsid w:val="00F17960"/>
    <w:rsid w:val="00F21DBA"/>
    <w:rsid w:val="00F21EA3"/>
    <w:rsid w:val="00F21FFC"/>
    <w:rsid w:val="00F22005"/>
    <w:rsid w:val="00F23DCD"/>
    <w:rsid w:val="00F23EE0"/>
    <w:rsid w:val="00F24E6F"/>
    <w:rsid w:val="00F2650B"/>
    <w:rsid w:val="00F26D54"/>
    <w:rsid w:val="00F26FBB"/>
    <w:rsid w:val="00F27779"/>
    <w:rsid w:val="00F279FF"/>
    <w:rsid w:val="00F31C13"/>
    <w:rsid w:val="00F31C43"/>
    <w:rsid w:val="00F33676"/>
    <w:rsid w:val="00F343F1"/>
    <w:rsid w:val="00F34CBE"/>
    <w:rsid w:val="00F36012"/>
    <w:rsid w:val="00F3638A"/>
    <w:rsid w:val="00F3737C"/>
    <w:rsid w:val="00F40DC9"/>
    <w:rsid w:val="00F42736"/>
    <w:rsid w:val="00F43850"/>
    <w:rsid w:val="00F44604"/>
    <w:rsid w:val="00F4522E"/>
    <w:rsid w:val="00F50AF3"/>
    <w:rsid w:val="00F5175B"/>
    <w:rsid w:val="00F521A5"/>
    <w:rsid w:val="00F52E05"/>
    <w:rsid w:val="00F54205"/>
    <w:rsid w:val="00F54E6B"/>
    <w:rsid w:val="00F56299"/>
    <w:rsid w:val="00F56949"/>
    <w:rsid w:val="00F56F5C"/>
    <w:rsid w:val="00F60B93"/>
    <w:rsid w:val="00F6337E"/>
    <w:rsid w:val="00F6439D"/>
    <w:rsid w:val="00F65AF4"/>
    <w:rsid w:val="00F65C3F"/>
    <w:rsid w:val="00F66736"/>
    <w:rsid w:val="00F737E9"/>
    <w:rsid w:val="00F74033"/>
    <w:rsid w:val="00F74112"/>
    <w:rsid w:val="00F74CF2"/>
    <w:rsid w:val="00F771DA"/>
    <w:rsid w:val="00F77660"/>
    <w:rsid w:val="00F80152"/>
    <w:rsid w:val="00F8308F"/>
    <w:rsid w:val="00F8537A"/>
    <w:rsid w:val="00F86A4C"/>
    <w:rsid w:val="00F86E19"/>
    <w:rsid w:val="00F872BE"/>
    <w:rsid w:val="00F87379"/>
    <w:rsid w:val="00F94808"/>
    <w:rsid w:val="00F94A34"/>
    <w:rsid w:val="00F957C7"/>
    <w:rsid w:val="00F95CB3"/>
    <w:rsid w:val="00FA32E5"/>
    <w:rsid w:val="00FA7872"/>
    <w:rsid w:val="00FB0CA1"/>
    <w:rsid w:val="00FB2605"/>
    <w:rsid w:val="00FB35E2"/>
    <w:rsid w:val="00FB36E3"/>
    <w:rsid w:val="00FB5963"/>
    <w:rsid w:val="00FB621E"/>
    <w:rsid w:val="00FB7AB2"/>
    <w:rsid w:val="00FB7EE3"/>
    <w:rsid w:val="00FC04BC"/>
    <w:rsid w:val="00FC0892"/>
    <w:rsid w:val="00FC250E"/>
    <w:rsid w:val="00FC284E"/>
    <w:rsid w:val="00FC310E"/>
    <w:rsid w:val="00FC39FD"/>
    <w:rsid w:val="00FC4172"/>
    <w:rsid w:val="00FC4925"/>
    <w:rsid w:val="00FD054D"/>
    <w:rsid w:val="00FD11D4"/>
    <w:rsid w:val="00FD270C"/>
    <w:rsid w:val="00FD2CF8"/>
    <w:rsid w:val="00FD3F1C"/>
    <w:rsid w:val="00FD4050"/>
    <w:rsid w:val="00FD4752"/>
    <w:rsid w:val="00FD6E8E"/>
    <w:rsid w:val="00FD7516"/>
    <w:rsid w:val="00FD78F2"/>
    <w:rsid w:val="00FE33F1"/>
    <w:rsid w:val="00FE4BC2"/>
    <w:rsid w:val="00FE5143"/>
    <w:rsid w:val="00FE5929"/>
    <w:rsid w:val="00FE5BF7"/>
    <w:rsid w:val="00FE6115"/>
    <w:rsid w:val="00FE769A"/>
    <w:rsid w:val="00FF10CA"/>
    <w:rsid w:val="00FF1A62"/>
    <w:rsid w:val="00FF298D"/>
    <w:rsid w:val="00FF2BF8"/>
    <w:rsid w:val="00FF5EE5"/>
    <w:rsid w:val="00FF669A"/>
    <w:rsid w:val="00FF6B1B"/>
    <w:rsid w:val="00FF70ED"/>
    <w:rsid w:val="00FF7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7B"/>
    <w:pPr>
      <w:spacing w:line="360" w:lineRule="auto"/>
      <w:jc w:val="both"/>
    </w:pPr>
    <w:rPr>
      <w:rFonts w:ascii="Times New Roman" w:hAnsi="Times New Roman" w:cs="Times New Roman"/>
      <w:color w:val="767671"/>
      <w:sz w:val="24"/>
      <w:szCs w:val="24"/>
      <w:lang w:val="es-DO" w:eastAsia="es-DO"/>
    </w:rPr>
  </w:style>
  <w:style w:type="paragraph" w:styleId="Ttulo1">
    <w:name w:val="heading 1"/>
    <w:basedOn w:val="Prrafodelista"/>
    <w:next w:val="Normal"/>
    <w:link w:val="Ttulo1Car"/>
    <w:qFormat/>
    <w:rsid w:val="006B3671"/>
    <w:pPr>
      <w:numPr>
        <w:numId w:val="1"/>
      </w:numPr>
      <w:jc w:val="center"/>
      <w:outlineLvl w:val="0"/>
    </w:pPr>
    <w:rPr>
      <w:b/>
      <w:bCs/>
      <w:noProof/>
      <w:color w:val="767171"/>
      <w:spacing w:val="20"/>
      <w:sz w:val="28"/>
    </w:rPr>
  </w:style>
  <w:style w:type="paragraph" w:styleId="Ttulo2">
    <w:name w:val="heading 2"/>
    <w:basedOn w:val="Ttulo1"/>
    <w:next w:val="Normal"/>
    <w:link w:val="Ttulo2Car"/>
    <w:unhideWhenUsed/>
    <w:qFormat/>
    <w:rsid w:val="00813AA7"/>
    <w:pPr>
      <w:numPr>
        <w:ilvl w:val="1"/>
      </w:numPr>
      <w:jc w:val="both"/>
      <w:outlineLvl w:val="1"/>
    </w:pPr>
    <w:rPr>
      <w:spacing w:val="15"/>
      <w:sz w:val="24"/>
      <w:szCs w:val="22"/>
    </w:rPr>
  </w:style>
  <w:style w:type="paragraph" w:styleId="Ttulo3">
    <w:name w:val="heading 3"/>
    <w:basedOn w:val="Prrafodelista"/>
    <w:next w:val="Normal"/>
    <w:link w:val="Ttulo3Car"/>
    <w:unhideWhenUsed/>
    <w:qFormat/>
    <w:rsid w:val="00967D16"/>
    <w:pPr>
      <w:numPr>
        <w:numId w:val="2"/>
      </w:numPr>
      <w:outlineLvl w:val="2"/>
    </w:pPr>
    <w:rPr>
      <w:b/>
      <w:bCs/>
      <w:lang w:val="es-ES"/>
    </w:rPr>
  </w:style>
  <w:style w:type="paragraph" w:styleId="Ttulo4">
    <w:name w:val="heading 4"/>
    <w:basedOn w:val="Normal"/>
    <w:next w:val="Normal"/>
    <w:link w:val="Ttulo4Car"/>
    <w:unhideWhenUsed/>
    <w:qFormat/>
    <w:rsid w:val="007219DF"/>
    <w:pPr>
      <w:keepNext/>
      <w:keepLines/>
      <w:spacing w:before="40" w:after="0"/>
      <w:outlineLvl w:val="3"/>
    </w:pPr>
    <w:rPr>
      <w:rFonts w:asciiTheme="majorHAnsi" w:eastAsiaTheme="majorEastAsia" w:hAnsiTheme="majorHAnsi" w:cstheme="majorBidi"/>
      <w:i/>
      <w:iCs/>
      <w:color w:val="00143B" w:themeColor="accent1" w:themeShade="BF"/>
    </w:rPr>
  </w:style>
  <w:style w:type="paragraph" w:styleId="Ttulo5">
    <w:name w:val="heading 5"/>
    <w:basedOn w:val="Normal"/>
    <w:next w:val="Normal"/>
    <w:link w:val="Ttulo5Car"/>
    <w:unhideWhenUsed/>
    <w:qFormat/>
    <w:rsid w:val="00807D69"/>
    <w:pPr>
      <w:keepNext/>
      <w:keepLines/>
      <w:spacing w:before="40" w:after="0"/>
      <w:outlineLvl w:val="4"/>
    </w:pPr>
    <w:rPr>
      <w:rFonts w:asciiTheme="majorHAnsi" w:eastAsiaTheme="majorEastAsia" w:hAnsiTheme="majorHAnsi" w:cstheme="majorBidi"/>
      <w:color w:val="00143B" w:themeColor="accent1" w:themeShade="BF"/>
    </w:rPr>
  </w:style>
  <w:style w:type="paragraph" w:styleId="Ttulo6">
    <w:name w:val="heading 6"/>
    <w:basedOn w:val="Normal"/>
    <w:next w:val="Normal"/>
    <w:link w:val="Ttulo6Car"/>
    <w:unhideWhenUsed/>
    <w:qFormat/>
    <w:rsid w:val="00B10770"/>
    <w:pPr>
      <w:spacing w:before="240" w:after="60" w:line="240" w:lineRule="auto"/>
      <w:jc w:val="left"/>
      <w:outlineLvl w:val="5"/>
    </w:pPr>
    <w:rPr>
      <w:rFonts w:ascii="Calibri" w:eastAsia="Times New Roman" w:hAnsi="Calibri"/>
      <w:b/>
      <w:bCs/>
      <w:color w:val="767171"/>
      <w:sz w:val="20"/>
      <w:szCs w:val="20"/>
      <w:lang w:eastAsia="x-none"/>
    </w:rPr>
  </w:style>
  <w:style w:type="paragraph" w:styleId="Ttulo7">
    <w:name w:val="heading 7"/>
    <w:basedOn w:val="Normal"/>
    <w:next w:val="Normal"/>
    <w:link w:val="Ttulo7Car"/>
    <w:unhideWhenUsed/>
    <w:qFormat/>
    <w:rsid w:val="00B10770"/>
    <w:pPr>
      <w:spacing w:before="240" w:after="60" w:line="240" w:lineRule="auto"/>
      <w:jc w:val="left"/>
      <w:outlineLvl w:val="6"/>
    </w:pPr>
    <w:rPr>
      <w:rFonts w:ascii="Calibri" w:eastAsia="Times New Roman" w:hAnsi="Calibri"/>
      <w:color w:val="767171"/>
      <w:lang w:eastAsia="x-none"/>
    </w:rPr>
  </w:style>
  <w:style w:type="paragraph" w:styleId="Ttulo8">
    <w:name w:val="heading 8"/>
    <w:basedOn w:val="Normal"/>
    <w:next w:val="Normal"/>
    <w:link w:val="Ttulo8Car"/>
    <w:unhideWhenUsed/>
    <w:qFormat/>
    <w:rsid w:val="00B10770"/>
    <w:pPr>
      <w:spacing w:before="240" w:after="60" w:line="240" w:lineRule="auto"/>
      <w:jc w:val="left"/>
      <w:outlineLvl w:val="7"/>
    </w:pPr>
    <w:rPr>
      <w:rFonts w:ascii="Calibri" w:eastAsia="Times New Roman" w:hAnsi="Calibri"/>
      <w:i/>
      <w:iCs/>
      <w:color w:val="767171"/>
      <w:lang w:eastAsia="x-none"/>
    </w:rPr>
  </w:style>
  <w:style w:type="paragraph" w:styleId="Ttulo9">
    <w:name w:val="heading 9"/>
    <w:basedOn w:val="Normal"/>
    <w:next w:val="Normal"/>
    <w:link w:val="Ttulo9Car"/>
    <w:unhideWhenUsed/>
    <w:qFormat/>
    <w:rsid w:val="00B10770"/>
    <w:pPr>
      <w:spacing w:before="240" w:after="60" w:line="240" w:lineRule="auto"/>
      <w:jc w:val="left"/>
      <w:outlineLvl w:val="8"/>
    </w:pPr>
    <w:rPr>
      <w:rFonts w:ascii="Cambria" w:eastAsia="Times New Roman" w:hAnsi="Cambria"/>
      <w:color w:val="767171"/>
      <w:sz w:val="20"/>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rsid w:val="006B3671"/>
    <w:rPr>
      <w:rFonts w:ascii="Times New Roman" w:hAnsi="Times New Roman" w:cs="Times New Roman"/>
      <w:b/>
      <w:bCs/>
      <w:noProof/>
      <w:color w:val="767171"/>
      <w:spacing w:val="20"/>
      <w:sz w:val="28"/>
      <w:szCs w:val="24"/>
      <w:lang w:val="es-DO" w:eastAsia="es-DO"/>
    </w:rPr>
  </w:style>
  <w:style w:type="paragraph" w:styleId="Prrafodelista">
    <w:name w:val="List Paragraph"/>
    <w:aliases w:val="Lista 123,Párrafo de lista numerado"/>
    <w:basedOn w:val="Normal"/>
    <w:link w:val="PrrafodelistaCar"/>
    <w:uiPriority w:val="34"/>
    <w:qFormat/>
    <w:rsid w:val="005C17B3"/>
    <w:pPr>
      <w:ind w:left="720"/>
      <w:contextualSpacing/>
    </w:pPr>
  </w:style>
  <w:style w:type="character" w:customStyle="1" w:styleId="eop">
    <w:name w:val="eop"/>
    <w:rsid w:val="00817338"/>
  </w:style>
  <w:style w:type="paragraph" w:styleId="Subttulo">
    <w:name w:val="Subtitle"/>
    <w:basedOn w:val="Normal"/>
    <w:next w:val="Normal"/>
    <w:link w:val="SubttuloCar"/>
    <w:uiPriority w:val="11"/>
    <w:qFormat/>
    <w:rsid w:val="00817338"/>
    <w:pPr>
      <w:numPr>
        <w:ilvl w:val="1"/>
      </w:numPr>
      <w:spacing w:line="259" w:lineRule="auto"/>
      <w:jc w:val="center"/>
    </w:pPr>
    <w:rPr>
      <w:rFonts w:eastAsia="Times New Roman"/>
      <w:color w:val="767171"/>
      <w:spacing w:val="15"/>
      <w:szCs w:val="22"/>
      <w:lang w:val="es-ES" w:eastAsia="en-US"/>
    </w:rPr>
  </w:style>
  <w:style w:type="character" w:customStyle="1" w:styleId="SubttuloCar">
    <w:name w:val="Subtítulo Car"/>
    <w:basedOn w:val="Fuentedeprrafopredeter"/>
    <w:link w:val="Subttulo"/>
    <w:uiPriority w:val="11"/>
    <w:rsid w:val="00817338"/>
    <w:rPr>
      <w:rFonts w:ascii="Times New Roman" w:eastAsia="Times New Roman" w:hAnsi="Times New Roman" w:cs="Times New Roman"/>
      <w:color w:val="767171"/>
      <w:spacing w:val="15"/>
      <w:sz w:val="24"/>
      <w:lang w:val="es-ES"/>
    </w:rPr>
  </w:style>
  <w:style w:type="character" w:customStyle="1" w:styleId="Ttulo2Car">
    <w:name w:val="Título 2 Car"/>
    <w:basedOn w:val="Fuentedeprrafopredeter"/>
    <w:link w:val="Ttulo2"/>
    <w:rsid w:val="00813AA7"/>
    <w:rPr>
      <w:rFonts w:ascii="Times New Roman" w:hAnsi="Times New Roman" w:cs="Times New Roman"/>
      <w:b/>
      <w:bCs/>
      <w:noProof/>
      <w:color w:val="767171"/>
      <w:spacing w:val="15"/>
      <w:sz w:val="24"/>
      <w:lang w:val="es-DO" w:eastAsia="es-DO"/>
    </w:rPr>
  </w:style>
  <w:style w:type="character" w:customStyle="1" w:styleId="normaltextrun">
    <w:name w:val="normaltextrun"/>
    <w:rsid w:val="00B27F8F"/>
  </w:style>
  <w:style w:type="character" w:customStyle="1" w:styleId="Ttulo3Car">
    <w:name w:val="Título 3 Car"/>
    <w:basedOn w:val="Fuentedeprrafopredeter"/>
    <w:link w:val="Ttulo3"/>
    <w:rsid w:val="00967D16"/>
    <w:rPr>
      <w:rFonts w:ascii="Times New Roman" w:hAnsi="Times New Roman" w:cs="Times New Roman"/>
      <w:b/>
      <w:bCs/>
      <w:color w:val="767671"/>
      <w:sz w:val="24"/>
      <w:szCs w:val="24"/>
      <w:lang w:val="es-ES" w:eastAsia="es-DO"/>
    </w:rPr>
  </w:style>
  <w:style w:type="paragraph" w:styleId="Revisin">
    <w:name w:val="Revision"/>
    <w:hidden/>
    <w:uiPriority w:val="99"/>
    <w:semiHidden/>
    <w:rsid w:val="00A959CD"/>
    <w:pPr>
      <w:spacing w:after="0" w:line="240" w:lineRule="auto"/>
    </w:pPr>
    <w:rPr>
      <w:rFonts w:ascii="Times New Roman" w:hAnsi="Times New Roman" w:cs="Times New Roman"/>
      <w:color w:val="767671"/>
      <w:sz w:val="24"/>
      <w:szCs w:val="24"/>
      <w:lang w:val="es-DO" w:eastAsia="es-DO"/>
    </w:rPr>
  </w:style>
  <w:style w:type="paragraph" w:styleId="Textonotapie">
    <w:name w:val="footnote text"/>
    <w:basedOn w:val="Normal"/>
    <w:link w:val="TextonotapieCar"/>
    <w:uiPriority w:val="99"/>
    <w:semiHidden/>
    <w:unhideWhenUsed/>
    <w:rsid w:val="00E96B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6BAD"/>
    <w:rPr>
      <w:rFonts w:ascii="Times New Roman" w:hAnsi="Times New Roman" w:cs="Times New Roman"/>
      <w:color w:val="767671"/>
      <w:sz w:val="20"/>
      <w:szCs w:val="20"/>
      <w:lang w:val="es-DO" w:eastAsia="es-DO"/>
    </w:rPr>
  </w:style>
  <w:style w:type="character" w:styleId="Refdenotaalpie">
    <w:name w:val="footnote reference"/>
    <w:basedOn w:val="Fuentedeprrafopredeter"/>
    <w:uiPriority w:val="99"/>
    <w:semiHidden/>
    <w:unhideWhenUsed/>
    <w:rsid w:val="00E96BAD"/>
    <w:rPr>
      <w:vertAlign w:val="superscript"/>
    </w:rPr>
  </w:style>
  <w:style w:type="table" w:customStyle="1" w:styleId="TableNormal">
    <w:name w:val="Table Normal"/>
    <w:uiPriority w:val="2"/>
    <w:semiHidden/>
    <w:unhideWhenUsed/>
    <w:qFormat/>
    <w:rsid w:val="00FC417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4172"/>
    <w:pPr>
      <w:widowControl w:val="0"/>
      <w:autoSpaceDE w:val="0"/>
      <w:autoSpaceDN w:val="0"/>
      <w:spacing w:after="0" w:line="240" w:lineRule="auto"/>
      <w:jc w:val="left"/>
    </w:pPr>
    <w:rPr>
      <w:rFonts w:eastAsia="Times New Roman"/>
      <w:color w:val="auto"/>
      <w:sz w:val="22"/>
      <w:szCs w:val="22"/>
      <w:lang w:val="es-ES" w:eastAsia="en-US"/>
    </w:rPr>
  </w:style>
  <w:style w:type="paragraph" w:styleId="Textoindependiente">
    <w:name w:val="Body Text"/>
    <w:basedOn w:val="Normal"/>
    <w:link w:val="TextoindependienteCar"/>
    <w:uiPriority w:val="1"/>
    <w:qFormat/>
    <w:rsid w:val="00FC4172"/>
    <w:pPr>
      <w:widowControl w:val="0"/>
      <w:autoSpaceDE w:val="0"/>
      <w:autoSpaceDN w:val="0"/>
      <w:spacing w:after="0" w:line="240" w:lineRule="auto"/>
      <w:jc w:val="left"/>
    </w:pPr>
    <w:rPr>
      <w:rFonts w:eastAsia="Times New Roman"/>
      <w:color w:val="auto"/>
      <w:sz w:val="22"/>
      <w:szCs w:val="22"/>
      <w:lang w:val="es-ES" w:eastAsia="en-US"/>
    </w:rPr>
  </w:style>
  <w:style w:type="character" w:customStyle="1" w:styleId="TextoindependienteCar">
    <w:name w:val="Texto independiente Car"/>
    <w:basedOn w:val="Fuentedeprrafopredeter"/>
    <w:link w:val="Textoindependiente"/>
    <w:uiPriority w:val="1"/>
    <w:rsid w:val="00FC4172"/>
    <w:rPr>
      <w:rFonts w:ascii="Times New Roman" w:eastAsia="Times New Roman" w:hAnsi="Times New Roman" w:cs="Times New Roman"/>
      <w:lang w:val="es-ES"/>
    </w:rPr>
  </w:style>
  <w:style w:type="paragraph" w:styleId="TtuloTDC">
    <w:name w:val="TOC Heading"/>
    <w:basedOn w:val="Ttulo1"/>
    <w:next w:val="Normal"/>
    <w:uiPriority w:val="39"/>
    <w:unhideWhenUsed/>
    <w:qFormat/>
    <w:rsid w:val="00340CE1"/>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00143B" w:themeColor="accent1" w:themeShade="BF"/>
      <w:spacing w:val="0"/>
      <w:sz w:val="32"/>
      <w:szCs w:val="32"/>
    </w:rPr>
  </w:style>
  <w:style w:type="paragraph" w:styleId="TDC1">
    <w:name w:val="toc 1"/>
    <w:basedOn w:val="Normal"/>
    <w:next w:val="Normal"/>
    <w:autoRedefine/>
    <w:uiPriority w:val="39"/>
    <w:unhideWhenUsed/>
    <w:rsid w:val="00EB1014"/>
    <w:pPr>
      <w:tabs>
        <w:tab w:val="left" w:pos="480"/>
        <w:tab w:val="right" w:leader="dot" w:pos="9350"/>
      </w:tabs>
      <w:spacing w:after="100" w:line="312" w:lineRule="auto"/>
    </w:pPr>
  </w:style>
  <w:style w:type="paragraph" w:styleId="TDC2">
    <w:name w:val="toc 2"/>
    <w:basedOn w:val="Normal"/>
    <w:next w:val="Normal"/>
    <w:autoRedefine/>
    <w:uiPriority w:val="39"/>
    <w:unhideWhenUsed/>
    <w:rsid w:val="00B712C5"/>
    <w:pPr>
      <w:tabs>
        <w:tab w:val="left" w:pos="660"/>
        <w:tab w:val="right" w:leader="dot" w:pos="9350"/>
      </w:tabs>
      <w:spacing w:after="100"/>
      <w:ind w:left="426" w:hanging="142"/>
    </w:pPr>
  </w:style>
  <w:style w:type="paragraph" w:styleId="TDC3">
    <w:name w:val="toc 3"/>
    <w:basedOn w:val="Normal"/>
    <w:next w:val="Normal"/>
    <w:autoRedefine/>
    <w:uiPriority w:val="39"/>
    <w:unhideWhenUsed/>
    <w:rsid w:val="004F4A93"/>
    <w:pPr>
      <w:tabs>
        <w:tab w:val="left" w:pos="851"/>
        <w:tab w:val="right" w:leader="dot" w:pos="9350"/>
      </w:tabs>
      <w:spacing w:after="100"/>
      <w:ind w:left="480"/>
    </w:pPr>
  </w:style>
  <w:style w:type="character" w:styleId="Hipervnculo">
    <w:name w:val="Hyperlink"/>
    <w:basedOn w:val="Fuentedeprrafopredeter"/>
    <w:uiPriority w:val="99"/>
    <w:unhideWhenUsed/>
    <w:rsid w:val="00340CE1"/>
    <w:rPr>
      <w:color w:val="0563C1" w:themeColor="hyperlink"/>
      <w:u w:val="single"/>
    </w:rPr>
  </w:style>
  <w:style w:type="character" w:styleId="Refdecomentario">
    <w:name w:val="annotation reference"/>
    <w:basedOn w:val="Fuentedeprrafopredeter"/>
    <w:uiPriority w:val="99"/>
    <w:semiHidden/>
    <w:unhideWhenUsed/>
    <w:rsid w:val="00BA094A"/>
    <w:rPr>
      <w:sz w:val="16"/>
      <w:szCs w:val="16"/>
    </w:rPr>
  </w:style>
  <w:style w:type="paragraph" w:styleId="Textocomentario">
    <w:name w:val="annotation text"/>
    <w:basedOn w:val="Normal"/>
    <w:link w:val="TextocomentarioCar"/>
    <w:uiPriority w:val="99"/>
    <w:unhideWhenUsed/>
    <w:rsid w:val="00BA094A"/>
    <w:pPr>
      <w:spacing w:line="240" w:lineRule="auto"/>
    </w:pPr>
    <w:rPr>
      <w:sz w:val="20"/>
      <w:szCs w:val="20"/>
    </w:rPr>
  </w:style>
  <w:style w:type="character" w:customStyle="1" w:styleId="TextocomentarioCar">
    <w:name w:val="Texto comentario Car"/>
    <w:basedOn w:val="Fuentedeprrafopredeter"/>
    <w:link w:val="Textocomentario"/>
    <w:uiPriority w:val="99"/>
    <w:rsid w:val="00BA094A"/>
    <w:rPr>
      <w:rFonts w:ascii="Times New Roman" w:hAnsi="Times New Roman" w:cs="Times New Roman"/>
      <w:color w:val="767671"/>
      <w:sz w:val="20"/>
      <w:szCs w:val="20"/>
      <w:lang w:val="es-DO" w:eastAsia="es-DO"/>
    </w:rPr>
  </w:style>
  <w:style w:type="paragraph" w:styleId="Asuntodelcomentario">
    <w:name w:val="annotation subject"/>
    <w:basedOn w:val="Textocomentario"/>
    <w:next w:val="Textocomentario"/>
    <w:link w:val="AsuntodelcomentarioCar"/>
    <w:uiPriority w:val="99"/>
    <w:semiHidden/>
    <w:unhideWhenUsed/>
    <w:rsid w:val="00BA094A"/>
    <w:rPr>
      <w:b/>
      <w:bCs/>
    </w:rPr>
  </w:style>
  <w:style w:type="character" w:customStyle="1" w:styleId="AsuntodelcomentarioCar">
    <w:name w:val="Asunto del comentario Car"/>
    <w:basedOn w:val="TextocomentarioCar"/>
    <w:link w:val="Asuntodelcomentario"/>
    <w:uiPriority w:val="99"/>
    <w:semiHidden/>
    <w:rsid w:val="00BA094A"/>
    <w:rPr>
      <w:rFonts w:ascii="Times New Roman" w:hAnsi="Times New Roman" w:cs="Times New Roman"/>
      <w:b/>
      <w:bCs/>
      <w:color w:val="767671"/>
      <w:sz w:val="20"/>
      <w:szCs w:val="20"/>
      <w:lang w:val="es-DO" w:eastAsia="es-DO"/>
    </w:rPr>
  </w:style>
  <w:style w:type="paragraph" w:customStyle="1" w:styleId="Textonotasalpie">
    <w:name w:val="Texto notas al pie"/>
    <w:basedOn w:val="Normal"/>
    <w:link w:val="TextonotasalpieCar"/>
    <w:qFormat/>
    <w:rsid w:val="002620D3"/>
    <w:pPr>
      <w:spacing w:line="259" w:lineRule="auto"/>
    </w:pPr>
    <w:rPr>
      <w:rFonts w:ascii="Gotham Thin" w:eastAsia="Calibri" w:hAnsi="Gotham Thin"/>
      <w:color w:val="003876"/>
      <w:sz w:val="15"/>
      <w:szCs w:val="22"/>
      <w:lang w:val="es-ES" w:eastAsia="en-US"/>
    </w:rPr>
  </w:style>
  <w:style w:type="character" w:customStyle="1" w:styleId="TextonotasalpieCar">
    <w:name w:val="Texto notas al pie Car"/>
    <w:link w:val="Textonotasalpie"/>
    <w:rsid w:val="002620D3"/>
    <w:rPr>
      <w:rFonts w:ascii="Gotham Thin" w:eastAsia="Calibri" w:hAnsi="Gotham Thin" w:cs="Times New Roman"/>
      <w:color w:val="003876"/>
      <w:sz w:val="15"/>
      <w:lang w:val="es-ES"/>
    </w:rPr>
  </w:style>
  <w:style w:type="character" w:customStyle="1" w:styleId="PrrafodelistaCar">
    <w:name w:val="Párrafo de lista Car"/>
    <w:aliases w:val="Lista 123 Car,Párrafo de lista numerado Car"/>
    <w:link w:val="Prrafodelista"/>
    <w:uiPriority w:val="34"/>
    <w:locked/>
    <w:rsid w:val="00B9344A"/>
    <w:rPr>
      <w:rFonts w:ascii="Times New Roman" w:hAnsi="Times New Roman" w:cs="Times New Roman"/>
      <w:color w:val="767671"/>
      <w:sz w:val="24"/>
      <w:szCs w:val="24"/>
      <w:lang w:val="es-DO" w:eastAsia="es-DO"/>
    </w:rPr>
  </w:style>
  <w:style w:type="character" w:customStyle="1" w:styleId="Ttulo5Car">
    <w:name w:val="Título 5 Car"/>
    <w:basedOn w:val="Fuentedeprrafopredeter"/>
    <w:link w:val="Ttulo5"/>
    <w:uiPriority w:val="9"/>
    <w:semiHidden/>
    <w:rsid w:val="00807D69"/>
    <w:rPr>
      <w:rFonts w:asciiTheme="majorHAnsi" w:eastAsiaTheme="majorEastAsia" w:hAnsiTheme="majorHAnsi" w:cstheme="majorBidi"/>
      <w:color w:val="00143B" w:themeColor="accent1" w:themeShade="BF"/>
      <w:sz w:val="24"/>
      <w:szCs w:val="24"/>
      <w:lang w:val="es-DO" w:eastAsia="es-DO"/>
    </w:rPr>
  </w:style>
  <w:style w:type="paragraph" w:customStyle="1" w:styleId="xmsonormal">
    <w:name w:val="x_msonormal"/>
    <w:basedOn w:val="Normal"/>
    <w:rsid w:val="00437B38"/>
    <w:pPr>
      <w:spacing w:after="0" w:line="240" w:lineRule="auto"/>
      <w:jc w:val="left"/>
    </w:pPr>
    <w:rPr>
      <w:rFonts w:ascii="Calibri" w:hAnsi="Calibri" w:cs="Calibri"/>
      <w:color w:val="auto"/>
      <w:sz w:val="22"/>
      <w:szCs w:val="22"/>
    </w:rPr>
  </w:style>
  <w:style w:type="table" w:styleId="Tablaconcuadrcula">
    <w:name w:val="Table Grid"/>
    <w:basedOn w:val="Tablanormal"/>
    <w:uiPriority w:val="39"/>
    <w:rsid w:val="007E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7219DF"/>
    <w:rPr>
      <w:rFonts w:asciiTheme="majorHAnsi" w:eastAsiaTheme="majorEastAsia" w:hAnsiTheme="majorHAnsi" w:cstheme="majorBidi"/>
      <w:i/>
      <w:iCs/>
      <w:color w:val="00143B" w:themeColor="accent1" w:themeShade="BF"/>
      <w:sz w:val="24"/>
      <w:szCs w:val="24"/>
      <w:lang w:val="es-DO" w:eastAsia="es-DO"/>
    </w:rPr>
  </w:style>
  <w:style w:type="paragraph" w:styleId="NormalWeb">
    <w:name w:val="Normal (Web)"/>
    <w:basedOn w:val="Normal"/>
    <w:uiPriority w:val="99"/>
    <w:unhideWhenUsed/>
    <w:rsid w:val="00731E9B"/>
    <w:pPr>
      <w:spacing w:before="100" w:beforeAutospacing="1" w:after="100" w:afterAutospacing="1" w:line="240" w:lineRule="auto"/>
      <w:jc w:val="left"/>
    </w:pPr>
    <w:rPr>
      <w:rFonts w:eastAsia="Times New Roman"/>
      <w:color w:val="auto"/>
    </w:rPr>
  </w:style>
  <w:style w:type="character" w:customStyle="1" w:styleId="Ttulo6Car">
    <w:name w:val="Título 6 Car"/>
    <w:basedOn w:val="Fuentedeprrafopredeter"/>
    <w:link w:val="Ttulo6"/>
    <w:rsid w:val="00B10770"/>
    <w:rPr>
      <w:rFonts w:ascii="Calibri" w:eastAsia="Times New Roman" w:hAnsi="Calibri" w:cs="Times New Roman"/>
      <w:b/>
      <w:bCs/>
      <w:color w:val="767171"/>
      <w:sz w:val="20"/>
      <w:szCs w:val="20"/>
      <w:lang w:val="es-DO" w:eastAsia="x-none"/>
    </w:rPr>
  </w:style>
  <w:style w:type="character" w:customStyle="1" w:styleId="Ttulo7Car">
    <w:name w:val="Título 7 Car"/>
    <w:basedOn w:val="Fuentedeprrafopredeter"/>
    <w:link w:val="Ttulo7"/>
    <w:rsid w:val="00B10770"/>
    <w:rPr>
      <w:rFonts w:ascii="Calibri" w:eastAsia="Times New Roman" w:hAnsi="Calibri" w:cs="Times New Roman"/>
      <w:color w:val="767171"/>
      <w:sz w:val="24"/>
      <w:szCs w:val="24"/>
      <w:lang w:val="es-DO" w:eastAsia="x-none"/>
    </w:rPr>
  </w:style>
  <w:style w:type="character" w:customStyle="1" w:styleId="Ttulo8Car">
    <w:name w:val="Título 8 Car"/>
    <w:basedOn w:val="Fuentedeprrafopredeter"/>
    <w:link w:val="Ttulo8"/>
    <w:rsid w:val="00B10770"/>
    <w:rPr>
      <w:rFonts w:ascii="Calibri" w:eastAsia="Times New Roman" w:hAnsi="Calibri" w:cs="Times New Roman"/>
      <w:i/>
      <w:iCs/>
      <w:color w:val="767171"/>
      <w:sz w:val="24"/>
      <w:szCs w:val="24"/>
      <w:lang w:val="es-DO" w:eastAsia="x-none"/>
    </w:rPr>
  </w:style>
  <w:style w:type="character" w:customStyle="1" w:styleId="Ttulo9Car">
    <w:name w:val="Título 9 Car"/>
    <w:basedOn w:val="Fuentedeprrafopredeter"/>
    <w:link w:val="Ttulo9"/>
    <w:rsid w:val="00B10770"/>
    <w:rPr>
      <w:rFonts w:ascii="Cambria" w:eastAsia="Times New Roman" w:hAnsi="Cambria" w:cs="Times New Roman"/>
      <w:color w:val="767171"/>
      <w:sz w:val="20"/>
      <w:szCs w:val="20"/>
      <w:lang w:val="es-DO" w:eastAsia="x-none"/>
    </w:rPr>
  </w:style>
  <w:style w:type="table" w:styleId="Tablanormal1">
    <w:name w:val="Plain Table 1"/>
    <w:basedOn w:val="Tablanormal"/>
    <w:uiPriority w:val="41"/>
    <w:rsid w:val="00B82605"/>
    <w:pPr>
      <w:spacing w:after="0" w:line="240" w:lineRule="auto"/>
    </w:pPr>
    <w:rPr>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5">
    <w:name w:val="Grid Table 4 Accent 5"/>
    <w:basedOn w:val="Tablanormal"/>
    <w:uiPriority w:val="49"/>
    <w:rsid w:val="00212B6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xxmsonormal">
    <w:name w:val="x_x_msonormal"/>
    <w:basedOn w:val="Normal"/>
    <w:rsid w:val="006C3AB9"/>
    <w:pPr>
      <w:spacing w:after="0" w:line="240" w:lineRule="auto"/>
      <w:jc w:val="left"/>
    </w:pPr>
    <w:rPr>
      <w:rFonts w:ascii="Calibri" w:hAnsi="Calibri" w:cs="Calibri"/>
      <w:color w:val="auto"/>
      <w:sz w:val="22"/>
      <w:szCs w:val="22"/>
    </w:rPr>
  </w:style>
  <w:style w:type="character" w:styleId="Textoennegrita">
    <w:name w:val="Strong"/>
    <w:basedOn w:val="Fuentedeprrafopredeter"/>
    <w:uiPriority w:val="22"/>
    <w:qFormat/>
    <w:rsid w:val="007F20C9"/>
    <w:rPr>
      <w:b/>
      <w:bCs/>
    </w:rPr>
  </w:style>
  <w:style w:type="table" w:styleId="Tabladelista4-nfasis1">
    <w:name w:val="List Table 4 Accent 1"/>
    <w:basedOn w:val="Tablanormal"/>
    <w:uiPriority w:val="49"/>
    <w:rsid w:val="0017697F"/>
    <w:pPr>
      <w:spacing w:after="0" w:line="240" w:lineRule="auto"/>
    </w:pPr>
    <w:tblPr>
      <w:tblStyleRowBandSize w:val="1"/>
      <w:tblStyleColBandSize w:val="1"/>
      <w:tblBorders>
        <w:top w:val="single" w:sz="4" w:space="0" w:color="0357F9" w:themeColor="accent1" w:themeTint="99"/>
        <w:left w:val="single" w:sz="4" w:space="0" w:color="0357F9" w:themeColor="accent1" w:themeTint="99"/>
        <w:bottom w:val="single" w:sz="4" w:space="0" w:color="0357F9" w:themeColor="accent1" w:themeTint="99"/>
        <w:right w:val="single" w:sz="4" w:space="0" w:color="0357F9" w:themeColor="accent1" w:themeTint="99"/>
        <w:insideH w:val="single" w:sz="4" w:space="0" w:color="0357F9" w:themeColor="accent1" w:themeTint="99"/>
      </w:tblBorders>
    </w:tblPr>
    <w:tblStylePr w:type="firstRow">
      <w:rPr>
        <w:b/>
        <w:bCs/>
        <w:color w:val="FFFFFF" w:themeColor="background1"/>
      </w:rPr>
      <w:tblPr/>
      <w:tcPr>
        <w:tcBorders>
          <w:top w:val="single" w:sz="4" w:space="0" w:color="011C50" w:themeColor="accent1"/>
          <w:left w:val="single" w:sz="4" w:space="0" w:color="011C50" w:themeColor="accent1"/>
          <w:bottom w:val="single" w:sz="4" w:space="0" w:color="011C50" w:themeColor="accent1"/>
          <w:right w:val="single" w:sz="4" w:space="0" w:color="011C50" w:themeColor="accent1"/>
          <w:insideH w:val="nil"/>
        </w:tcBorders>
        <w:shd w:val="clear" w:color="auto" w:fill="011C50" w:themeFill="accent1"/>
      </w:tcPr>
    </w:tblStylePr>
    <w:tblStylePr w:type="lastRow">
      <w:rPr>
        <w:b/>
        <w:bCs/>
      </w:rPr>
      <w:tblPr/>
      <w:tcPr>
        <w:tcBorders>
          <w:top w:val="double" w:sz="4" w:space="0" w:color="0357F9" w:themeColor="accent1" w:themeTint="99"/>
        </w:tcBorders>
      </w:tcPr>
    </w:tblStylePr>
    <w:tblStylePr w:type="firstCol">
      <w:rPr>
        <w:b/>
        <w:bCs/>
      </w:rPr>
    </w:tblStylePr>
    <w:tblStylePr w:type="lastCol">
      <w:rPr>
        <w:b/>
        <w:bCs/>
      </w:rPr>
    </w:tblStylePr>
    <w:tblStylePr w:type="band1Vert">
      <w:tblPr/>
      <w:tcPr>
        <w:shd w:val="clear" w:color="auto" w:fill="AAC6FE" w:themeFill="accent1" w:themeFillTint="33"/>
      </w:tcPr>
    </w:tblStylePr>
    <w:tblStylePr w:type="band1Horz">
      <w:tblPr/>
      <w:tcPr>
        <w:shd w:val="clear" w:color="auto" w:fill="AAC6FE" w:themeFill="accent1" w:themeFillTint="33"/>
      </w:tcPr>
    </w:tblStylePr>
  </w:style>
  <w:style w:type="paragraph" w:styleId="Descripcin">
    <w:name w:val="caption"/>
    <w:basedOn w:val="Normal"/>
    <w:next w:val="Normal"/>
    <w:uiPriority w:val="35"/>
    <w:unhideWhenUsed/>
    <w:qFormat/>
    <w:rsid w:val="00D40742"/>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E06CEB"/>
    <w:rPr>
      <w:color w:val="605E5C"/>
      <w:shd w:val="clear" w:color="auto" w:fill="E1DFDD"/>
    </w:rPr>
  </w:style>
  <w:style w:type="paragraph" w:customStyle="1" w:styleId="Default">
    <w:name w:val="Default"/>
    <w:rsid w:val="003454FC"/>
    <w:pPr>
      <w:autoSpaceDE w:val="0"/>
      <w:autoSpaceDN w:val="0"/>
      <w:adjustRightInd w:val="0"/>
      <w:spacing w:after="0" w:line="240" w:lineRule="auto"/>
    </w:pPr>
    <w:rPr>
      <w:rFonts w:ascii="Verdana" w:hAnsi="Verdana" w:cs="Verdana"/>
      <w:color w:val="000000"/>
      <w:sz w:val="24"/>
      <w:szCs w:val="24"/>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315">
      <w:bodyDiv w:val="1"/>
      <w:marLeft w:val="0"/>
      <w:marRight w:val="0"/>
      <w:marTop w:val="0"/>
      <w:marBottom w:val="0"/>
      <w:divBdr>
        <w:top w:val="none" w:sz="0" w:space="0" w:color="auto"/>
        <w:left w:val="none" w:sz="0" w:space="0" w:color="auto"/>
        <w:bottom w:val="none" w:sz="0" w:space="0" w:color="auto"/>
        <w:right w:val="none" w:sz="0" w:space="0" w:color="auto"/>
      </w:divBdr>
    </w:div>
    <w:div w:id="13462876">
      <w:bodyDiv w:val="1"/>
      <w:marLeft w:val="0"/>
      <w:marRight w:val="0"/>
      <w:marTop w:val="0"/>
      <w:marBottom w:val="0"/>
      <w:divBdr>
        <w:top w:val="none" w:sz="0" w:space="0" w:color="auto"/>
        <w:left w:val="none" w:sz="0" w:space="0" w:color="auto"/>
        <w:bottom w:val="none" w:sz="0" w:space="0" w:color="auto"/>
        <w:right w:val="none" w:sz="0" w:space="0" w:color="auto"/>
      </w:divBdr>
    </w:div>
    <w:div w:id="60301063">
      <w:bodyDiv w:val="1"/>
      <w:marLeft w:val="0"/>
      <w:marRight w:val="0"/>
      <w:marTop w:val="0"/>
      <w:marBottom w:val="0"/>
      <w:divBdr>
        <w:top w:val="none" w:sz="0" w:space="0" w:color="auto"/>
        <w:left w:val="none" w:sz="0" w:space="0" w:color="auto"/>
        <w:bottom w:val="none" w:sz="0" w:space="0" w:color="auto"/>
        <w:right w:val="none" w:sz="0" w:space="0" w:color="auto"/>
      </w:divBdr>
    </w:div>
    <w:div w:id="64688188">
      <w:bodyDiv w:val="1"/>
      <w:marLeft w:val="0"/>
      <w:marRight w:val="0"/>
      <w:marTop w:val="0"/>
      <w:marBottom w:val="0"/>
      <w:divBdr>
        <w:top w:val="none" w:sz="0" w:space="0" w:color="auto"/>
        <w:left w:val="none" w:sz="0" w:space="0" w:color="auto"/>
        <w:bottom w:val="none" w:sz="0" w:space="0" w:color="auto"/>
        <w:right w:val="none" w:sz="0" w:space="0" w:color="auto"/>
      </w:divBdr>
    </w:div>
    <w:div w:id="167451536">
      <w:bodyDiv w:val="1"/>
      <w:marLeft w:val="0"/>
      <w:marRight w:val="0"/>
      <w:marTop w:val="0"/>
      <w:marBottom w:val="0"/>
      <w:divBdr>
        <w:top w:val="none" w:sz="0" w:space="0" w:color="auto"/>
        <w:left w:val="none" w:sz="0" w:space="0" w:color="auto"/>
        <w:bottom w:val="none" w:sz="0" w:space="0" w:color="auto"/>
        <w:right w:val="none" w:sz="0" w:space="0" w:color="auto"/>
      </w:divBdr>
    </w:div>
    <w:div w:id="175385906">
      <w:bodyDiv w:val="1"/>
      <w:marLeft w:val="0"/>
      <w:marRight w:val="0"/>
      <w:marTop w:val="0"/>
      <w:marBottom w:val="0"/>
      <w:divBdr>
        <w:top w:val="none" w:sz="0" w:space="0" w:color="auto"/>
        <w:left w:val="none" w:sz="0" w:space="0" w:color="auto"/>
        <w:bottom w:val="none" w:sz="0" w:space="0" w:color="auto"/>
        <w:right w:val="none" w:sz="0" w:space="0" w:color="auto"/>
      </w:divBdr>
    </w:div>
    <w:div w:id="181358225">
      <w:bodyDiv w:val="1"/>
      <w:marLeft w:val="0"/>
      <w:marRight w:val="0"/>
      <w:marTop w:val="0"/>
      <w:marBottom w:val="0"/>
      <w:divBdr>
        <w:top w:val="none" w:sz="0" w:space="0" w:color="auto"/>
        <w:left w:val="none" w:sz="0" w:space="0" w:color="auto"/>
        <w:bottom w:val="none" w:sz="0" w:space="0" w:color="auto"/>
        <w:right w:val="none" w:sz="0" w:space="0" w:color="auto"/>
      </w:divBdr>
    </w:div>
    <w:div w:id="201284137">
      <w:bodyDiv w:val="1"/>
      <w:marLeft w:val="0"/>
      <w:marRight w:val="0"/>
      <w:marTop w:val="0"/>
      <w:marBottom w:val="0"/>
      <w:divBdr>
        <w:top w:val="none" w:sz="0" w:space="0" w:color="auto"/>
        <w:left w:val="none" w:sz="0" w:space="0" w:color="auto"/>
        <w:bottom w:val="none" w:sz="0" w:space="0" w:color="auto"/>
        <w:right w:val="none" w:sz="0" w:space="0" w:color="auto"/>
      </w:divBdr>
    </w:div>
    <w:div w:id="205803524">
      <w:bodyDiv w:val="1"/>
      <w:marLeft w:val="0"/>
      <w:marRight w:val="0"/>
      <w:marTop w:val="0"/>
      <w:marBottom w:val="0"/>
      <w:divBdr>
        <w:top w:val="none" w:sz="0" w:space="0" w:color="auto"/>
        <w:left w:val="none" w:sz="0" w:space="0" w:color="auto"/>
        <w:bottom w:val="none" w:sz="0" w:space="0" w:color="auto"/>
        <w:right w:val="none" w:sz="0" w:space="0" w:color="auto"/>
      </w:divBdr>
    </w:div>
    <w:div w:id="208686232">
      <w:bodyDiv w:val="1"/>
      <w:marLeft w:val="0"/>
      <w:marRight w:val="0"/>
      <w:marTop w:val="0"/>
      <w:marBottom w:val="0"/>
      <w:divBdr>
        <w:top w:val="none" w:sz="0" w:space="0" w:color="auto"/>
        <w:left w:val="none" w:sz="0" w:space="0" w:color="auto"/>
        <w:bottom w:val="none" w:sz="0" w:space="0" w:color="auto"/>
        <w:right w:val="none" w:sz="0" w:space="0" w:color="auto"/>
      </w:divBdr>
    </w:div>
    <w:div w:id="213202769">
      <w:bodyDiv w:val="1"/>
      <w:marLeft w:val="0"/>
      <w:marRight w:val="0"/>
      <w:marTop w:val="0"/>
      <w:marBottom w:val="0"/>
      <w:divBdr>
        <w:top w:val="none" w:sz="0" w:space="0" w:color="auto"/>
        <w:left w:val="none" w:sz="0" w:space="0" w:color="auto"/>
        <w:bottom w:val="none" w:sz="0" w:space="0" w:color="auto"/>
        <w:right w:val="none" w:sz="0" w:space="0" w:color="auto"/>
      </w:divBdr>
    </w:div>
    <w:div w:id="302849794">
      <w:bodyDiv w:val="1"/>
      <w:marLeft w:val="0"/>
      <w:marRight w:val="0"/>
      <w:marTop w:val="0"/>
      <w:marBottom w:val="0"/>
      <w:divBdr>
        <w:top w:val="none" w:sz="0" w:space="0" w:color="auto"/>
        <w:left w:val="none" w:sz="0" w:space="0" w:color="auto"/>
        <w:bottom w:val="none" w:sz="0" w:space="0" w:color="auto"/>
        <w:right w:val="none" w:sz="0" w:space="0" w:color="auto"/>
      </w:divBdr>
    </w:div>
    <w:div w:id="315689286">
      <w:bodyDiv w:val="1"/>
      <w:marLeft w:val="0"/>
      <w:marRight w:val="0"/>
      <w:marTop w:val="0"/>
      <w:marBottom w:val="0"/>
      <w:divBdr>
        <w:top w:val="none" w:sz="0" w:space="0" w:color="auto"/>
        <w:left w:val="none" w:sz="0" w:space="0" w:color="auto"/>
        <w:bottom w:val="none" w:sz="0" w:space="0" w:color="auto"/>
        <w:right w:val="none" w:sz="0" w:space="0" w:color="auto"/>
      </w:divBdr>
    </w:div>
    <w:div w:id="398216771">
      <w:bodyDiv w:val="1"/>
      <w:marLeft w:val="0"/>
      <w:marRight w:val="0"/>
      <w:marTop w:val="0"/>
      <w:marBottom w:val="0"/>
      <w:divBdr>
        <w:top w:val="none" w:sz="0" w:space="0" w:color="auto"/>
        <w:left w:val="none" w:sz="0" w:space="0" w:color="auto"/>
        <w:bottom w:val="none" w:sz="0" w:space="0" w:color="auto"/>
        <w:right w:val="none" w:sz="0" w:space="0" w:color="auto"/>
      </w:divBdr>
    </w:div>
    <w:div w:id="468131140">
      <w:bodyDiv w:val="1"/>
      <w:marLeft w:val="0"/>
      <w:marRight w:val="0"/>
      <w:marTop w:val="0"/>
      <w:marBottom w:val="0"/>
      <w:divBdr>
        <w:top w:val="none" w:sz="0" w:space="0" w:color="auto"/>
        <w:left w:val="none" w:sz="0" w:space="0" w:color="auto"/>
        <w:bottom w:val="none" w:sz="0" w:space="0" w:color="auto"/>
        <w:right w:val="none" w:sz="0" w:space="0" w:color="auto"/>
      </w:divBdr>
    </w:div>
    <w:div w:id="473302990">
      <w:bodyDiv w:val="1"/>
      <w:marLeft w:val="0"/>
      <w:marRight w:val="0"/>
      <w:marTop w:val="0"/>
      <w:marBottom w:val="0"/>
      <w:divBdr>
        <w:top w:val="none" w:sz="0" w:space="0" w:color="auto"/>
        <w:left w:val="none" w:sz="0" w:space="0" w:color="auto"/>
        <w:bottom w:val="none" w:sz="0" w:space="0" w:color="auto"/>
        <w:right w:val="none" w:sz="0" w:space="0" w:color="auto"/>
      </w:divBdr>
    </w:div>
    <w:div w:id="521434401">
      <w:bodyDiv w:val="1"/>
      <w:marLeft w:val="0"/>
      <w:marRight w:val="0"/>
      <w:marTop w:val="0"/>
      <w:marBottom w:val="0"/>
      <w:divBdr>
        <w:top w:val="none" w:sz="0" w:space="0" w:color="auto"/>
        <w:left w:val="none" w:sz="0" w:space="0" w:color="auto"/>
        <w:bottom w:val="none" w:sz="0" w:space="0" w:color="auto"/>
        <w:right w:val="none" w:sz="0" w:space="0" w:color="auto"/>
      </w:divBdr>
    </w:div>
    <w:div w:id="523327174">
      <w:bodyDiv w:val="1"/>
      <w:marLeft w:val="0"/>
      <w:marRight w:val="0"/>
      <w:marTop w:val="0"/>
      <w:marBottom w:val="0"/>
      <w:divBdr>
        <w:top w:val="none" w:sz="0" w:space="0" w:color="auto"/>
        <w:left w:val="none" w:sz="0" w:space="0" w:color="auto"/>
        <w:bottom w:val="none" w:sz="0" w:space="0" w:color="auto"/>
        <w:right w:val="none" w:sz="0" w:space="0" w:color="auto"/>
      </w:divBdr>
    </w:div>
    <w:div w:id="541207988">
      <w:bodyDiv w:val="1"/>
      <w:marLeft w:val="0"/>
      <w:marRight w:val="0"/>
      <w:marTop w:val="0"/>
      <w:marBottom w:val="0"/>
      <w:divBdr>
        <w:top w:val="none" w:sz="0" w:space="0" w:color="auto"/>
        <w:left w:val="none" w:sz="0" w:space="0" w:color="auto"/>
        <w:bottom w:val="none" w:sz="0" w:space="0" w:color="auto"/>
        <w:right w:val="none" w:sz="0" w:space="0" w:color="auto"/>
      </w:divBdr>
    </w:div>
    <w:div w:id="549079406">
      <w:bodyDiv w:val="1"/>
      <w:marLeft w:val="0"/>
      <w:marRight w:val="0"/>
      <w:marTop w:val="0"/>
      <w:marBottom w:val="0"/>
      <w:divBdr>
        <w:top w:val="none" w:sz="0" w:space="0" w:color="auto"/>
        <w:left w:val="none" w:sz="0" w:space="0" w:color="auto"/>
        <w:bottom w:val="none" w:sz="0" w:space="0" w:color="auto"/>
        <w:right w:val="none" w:sz="0" w:space="0" w:color="auto"/>
      </w:divBdr>
    </w:div>
    <w:div w:id="556278526">
      <w:bodyDiv w:val="1"/>
      <w:marLeft w:val="0"/>
      <w:marRight w:val="0"/>
      <w:marTop w:val="0"/>
      <w:marBottom w:val="0"/>
      <w:divBdr>
        <w:top w:val="none" w:sz="0" w:space="0" w:color="auto"/>
        <w:left w:val="none" w:sz="0" w:space="0" w:color="auto"/>
        <w:bottom w:val="none" w:sz="0" w:space="0" w:color="auto"/>
        <w:right w:val="none" w:sz="0" w:space="0" w:color="auto"/>
      </w:divBdr>
    </w:div>
    <w:div w:id="610012439">
      <w:bodyDiv w:val="1"/>
      <w:marLeft w:val="0"/>
      <w:marRight w:val="0"/>
      <w:marTop w:val="0"/>
      <w:marBottom w:val="0"/>
      <w:divBdr>
        <w:top w:val="none" w:sz="0" w:space="0" w:color="auto"/>
        <w:left w:val="none" w:sz="0" w:space="0" w:color="auto"/>
        <w:bottom w:val="none" w:sz="0" w:space="0" w:color="auto"/>
        <w:right w:val="none" w:sz="0" w:space="0" w:color="auto"/>
      </w:divBdr>
    </w:div>
    <w:div w:id="629047041">
      <w:bodyDiv w:val="1"/>
      <w:marLeft w:val="0"/>
      <w:marRight w:val="0"/>
      <w:marTop w:val="0"/>
      <w:marBottom w:val="0"/>
      <w:divBdr>
        <w:top w:val="none" w:sz="0" w:space="0" w:color="auto"/>
        <w:left w:val="none" w:sz="0" w:space="0" w:color="auto"/>
        <w:bottom w:val="none" w:sz="0" w:space="0" w:color="auto"/>
        <w:right w:val="none" w:sz="0" w:space="0" w:color="auto"/>
      </w:divBdr>
    </w:div>
    <w:div w:id="639656119">
      <w:bodyDiv w:val="1"/>
      <w:marLeft w:val="0"/>
      <w:marRight w:val="0"/>
      <w:marTop w:val="0"/>
      <w:marBottom w:val="0"/>
      <w:divBdr>
        <w:top w:val="none" w:sz="0" w:space="0" w:color="auto"/>
        <w:left w:val="none" w:sz="0" w:space="0" w:color="auto"/>
        <w:bottom w:val="none" w:sz="0" w:space="0" w:color="auto"/>
        <w:right w:val="none" w:sz="0" w:space="0" w:color="auto"/>
      </w:divBdr>
    </w:div>
    <w:div w:id="641077765">
      <w:bodyDiv w:val="1"/>
      <w:marLeft w:val="0"/>
      <w:marRight w:val="0"/>
      <w:marTop w:val="0"/>
      <w:marBottom w:val="0"/>
      <w:divBdr>
        <w:top w:val="none" w:sz="0" w:space="0" w:color="auto"/>
        <w:left w:val="none" w:sz="0" w:space="0" w:color="auto"/>
        <w:bottom w:val="none" w:sz="0" w:space="0" w:color="auto"/>
        <w:right w:val="none" w:sz="0" w:space="0" w:color="auto"/>
      </w:divBdr>
    </w:div>
    <w:div w:id="644437496">
      <w:bodyDiv w:val="1"/>
      <w:marLeft w:val="0"/>
      <w:marRight w:val="0"/>
      <w:marTop w:val="0"/>
      <w:marBottom w:val="0"/>
      <w:divBdr>
        <w:top w:val="none" w:sz="0" w:space="0" w:color="auto"/>
        <w:left w:val="none" w:sz="0" w:space="0" w:color="auto"/>
        <w:bottom w:val="none" w:sz="0" w:space="0" w:color="auto"/>
        <w:right w:val="none" w:sz="0" w:space="0" w:color="auto"/>
      </w:divBdr>
    </w:div>
    <w:div w:id="650257276">
      <w:bodyDiv w:val="1"/>
      <w:marLeft w:val="0"/>
      <w:marRight w:val="0"/>
      <w:marTop w:val="0"/>
      <w:marBottom w:val="0"/>
      <w:divBdr>
        <w:top w:val="none" w:sz="0" w:space="0" w:color="auto"/>
        <w:left w:val="none" w:sz="0" w:space="0" w:color="auto"/>
        <w:bottom w:val="none" w:sz="0" w:space="0" w:color="auto"/>
        <w:right w:val="none" w:sz="0" w:space="0" w:color="auto"/>
      </w:divBdr>
    </w:div>
    <w:div w:id="663319453">
      <w:bodyDiv w:val="1"/>
      <w:marLeft w:val="0"/>
      <w:marRight w:val="0"/>
      <w:marTop w:val="0"/>
      <w:marBottom w:val="0"/>
      <w:divBdr>
        <w:top w:val="none" w:sz="0" w:space="0" w:color="auto"/>
        <w:left w:val="none" w:sz="0" w:space="0" w:color="auto"/>
        <w:bottom w:val="none" w:sz="0" w:space="0" w:color="auto"/>
        <w:right w:val="none" w:sz="0" w:space="0" w:color="auto"/>
      </w:divBdr>
    </w:div>
    <w:div w:id="675037810">
      <w:bodyDiv w:val="1"/>
      <w:marLeft w:val="0"/>
      <w:marRight w:val="0"/>
      <w:marTop w:val="0"/>
      <w:marBottom w:val="0"/>
      <w:divBdr>
        <w:top w:val="none" w:sz="0" w:space="0" w:color="auto"/>
        <w:left w:val="none" w:sz="0" w:space="0" w:color="auto"/>
        <w:bottom w:val="none" w:sz="0" w:space="0" w:color="auto"/>
        <w:right w:val="none" w:sz="0" w:space="0" w:color="auto"/>
      </w:divBdr>
    </w:div>
    <w:div w:id="720248702">
      <w:bodyDiv w:val="1"/>
      <w:marLeft w:val="0"/>
      <w:marRight w:val="0"/>
      <w:marTop w:val="0"/>
      <w:marBottom w:val="0"/>
      <w:divBdr>
        <w:top w:val="none" w:sz="0" w:space="0" w:color="auto"/>
        <w:left w:val="none" w:sz="0" w:space="0" w:color="auto"/>
        <w:bottom w:val="none" w:sz="0" w:space="0" w:color="auto"/>
        <w:right w:val="none" w:sz="0" w:space="0" w:color="auto"/>
      </w:divBdr>
    </w:div>
    <w:div w:id="762144037">
      <w:bodyDiv w:val="1"/>
      <w:marLeft w:val="0"/>
      <w:marRight w:val="0"/>
      <w:marTop w:val="0"/>
      <w:marBottom w:val="0"/>
      <w:divBdr>
        <w:top w:val="none" w:sz="0" w:space="0" w:color="auto"/>
        <w:left w:val="none" w:sz="0" w:space="0" w:color="auto"/>
        <w:bottom w:val="none" w:sz="0" w:space="0" w:color="auto"/>
        <w:right w:val="none" w:sz="0" w:space="0" w:color="auto"/>
      </w:divBdr>
    </w:div>
    <w:div w:id="837235056">
      <w:bodyDiv w:val="1"/>
      <w:marLeft w:val="0"/>
      <w:marRight w:val="0"/>
      <w:marTop w:val="0"/>
      <w:marBottom w:val="0"/>
      <w:divBdr>
        <w:top w:val="none" w:sz="0" w:space="0" w:color="auto"/>
        <w:left w:val="none" w:sz="0" w:space="0" w:color="auto"/>
        <w:bottom w:val="none" w:sz="0" w:space="0" w:color="auto"/>
        <w:right w:val="none" w:sz="0" w:space="0" w:color="auto"/>
      </w:divBdr>
    </w:div>
    <w:div w:id="850875033">
      <w:bodyDiv w:val="1"/>
      <w:marLeft w:val="0"/>
      <w:marRight w:val="0"/>
      <w:marTop w:val="0"/>
      <w:marBottom w:val="0"/>
      <w:divBdr>
        <w:top w:val="none" w:sz="0" w:space="0" w:color="auto"/>
        <w:left w:val="none" w:sz="0" w:space="0" w:color="auto"/>
        <w:bottom w:val="none" w:sz="0" w:space="0" w:color="auto"/>
        <w:right w:val="none" w:sz="0" w:space="0" w:color="auto"/>
      </w:divBdr>
    </w:div>
    <w:div w:id="919631971">
      <w:bodyDiv w:val="1"/>
      <w:marLeft w:val="0"/>
      <w:marRight w:val="0"/>
      <w:marTop w:val="0"/>
      <w:marBottom w:val="0"/>
      <w:divBdr>
        <w:top w:val="none" w:sz="0" w:space="0" w:color="auto"/>
        <w:left w:val="none" w:sz="0" w:space="0" w:color="auto"/>
        <w:bottom w:val="none" w:sz="0" w:space="0" w:color="auto"/>
        <w:right w:val="none" w:sz="0" w:space="0" w:color="auto"/>
      </w:divBdr>
    </w:div>
    <w:div w:id="928319139">
      <w:bodyDiv w:val="1"/>
      <w:marLeft w:val="0"/>
      <w:marRight w:val="0"/>
      <w:marTop w:val="0"/>
      <w:marBottom w:val="0"/>
      <w:divBdr>
        <w:top w:val="none" w:sz="0" w:space="0" w:color="auto"/>
        <w:left w:val="none" w:sz="0" w:space="0" w:color="auto"/>
        <w:bottom w:val="none" w:sz="0" w:space="0" w:color="auto"/>
        <w:right w:val="none" w:sz="0" w:space="0" w:color="auto"/>
      </w:divBdr>
    </w:div>
    <w:div w:id="931740168">
      <w:bodyDiv w:val="1"/>
      <w:marLeft w:val="0"/>
      <w:marRight w:val="0"/>
      <w:marTop w:val="0"/>
      <w:marBottom w:val="0"/>
      <w:divBdr>
        <w:top w:val="none" w:sz="0" w:space="0" w:color="auto"/>
        <w:left w:val="none" w:sz="0" w:space="0" w:color="auto"/>
        <w:bottom w:val="none" w:sz="0" w:space="0" w:color="auto"/>
        <w:right w:val="none" w:sz="0" w:space="0" w:color="auto"/>
      </w:divBdr>
    </w:div>
    <w:div w:id="978460761">
      <w:bodyDiv w:val="1"/>
      <w:marLeft w:val="0"/>
      <w:marRight w:val="0"/>
      <w:marTop w:val="0"/>
      <w:marBottom w:val="0"/>
      <w:divBdr>
        <w:top w:val="none" w:sz="0" w:space="0" w:color="auto"/>
        <w:left w:val="none" w:sz="0" w:space="0" w:color="auto"/>
        <w:bottom w:val="none" w:sz="0" w:space="0" w:color="auto"/>
        <w:right w:val="none" w:sz="0" w:space="0" w:color="auto"/>
      </w:divBdr>
    </w:div>
    <w:div w:id="1012101420">
      <w:bodyDiv w:val="1"/>
      <w:marLeft w:val="0"/>
      <w:marRight w:val="0"/>
      <w:marTop w:val="0"/>
      <w:marBottom w:val="0"/>
      <w:divBdr>
        <w:top w:val="none" w:sz="0" w:space="0" w:color="auto"/>
        <w:left w:val="none" w:sz="0" w:space="0" w:color="auto"/>
        <w:bottom w:val="none" w:sz="0" w:space="0" w:color="auto"/>
        <w:right w:val="none" w:sz="0" w:space="0" w:color="auto"/>
      </w:divBdr>
    </w:div>
    <w:div w:id="1022708314">
      <w:bodyDiv w:val="1"/>
      <w:marLeft w:val="0"/>
      <w:marRight w:val="0"/>
      <w:marTop w:val="0"/>
      <w:marBottom w:val="0"/>
      <w:divBdr>
        <w:top w:val="none" w:sz="0" w:space="0" w:color="auto"/>
        <w:left w:val="none" w:sz="0" w:space="0" w:color="auto"/>
        <w:bottom w:val="none" w:sz="0" w:space="0" w:color="auto"/>
        <w:right w:val="none" w:sz="0" w:space="0" w:color="auto"/>
      </w:divBdr>
    </w:div>
    <w:div w:id="1036664664">
      <w:bodyDiv w:val="1"/>
      <w:marLeft w:val="0"/>
      <w:marRight w:val="0"/>
      <w:marTop w:val="0"/>
      <w:marBottom w:val="0"/>
      <w:divBdr>
        <w:top w:val="none" w:sz="0" w:space="0" w:color="auto"/>
        <w:left w:val="none" w:sz="0" w:space="0" w:color="auto"/>
        <w:bottom w:val="none" w:sz="0" w:space="0" w:color="auto"/>
        <w:right w:val="none" w:sz="0" w:space="0" w:color="auto"/>
      </w:divBdr>
    </w:div>
    <w:div w:id="1066609171">
      <w:bodyDiv w:val="1"/>
      <w:marLeft w:val="0"/>
      <w:marRight w:val="0"/>
      <w:marTop w:val="0"/>
      <w:marBottom w:val="0"/>
      <w:divBdr>
        <w:top w:val="none" w:sz="0" w:space="0" w:color="auto"/>
        <w:left w:val="none" w:sz="0" w:space="0" w:color="auto"/>
        <w:bottom w:val="none" w:sz="0" w:space="0" w:color="auto"/>
        <w:right w:val="none" w:sz="0" w:space="0" w:color="auto"/>
      </w:divBdr>
    </w:div>
    <w:div w:id="1075394872">
      <w:bodyDiv w:val="1"/>
      <w:marLeft w:val="0"/>
      <w:marRight w:val="0"/>
      <w:marTop w:val="0"/>
      <w:marBottom w:val="0"/>
      <w:divBdr>
        <w:top w:val="none" w:sz="0" w:space="0" w:color="auto"/>
        <w:left w:val="none" w:sz="0" w:space="0" w:color="auto"/>
        <w:bottom w:val="none" w:sz="0" w:space="0" w:color="auto"/>
        <w:right w:val="none" w:sz="0" w:space="0" w:color="auto"/>
      </w:divBdr>
    </w:div>
    <w:div w:id="1121264419">
      <w:bodyDiv w:val="1"/>
      <w:marLeft w:val="0"/>
      <w:marRight w:val="0"/>
      <w:marTop w:val="0"/>
      <w:marBottom w:val="0"/>
      <w:divBdr>
        <w:top w:val="none" w:sz="0" w:space="0" w:color="auto"/>
        <w:left w:val="none" w:sz="0" w:space="0" w:color="auto"/>
        <w:bottom w:val="none" w:sz="0" w:space="0" w:color="auto"/>
        <w:right w:val="none" w:sz="0" w:space="0" w:color="auto"/>
      </w:divBdr>
    </w:div>
    <w:div w:id="1125780079">
      <w:bodyDiv w:val="1"/>
      <w:marLeft w:val="0"/>
      <w:marRight w:val="0"/>
      <w:marTop w:val="0"/>
      <w:marBottom w:val="0"/>
      <w:divBdr>
        <w:top w:val="none" w:sz="0" w:space="0" w:color="auto"/>
        <w:left w:val="none" w:sz="0" w:space="0" w:color="auto"/>
        <w:bottom w:val="none" w:sz="0" w:space="0" w:color="auto"/>
        <w:right w:val="none" w:sz="0" w:space="0" w:color="auto"/>
      </w:divBdr>
    </w:div>
    <w:div w:id="1154025436">
      <w:bodyDiv w:val="1"/>
      <w:marLeft w:val="0"/>
      <w:marRight w:val="0"/>
      <w:marTop w:val="0"/>
      <w:marBottom w:val="0"/>
      <w:divBdr>
        <w:top w:val="none" w:sz="0" w:space="0" w:color="auto"/>
        <w:left w:val="none" w:sz="0" w:space="0" w:color="auto"/>
        <w:bottom w:val="none" w:sz="0" w:space="0" w:color="auto"/>
        <w:right w:val="none" w:sz="0" w:space="0" w:color="auto"/>
      </w:divBdr>
    </w:div>
    <w:div w:id="1183319544">
      <w:bodyDiv w:val="1"/>
      <w:marLeft w:val="0"/>
      <w:marRight w:val="0"/>
      <w:marTop w:val="0"/>
      <w:marBottom w:val="0"/>
      <w:divBdr>
        <w:top w:val="none" w:sz="0" w:space="0" w:color="auto"/>
        <w:left w:val="none" w:sz="0" w:space="0" w:color="auto"/>
        <w:bottom w:val="none" w:sz="0" w:space="0" w:color="auto"/>
        <w:right w:val="none" w:sz="0" w:space="0" w:color="auto"/>
      </w:divBdr>
    </w:div>
    <w:div w:id="1216742296">
      <w:bodyDiv w:val="1"/>
      <w:marLeft w:val="0"/>
      <w:marRight w:val="0"/>
      <w:marTop w:val="0"/>
      <w:marBottom w:val="0"/>
      <w:divBdr>
        <w:top w:val="none" w:sz="0" w:space="0" w:color="auto"/>
        <w:left w:val="none" w:sz="0" w:space="0" w:color="auto"/>
        <w:bottom w:val="none" w:sz="0" w:space="0" w:color="auto"/>
        <w:right w:val="none" w:sz="0" w:space="0" w:color="auto"/>
      </w:divBdr>
    </w:div>
    <w:div w:id="1247811702">
      <w:bodyDiv w:val="1"/>
      <w:marLeft w:val="0"/>
      <w:marRight w:val="0"/>
      <w:marTop w:val="0"/>
      <w:marBottom w:val="0"/>
      <w:divBdr>
        <w:top w:val="none" w:sz="0" w:space="0" w:color="auto"/>
        <w:left w:val="none" w:sz="0" w:space="0" w:color="auto"/>
        <w:bottom w:val="none" w:sz="0" w:space="0" w:color="auto"/>
        <w:right w:val="none" w:sz="0" w:space="0" w:color="auto"/>
      </w:divBdr>
    </w:div>
    <w:div w:id="1248617429">
      <w:bodyDiv w:val="1"/>
      <w:marLeft w:val="0"/>
      <w:marRight w:val="0"/>
      <w:marTop w:val="0"/>
      <w:marBottom w:val="0"/>
      <w:divBdr>
        <w:top w:val="none" w:sz="0" w:space="0" w:color="auto"/>
        <w:left w:val="none" w:sz="0" w:space="0" w:color="auto"/>
        <w:bottom w:val="none" w:sz="0" w:space="0" w:color="auto"/>
        <w:right w:val="none" w:sz="0" w:space="0" w:color="auto"/>
      </w:divBdr>
    </w:div>
    <w:div w:id="1259098245">
      <w:bodyDiv w:val="1"/>
      <w:marLeft w:val="0"/>
      <w:marRight w:val="0"/>
      <w:marTop w:val="0"/>
      <w:marBottom w:val="0"/>
      <w:divBdr>
        <w:top w:val="none" w:sz="0" w:space="0" w:color="auto"/>
        <w:left w:val="none" w:sz="0" w:space="0" w:color="auto"/>
        <w:bottom w:val="none" w:sz="0" w:space="0" w:color="auto"/>
        <w:right w:val="none" w:sz="0" w:space="0" w:color="auto"/>
      </w:divBdr>
    </w:div>
    <w:div w:id="1262028775">
      <w:bodyDiv w:val="1"/>
      <w:marLeft w:val="0"/>
      <w:marRight w:val="0"/>
      <w:marTop w:val="0"/>
      <w:marBottom w:val="0"/>
      <w:divBdr>
        <w:top w:val="none" w:sz="0" w:space="0" w:color="auto"/>
        <w:left w:val="none" w:sz="0" w:space="0" w:color="auto"/>
        <w:bottom w:val="none" w:sz="0" w:space="0" w:color="auto"/>
        <w:right w:val="none" w:sz="0" w:space="0" w:color="auto"/>
      </w:divBdr>
    </w:div>
    <w:div w:id="1288586841">
      <w:bodyDiv w:val="1"/>
      <w:marLeft w:val="0"/>
      <w:marRight w:val="0"/>
      <w:marTop w:val="0"/>
      <w:marBottom w:val="0"/>
      <w:divBdr>
        <w:top w:val="none" w:sz="0" w:space="0" w:color="auto"/>
        <w:left w:val="none" w:sz="0" w:space="0" w:color="auto"/>
        <w:bottom w:val="none" w:sz="0" w:space="0" w:color="auto"/>
        <w:right w:val="none" w:sz="0" w:space="0" w:color="auto"/>
      </w:divBdr>
    </w:div>
    <w:div w:id="1298149292">
      <w:bodyDiv w:val="1"/>
      <w:marLeft w:val="0"/>
      <w:marRight w:val="0"/>
      <w:marTop w:val="0"/>
      <w:marBottom w:val="0"/>
      <w:divBdr>
        <w:top w:val="none" w:sz="0" w:space="0" w:color="auto"/>
        <w:left w:val="none" w:sz="0" w:space="0" w:color="auto"/>
        <w:bottom w:val="none" w:sz="0" w:space="0" w:color="auto"/>
        <w:right w:val="none" w:sz="0" w:space="0" w:color="auto"/>
      </w:divBdr>
    </w:div>
    <w:div w:id="1377894935">
      <w:bodyDiv w:val="1"/>
      <w:marLeft w:val="0"/>
      <w:marRight w:val="0"/>
      <w:marTop w:val="0"/>
      <w:marBottom w:val="0"/>
      <w:divBdr>
        <w:top w:val="none" w:sz="0" w:space="0" w:color="auto"/>
        <w:left w:val="none" w:sz="0" w:space="0" w:color="auto"/>
        <w:bottom w:val="none" w:sz="0" w:space="0" w:color="auto"/>
        <w:right w:val="none" w:sz="0" w:space="0" w:color="auto"/>
      </w:divBdr>
    </w:div>
    <w:div w:id="1412045017">
      <w:bodyDiv w:val="1"/>
      <w:marLeft w:val="0"/>
      <w:marRight w:val="0"/>
      <w:marTop w:val="0"/>
      <w:marBottom w:val="0"/>
      <w:divBdr>
        <w:top w:val="none" w:sz="0" w:space="0" w:color="auto"/>
        <w:left w:val="none" w:sz="0" w:space="0" w:color="auto"/>
        <w:bottom w:val="none" w:sz="0" w:space="0" w:color="auto"/>
        <w:right w:val="none" w:sz="0" w:space="0" w:color="auto"/>
      </w:divBdr>
    </w:div>
    <w:div w:id="1444960349">
      <w:bodyDiv w:val="1"/>
      <w:marLeft w:val="0"/>
      <w:marRight w:val="0"/>
      <w:marTop w:val="0"/>
      <w:marBottom w:val="0"/>
      <w:divBdr>
        <w:top w:val="none" w:sz="0" w:space="0" w:color="auto"/>
        <w:left w:val="none" w:sz="0" w:space="0" w:color="auto"/>
        <w:bottom w:val="none" w:sz="0" w:space="0" w:color="auto"/>
        <w:right w:val="none" w:sz="0" w:space="0" w:color="auto"/>
      </w:divBdr>
    </w:div>
    <w:div w:id="1463764870">
      <w:bodyDiv w:val="1"/>
      <w:marLeft w:val="0"/>
      <w:marRight w:val="0"/>
      <w:marTop w:val="0"/>
      <w:marBottom w:val="0"/>
      <w:divBdr>
        <w:top w:val="none" w:sz="0" w:space="0" w:color="auto"/>
        <w:left w:val="none" w:sz="0" w:space="0" w:color="auto"/>
        <w:bottom w:val="none" w:sz="0" w:space="0" w:color="auto"/>
        <w:right w:val="none" w:sz="0" w:space="0" w:color="auto"/>
      </w:divBdr>
    </w:div>
    <w:div w:id="1470129640">
      <w:bodyDiv w:val="1"/>
      <w:marLeft w:val="0"/>
      <w:marRight w:val="0"/>
      <w:marTop w:val="0"/>
      <w:marBottom w:val="0"/>
      <w:divBdr>
        <w:top w:val="none" w:sz="0" w:space="0" w:color="auto"/>
        <w:left w:val="none" w:sz="0" w:space="0" w:color="auto"/>
        <w:bottom w:val="none" w:sz="0" w:space="0" w:color="auto"/>
        <w:right w:val="none" w:sz="0" w:space="0" w:color="auto"/>
      </w:divBdr>
    </w:div>
    <w:div w:id="1502768197">
      <w:bodyDiv w:val="1"/>
      <w:marLeft w:val="0"/>
      <w:marRight w:val="0"/>
      <w:marTop w:val="0"/>
      <w:marBottom w:val="0"/>
      <w:divBdr>
        <w:top w:val="none" w:sz="0" w:space="0" w:color="auto"/>
        <w:left w:val="none" w:sz="0" w:space="0" w:color="auto"/>
        <w:bottom w:val="none" w:sz="0" w:space="0" w:color="auto"/>
        <w:right w:val="none" w:sz="0" w:space="0" w:color="auto"/>
      </w:divBdr>
    </w:div>
    <w:div w:id="1508402334">
      <w:bodyDiv w:val="1"/>
      <w:marLeft w:val="0"/>
      <w:marRight w:val="0"/>
      <w:marTop w:val="0"/>
      <w:marBottom w:val="0"/>
      <w:divBdr>
        <w:top w:val="none" w:sz="0" w:space="0" w:color="auto"/>
        <w:left w:val="none" w:sz="0" w:space="0" w:color="auto"/>
        <w:bottom w:val="none" w:sz="0" w:space="0" w:color="auto"/>
        <w:right w:val="none" w:sz="0" w:space="0" w:color="auto"/>
      </w:divBdr>
    </w:div>
    <w:div w:id="1516729495">
      <w:bodyDiv w:val="1"/>
      <w:marLeft w:val="0"/>
      <w:marRight w:val="0"/>
      <w:marTop w:val="0"/>
      <w:marBottom w:val="0"/>
      <w:divBdr>
        <w:top w:val="none" w:sz="0" w:space="0" w:color="auto"/>
        <w:left w:val="none" w:sz="0" w:space="0" w:color="auto"/>
        <w:bottom w:val="none" w:sz="0" w:space="0" w:color="auto"/>
        <w:right w:val="none" w:sz="0" w:space="0" w:color="auto"/>
      </w:divBdr>
    </w:div>
    <w:div w:id="1550457239">
      <w:bodyDiv w:val="1"/>
      <w:marLeft w:val="0"/>
      <w:marRight w:val="0"/>
      <w:marTop w:val="0"/>
      <w:marBottom w:val="0"/>
      <w:divBdr>
        <w:top w:val="none" w:sz="0" w:space="0" w:color="auto"/>
        <w:left w:val="none" w:sz="0" w:space="0" w:color="auto"/>
        <w:bottom w:val="none" w:sz="0" w:space="0" w:color="auto"/>
        <w:right w:val="none" w:sz="0" w:space="0" w:color="auto"/>
      </w:divBdr>
    </w:div>
    <w:div w:id="1575117367">
      <w:bodyDiv w:val="1"/>
      <w:marLeft w:val="0"/>
      <w:marRight w:val="0"/>
      <w:marTop w:val="0"/>
      <w:marBottom w:val="0"/>
      <w:divBdr>
        <w:top w:val="none" w:sz="0" w:space="0" w:color="auto"/>
        <w:left w:val="none" w:sz="0" w:space="0" w:color="auto"/>
        <w:bottom w:val="none" w:sz="0" w:space="0" w:color="auto"/>
        <w:right w:val="none" w:sz="0" w:space="0" w:color="auto"/>
      </w:divBdr>
    </w:div>
    <w:div w:id="1618173814">
      <w:bodyDiv w:val="1"/>
      <w:marLeft w:val="0"/>
      <w:marRight w:val="0"/>
      <w:marTop w:val="0"/>
      <w:marBottom w:val="0"/>
      <w:divBdr>
        <w:top w:val="none" w:sz="0" w:space="0" w:color="auto"/>
        <w:left w:val="none" w:sz="0" w:space="0" w:color="auto"/>
        <w:bottom w:val="none" w:sz="0" w:space="0" w:color="auto"/>
        <w:right w:val="none" w:sz="0" w:space="0" w:color="auto"/>
      </w:divBdr>
    </w:div>
    <w:div w:id="1630739341">
      <w:bodyDiv w:val="1"/>
      <w:marLeft w:val="0"/>
      <w:marRight w:val="0"/>
      <w:marTop w:val="0"/>
      <w:marBottom w:val="0"/>
      <w:divBdr>
        <w:top w:val="none" w:sz="0" w:space="0" w:color="auto"/>
        <w:left w:val="none" w:sz="0" w:space="0" w:color="auto"/>
        <w:bottom w:val="none" w:sz="0" w:space="0" w:color="auto"/>
        <w:right w:val="none" w:sz="0" w:space="0" w:color="auto"/>
      </w:divBdr>
    </w:div>
    <w:div w:id="1666278805">
      <w:bodyDiv w:val="1"/>
      <w:marLeft w:val="0"/>
      <w:marRight w:val="0"/>
      <w:marTop w:val="0"/>
      <w:marBottom w:val="0"/>
      <w:divBdr>
        <w:top w:val="none" w:sz="0" w:space="0" w:color="auto"/>
        <w:left w:val="none" w:sz="0" w:space="0" w:color="auto"/>
        <w:bottom w:val="none" w:sz="0" w:space="0" w:color="auto"/>
        <w:right w:val="none" w:sz="0" w:space="0" w:color="auto"/>
      </w:divBdr>
    </w:div>
    <w:div w:id="1706710860">
      <w:bodyDiv w:val="1"/>
      <w:marLeft w:val="0"/>
      <w:marRight w:val="0"/>
      <w:marTop w:val="0"/>
      <w:marBottom w:val="0"/>
      <w:divBdr>
        <w:top w:val="none" w:sz="0" w:space="0" w:color="auto"/>
        <w:left w:val="none" w:sz="0" w:space="0" w:color="auto"/>
        <w:bottom w:val="none" w:sz="0" w:space="0" w:color="auto"/>
        <w:right w:val="none" w:sz="0" w:space="0" w:color="auto"/>
      </w:divBdr>
    </w:div>
    <w:div w:id="1717201193">
      <w:bodyDiv w:val="1"/>
      <w:marLeft w:val="0"/>
      <w:marRight w:val="0"/>
      <w:marTop w:val="0"/>
      <w:marBottom w:val="0"/>
      <w:divBdr>
        <w:top w:val="none" w:sz="0" w:space="0" w:color="auto"/>
        <w:left w:val="none" w:sz="0" w:space="0" w:color="auto"/>
        <w:bottom w:val="none" w:sz="0" w:space="0" w:color="auto"/>
        <w:right w:val="none" w:sz="0" w:space="0" w:color="auto"/>
      </w:divBdr>
    </w:div>
    <w:div w:id="1732607114">
      <w:bodyDiv w:val="1"/>
      <w:marLeft w:val="0"/>
      <w:marRight w:val="0"/>
      <w:marTop w:val="0"/>
      <w:marBottom w:val="0"/>
      <w:divBdr>
        <w:top w:val="none" w:sz="0" w:space="0" w:color="auto"/>
        <w:left w:val="none" w:sz="0" w:space="0" w:color="auto"/>
        <w:bottom w:val="none" w:sz="0" w:space="0" w:color="auto"/>
        <w:right w:val="none" w:sz="0" w:space="0" w:color="auto"/>
      </w:divBdr>
    </w:div>
    <w:div w:id="1756317034">
      <w:bodyDiv w:val="1"/>
      <w:marLeft w:val="0"/>
      <w:marRight w:val="0"/>
      <w:marTop w:val="0"/>
      <w:marBottom w:val="0"/>
      <w:divBdr>
        <w:top w:val="none" w:sz="0" w:space="0" w:color="auto"/>
        <w:left w:val="none" w:sz="0" w:space="0" w:color="auto"/>
        <w:bottom w:val="none" w:sz="0" w:space="0" w:color="auto"/>
        <w:right w:val="none" w:sz="0" w:space="0" w:color="auto"/>
      </w:divBdr>
    </w:div>
    <w:div w:id="1756439029">
      <w:bodyDiv w:val="1"/>
      <w:marLeft w:val="0"/>
      <w:marRight w:val="0"/>
      <w:marTop w:val="0"/>
      <w:marBottom w:val="0"/>
      <w:divBdr>
        <w:top w:val="none" w:sz="0" w:space="0" w:color="auto"/>
        <w:left w:val="none" w:sz="0" w:space="0" w:color="auto"/>
        <w:bottom w:val="none" w:sz="0" w:space="0" w:color="auto"/>
        <w:right w:val="none" w:sz="0" w:space="0" w:color="auto"/>
      </w:divBdr>
    </w:div>
    <w:div w:id="1780028624">
      <w:bodyDiv w:val="1"/>
      <w:marLeft w:val="0"/>
      <w:marRight w:val="0"/>
      <w:marTop w:val="0"/>
      <w:marBottom w:val="0"/>
      <w:divBdr>
        <w:top w:val="none" w:sz="0" w:space="0" w:color="auto"/>
        <w:left w:val="none" w:sz="0" w:space="0" w:color="auto"/>
        <w:bottom w:val="none" w:sz="0" w:space="0" w:color="auto"/>
        <w:right w:val="none" w:sz="0" w:space="0" w:color="auto"/>
      </w:divBdr>
    </w:div>
    <w:div w:id="1810323238">
      <w:bodyDiv w:val="1"/>
      <w:marLeft w:val="0"/>
      <w:marRight w:val="0"/>
      <w:marTop w:val="0"/>
      <w:marBottom w:val="0"/>
      <w:divBdr>
        <w:top w:val="none" w:sz="0" w:space="0" w:color="auto"/>
        <w:left w:val="none" w:sz="0" w:space="0" w:color="auto"/>
        <w:bottom w:val="none" w:sz="0" w:space="0" w:color="auto"/>
        <w:right w:val="none" w:sz="0" w:space="0" w:color="auto"/>
      </w:divBdr>
    </w:div>
    <w:div w:id="1866552753">
      <w:bodyDiv w:val="1"/>
      <w:marLeft w:val="0"/>
      <w:marRight w:val="0"/>
      <w:marTop w:val="0"/>
      <w:marBottom w:val="0"/>
      <w:divBdr>
        <w:top w:val="none" w:sz="0" w:space="0" w:color="auto"/>
        <w:left w:val="none" w:sz="0" w:space="0" w:color="auto"/>
        <w:bottom w:val="none" w:sz="0" w:space="0" w:color="auto"/>
        <w:right w:val="none" w:sz="0" w:space="0" w:color="auto"/>
      </w:divBdr>
    </w:div>
    <w:div w:id="1905602426">
      <w:bodyDiv w:val="1"/>
      <w:marLeft w:val="0"/>
      <w:marRight w:val="0"/>
      <w:marTop w:val="0"/>
      <w:marBottom w:val="0"/>
      <w:divBdr>
        <w:top w:val="none" w:sz="0" w:space="0" w:color="auto"/>
        <w:left w:val="none" w:sz="0" w:space="0" w:color="auto"/>
        <w:bottom w:val="none" w:sz="0" w:space="0" w:color="auto"/>
        <w:right w:val="none" w:sz="0" w:space="0" w:color="auto"/>
      </w:divBdr>
    </w:div>
    <w:div w:id="1917668580">
      <w:bodyDiv w:val="1"/>
      <w:marLeft w:val="0"/>
      <w:marRight w:val="0"/>
      <w:marTop w:val="0"/>
      <w:marBottom w:val="0"/>
      <w:divBdr>
        <w:top w:val="none" w:sz="0" w:space="0" w:color="auto"/>
        <w:left w:val="none" w:sz="0" w:space="0" w:color="auto"/>
        <w:bottom w:val="none" w:sz="0" w:space="0" w:color="auto"/>
        <w:right w:val="none" w:sz="0" w:space="0" w:color="auto"/>
      </w:divBdr>
    </w:div>
    <w:div w:id="1937859029">
      <w:bodyDiv w:val="1"/>
      <w:marLeft w:val="0"/>
      <w:marRight w:val="0"/>
      <w:marTop w:val="0"/>
      <w:marBottom w:val="0"/>
      <w:divBdr>
        <w:top w:val="none" w:sz="0" w:space="0" w:color="auto"/>
        <w:left w:val="none" w:sz="0" w:space="0" w:color="auto"/>
        <w:bottom w:val="none" w:sz="0" w:space="0" w:color="auto"/>
        <w:right w:val="none" w:sz="0" w:space="0" w:color="auto"/>
      </w:divBdr>
    </w:div>
    <w:div w:id="1972401912">
      <w:bodyDiv w:val="1"/>
      <w:marLeft w:val="0"/>
      <w:marRight w:val="0"/>
      <w:marTop w:val="0"/>
      <w:marBottom w:val="0"/>
      <w:divBdr>
        <w:top w:val="none" w:sz="0" w:space="0" w:color="auto"/>
        <w:left w:val="none" w:sz="0" w:space="0" w:color="auto"/>
        <w:bottom w:val="none" w:sz="0" w:space="0" w:color="auto"/>
        <w:right w:val="none" w:sz="0" w:space="0" w:color="auto"/>
      </w:divBdr>
    </w:div>
    <w:div w:id="1995377134">
      <w:bodyDiv w:val="1"/>
      <w:marLeft w:val="0"/>
      <w:marRight w:val="0"/>
      <w:marTop w:val="0"/>
      <w:marBottom w:val="0"/>
      <w:divBdr>
        <w:top w:val="none" w:sz="0" w:space="0" w:color="auto"/>
        <w:left w:val="none" w:sz="0" w:space="0" w:color="auto"/>
        <w:bottom w:val="none" w:sz="0" w:space="0" w:color="auto"/>
        <w:right w:val="none" w:sz="0" w:space="0" w:color="auto"/>
      </w:divBdr>
    </w:div>
    <w:div w:id="2012760069">
      <w:bodyDiv w:val="1"/>
      <w:marLeft w:val="0"/>
      <w:marRight w:val="0"/>
      <w:marTop w:val="0"/>
      <w:marBottom w:val="0"/>
      <w:divBdr>
        <w:top w:val="none" w:sz="0" w:space="0" w:color="auto"/>
        <w:left w:val="none" w:sz="0" w:space="0" w:color="auto"/>
        <w:bottom w:val="none" w:sz="0" w:space="0" w:color="auto"/>
        <w:right w:val="none" w:sz="0" w:space="0" w:color="auto"/>
      </w:divBdr>
    </w:div>
    <w:div w:id="21184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transparencia.sie.gob.do/estructura-organica-de-la-institucio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3.xm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r>
              <a:rPr lang="es-DO" sz="1200" b="1">
                <a:solidFill>
                  <a:srgbClr val="767171"/>
                </a:solidFill>
                <a:latin typeface="Times New Roman" panose="02020603050405020304" pitchFamily="18" charset="0"/>
                <a:cs typeface="Times New Roman" panose="02020603050405020304" pitchFamily="18" charset="0"/>
              </a:rPr>
              <a:t>Solicitudes</a:t>
            </a:r>
            <a:r>
              <a:rPr lang="es-DO" sz="1200" b="1" baseline="0">
                <a:solidFill>
                  <a:srgbClr val="767171"/>
                </a:solidFill>
                <a:latin typeface="Times New Roman" panose="02020603050405020304" pitchFamily="18" charset="0"/>
                <a:cs typeface="Times New Roman" panose="02020603050405020304" pitchFamily="18" charset="0"/>
              </a:rPr>
              <a:t> Recibidas</a:t>
            </a:r>
            <a:endParaRPr lang="es-DO" sz="1200" b="1">
              <a:solidFill>
                <a:srgbClr val="76717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col"/>
        <c:grouping val="clustered"/>
        <c:varyColors val="0"/>
        <c:ser>
          <c:idx val="0"/>
          <c:order val="0"/>
          <c:tx>
            <c:strRef>
              <c:f>Hoja1!$C$5:$C$6</c:f>
              <c:strCache>
                <c:ptCount val="2"/>
                <c:pt idx="0">
                  <c:v>Trimestre </c:v>
                </c:pt>
                <c:pt idx="1">
                  <c:v>Enero-Marzo</c:v>
                </c:pt>
              </c:strCache>
            </c:strRef>
          </c:tx>
          <c:spPr>
            <a:solidFill>
              <a:srgbClr val="011C50"/>
            </a:solidFill>
            <a:ln>
              <a:solidFill>
                <a:srgbClr val="011C50"/>
              </a:solidFill>
            </a:ln>
            <a:effectLst/>
          </c:spPr>
          <c:invertIfNegative val="0"/>
          <c:cat>
            <c:strRef>
              <c:f>Hoja1!$B$7:$B$12</c:f>
              <c:strCache>
                <c:ptCount val="6"/>
                <c:pt idx="0">
                  <c:v>Personal</c:v>
                </c:pt>
                <c:pt idx="1">
                  <c:v>Correo Electrónico</c:v>
                </c:pt>
                <c:pt idx="2">
                  <c:v>SAIP</c:v>
                </c:pt>
                <c:pt idx="3">
                  <c:v>Llamada</c:v>
                </c:pt>
                <c:pt idx="4">
                  <c:v>311</c:v>
                </c:pt>
                <c:pt idx="5">
                  <c:v>Total Recibidas</c:v>
                </c:pt>
              </c:strCache>
            </c:strRef>
          </c:cat>
          <c:val>
            <c:numRef>
              <c:f>Hoja1!$C$7:$C$12</c:f>
              <c:numCache>
                <c:formatCode>General</c:formatCode>
                <c:ptCount val="6"/>
                <c:pt idx="0">
                  <c:v>0</c:v>
                </c:pt>
                <c:pt idx="1">
                  <c:v>9</c:v>
                </c:pt>
                <c:pt idx="2">
                  <c:v>14</c:v>
                </c:pt>
                <c:pt idx="3">
                  <c:v>0</c:v>
                </c:pt>
                <c:pt idx="4">
                  <c:v>5</c:v>
                </c:pt>
                <c:pt idx="5">
                  <c:v>28</c:v>
                </c:pt>
              </c:numCache>
            </c:numRef>
          </c:val>
          <c:extLst>
            <c:ext xmlns:c16="http://schemas.microsoft.com/office/drawing/2014/chart" uri="{C3380CC4-5D6E-409C-BE32-E72D297353CC}">
              <c16:uniqueId val="{00000000-59A4-4716-A224-A320B77C7E58}"/>
            </c:ext>
          </c:extLst>
        </c:ser>
        <c:ser>
          <c:idx val="1"/>
          <c:order val="1"/>
          <c:tx>
            <c:strRef>
              <c:f>Hoja1!$D$5:$D$6</c:f>
              <c:strCache>
                <c:ptCount val="2"/>
                <c:pt idx="0">
                  <c:v>Trimestre</c:v>
                </c:pt>
                <c:pt idx="1">
                  <c:v>Abr-Jun</c:v>
                </c:pt>
              </c:strCache>
            </c:strRef>
          </c:tx>
          <c:spPr>
            <a:solidFill>
              <a:srgbClr val="FFDE59"/>
            </a:solidFill>
            <a:ln>
              <a:solidFill>
                <a:srgbClr val="FFDE59"/>
              </a:solidFill>
            </a:ln>
            <a:effectLst/>
          </c:spPr>
          <c:invertIfNegative val="0"/>
          <c:cat>
            <c:strRef>
              <c:f>Hoja1!$B$7:$B$12</c:f>
              <c:strCache>
                <c:ptCount val="6"/>
                <c:pt idx="0">
                  <c:v>Personal</c:v>
                </c:pt>
                <c:pt idx="1">
                  <c:v>Correo Electrónico</c:v>
                </c:pt>
                <c:pt idx="2">
                  <c:v>SAIP</c:v>
                </c:pt>
                <c:pt idx="3">
                  <c:v>Llamada</c:v>
                </c:pt>
                <c:pt idx="4">
                  <c:v>311</c:v>
                </c:pt>
                <c:pt idx="5">
                  <c:v>Total Recibidas</c:v>
                </c:pt>
              </c:strCache>
            </c:strRef>
          </c:cat>
          <c:val>
            <c:numRef>
              <c:f>Hoja1!$D$7:$D$12</c:f>
              <c:numCache>
                <c:formatCode>General</c:formatCode>
                <c:ptCount val="6"/>
                <c:pt idx="0">
                  <c:v>0</c:v>
                </c:pt>
                <c:pt idx="1">
                  <c:v>8</c:v>
                </c:pt>
                <c:pt idx="2">
                  <c:v>12</c:v>
                </c:pt>
                <c:pt idx="3">
                  <c:v>0</c:v>
                </c:pt>
                <c:pt idx="4">
                  <c:v>9</c:v>
                </c:pt>
                <c:pt idx="5">
                  <c:v>29</c:v>
                </c:pt>
              </c:numCache>
            </c:numRef>
          </c:val>
          <c:extLst>
            <c:ext xmlns:c16="http://schemas.microsoft.com/office/drawing/2014/chart" uri="{C3380CC4-5D6E-409C-BE32-E72D297353CC}">
              <c16:uniqueId val="{00000001-59A4-4716-A224-A320B77C7E58}"/>
            </c:ext>
          </c:extLst>
        </c:ser>
        <c:ser>
          <c:idx val="2"/>
          <c:order val="2"/>
          <c:tx>
            <c:strRef>
              <c:f>Hoja1!$E$5:$E$6</c:f>
              <c:strCache>
                <c:ptCount val="2"/>
                <c:pt idx="0">
                  <c:v>Trimestre</c:v>
                </c:pt>
                <c:pt idx="1">
                  <c:v>Jul-Agosto</c:v>
                </c:pt>
              </c:strCache>
            </c:strRef>
          </c:tx>
          <c:spPr>
            <a:solidFill>
              <a:srgbClr val="D9D9D9"/>
            </a:solidFill>
            <a:ln>
              <a:solidFill>
                <a:srgbClr val="D9D9D9"/>
              </a:solidFill>
            </a:ln>
            <a:effectLst/>
          </c:spPr>
          <c:invertIfNegative val="0"/>
          <c:cat>
            <c:strRef>
              <c:f>Hoja1!$B$7:$B$12</c:f>
              <c:strCache>
                <c:ptCount val="6"/>
                <c:pt idx="0">
                  <c:v>Personal</c:v>
                </c:pt>
                <c:pt idx="1">
                  <c:v>Correo Electrónico</c:v>
                </c:pt>
                <c:pt idx="2">
                  <c:v>SAIP</c:v>
                </c:pt>
                <c:pt idx="3">
                  <c:v>Llamada</c:v>
                </c:pt>
                <c:pt idx="4">
                  <c:v>311</c:v>
                </c:pt>
                <c:pt idx="5">
                  <c:v>Total Recibidas</c:v>
                </c:pt>
              </c:strCache>
            </c:strRef>
          </c:cat>
          <c:val>
            <c:numRef>
              <c:f>Hoja1!$E$7:$E$12</c:f>
              <c:numCache>
                <c:formatCode>General</c:formatCode>
                <c:ptCount val="6"/>
                <c:pt idx="0">
                  <c:v>2</c:v>
                </c:pt>
                <c:pt idx="1">
                  <c:v>23</c:v>
                </c:pt>
                <c:pt idx="2">
                  <c:v>13</c:v>
                </c:pt>
                <c:pt idx="3">
                  <c:v>0</c:v>
                </c:pt>
                <c:pt idx="4">
                  <c:v>10</c:v>
                </c:pt>
                <c:pt idx="5">
                  <c:v>48</c:v>
                </c:pt>
              </c:numCache>
            </c:numRef>
          </c:val>
          <c:extLst>
            <c:ext xmlns:c16="http://schemas.microsoft.com/office/drawing/2014/chart" uri="{C3380CC4-5D6E-409C-BE32-E72D297353CC}">
              <c16:uniqueId val="{00000002-59A4-4716-A224-A320B77C7E58}"/>
            </c:ext>
          </c:extLst>
        </c:ser>
        <c:ser>
          <c:idx val="3"/>
          <c:order val="3"/>
          <c:tx>
            <c:strRef>
              <c:f>Hoja1!$F$5:$F$6</c:f>
              <c:strCache>
                <c:ptCount val="2"/>
                <c:pt idx="0">
                  <c:v>Bimestre</c:v>
                </c:pt>
                <c:pt idx="1">
                  <c:v>Oct-Nov</c:v>
                </c:pt>
              </c:strCache>
            </c:strRef>
          </c:tx>
          <c:spPr>
            <a:solidFill>
              <a:srgbClr val="73DEDD"/>
            </a:solidFill>
            <a:ln>
              <a:solidFill>
                <a:srgbClr val="73DEDD"/>
              </a:solidFill>
            </a:ln>
            <a:effectLst/>
          </c:spPr>
          <c:invertIfNegative val="0"/>
          <c:cat>
            <c:strRef>
              <c:f>Hoja1!$B$7:$B$12</c:f>
              <c:strCache>
                <c:ptCount val="6"/>
                <c:pt idx="0">
                  <c:v>Personal</c:v>
                </c:pt>
                <c:pt idx="1">
                  <c:v>Correo Electrónico</c:v>
                </c:pt>
                <c:pt idx="2">
                  <c:v>SAIP</c:v>
                </c:pt>
                <c:pt idx="3">
                  <c:v>Llamada</c:v>
                </c:pt>
                <c:pt idx="4">
                  <c:v>311</c:v>
                </c:pt>
                <c:pt idx="5">
                  <c:v>Total Recibidas</c:v>
                </c:pt>
              </c:strCache>
            </c:strRef>
          </c:cat>
          <c:val>
            <c:numRef>
              <c:f>Hoja1!$F$7:$F$12</c:f>
              <c:numCache>
                <c:formatCode>General</c:formatCode>
                <c:ptCount val="6"/>
                <c:pt idx="0">
                  <c:v>1</c:v>
                </c:pt>
                <c:pt idx="1">
                  <c:v>15</c:v>
                </c:pt>
                <c:pt idx="2">
                  <c:v>20</c:v>
                </c:pt>
                <c:pt idx="3">
                  <c:v>0</c:v>
                </c:pt>
                <c:pt idx="4">
                  <c:v>8</c:v>
                </c:pt>
                <c:pt idx="5">
                  <c:v>44</c:v>
                </c:pt>
              </c:numCache>
            </c:numRef>
          </c:val>
          <c:extLst>
            <c:ext xmlns:c16="http://schemas.microsoft.com/office/drawing/2014/chart" uri="{C3380CC4-5D6E-409C-BE32-E72D297353CC}">
              <c16:uniqueId val="{00000003-59A4-4716-A224-A320B77C7E58}"/>
            </c:ext>
          </c:extLst>
        </c:ser>
        <c:dLbls>
          <c:showLegendKey val="0"/>
          <c:showVal val="0"/>
          <c:showCatName val="0"/>
          <c:showSerName val="0"/>
          <c:showPercent val="0"/>
          <c:showBubbleSize val="0"/>
        </c:dLbls>
        <c:gapWidth val="219"/>
        <c:overlap val="-27"/>
        <c:axId val="625332672"/>
        <c:axId val="839498175"/>
      </c:barChart>
      <c:catAx>
        <c:axId val="62533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839498175"/>
        <c:crosses val="autoZero"/>
        <c:auto val="1"/>
        <c:lblAlgn val="ctr"/>
        <c:lblOffset val="100"/>
        <c:noMultiLvlLbl val="0"/>
      </c:catAx>
      <c:valAx>
        <c:axId val="839498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62533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200">
                <a:latin typeface="Times New Roman" panose="02020603050405020304" pitchFamily="18" charset="0"/>
                <a:cs typeface="Times New Roman" panose="02020603050405020304" pitchFamily="18" charset="0"/>
              </a:rPr>
              <a:t>Tiempo Promedio Respuesta expresado en dias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'Memorias 24'!$C$67</c:f>
              <c:strCache>
                <c:ptCount val="1"/>
                <c:pt idx="0">
                  <c:v>Tiempo Promedio Respuesta</c:v>
                </c:pt>
              </c:strCache>
            </c:strRef>
          </c:tx>
          <c:spPr>
            <a:solidFill>
              <a:schemeClr val="accent1"/>
            </a:solidFill>
            <a:ln>
              <a:noFill/>
            </a:ln>
            <a:effectLst/>
          </c:spPr>
          <c:invertIfNegative val="0"/>
          <c:cat>
            <c:strRef>
              <c:f>'Memorias 24'!$B$68:$B$77</c:f>
              <c:strCache>
                <c:ptCount val="10"/>
                <c:pt idx="0">
                  <c:v>Enero</c:v>
                </c:pt>
                <c:pt idx="1">
                  <c:v>Febrero</c:v>
                </c:pt>
                <c:pt idx="2">
                  <c:v>Marzo</c:v>
                </c:pt>
                <c:pt idx="3">
                  <c:v>Abril</c:v>
                </c:pt>
                <c:pt idx="4">
                  <c:v>Mayo</c:v>
                </c:pt>
                <c:pt idx="5">
                  <c:v>Junio</c:v>
                </c:pt>
                <c:pt idx="6">
                  <c:v>Julio</c:v>
                </c:pt>
                <c:pt idx="7">
                  <c:v>Agosto</c:v>
                </c:pt>
                <c:pt idx="8">
                  <c:v>Septiembre</c:v>
                </c:pt>
                <c:pt idx="9">
                  <c:v>Noviembre</c:v>
                </c:pt>
              </c:strCache>
            </c:strRef>
          </c:cat>
          <c:val>
            <c:numRef>
              <c:f>'Memorias 24'!$C$68:$C$77</c:f>
              <c:numCache>
                <c:formatCode>General</c:formatCode>
                <c:ptCount val="10"/>
                <c:pt idx="0">
                  <c:v>9.3000000000000007</c:v>
                </c:pt>
                <c:pt idx="1">
                  <c:v>2.2799999999999998</c:v>
                </c:pt>
                <c:pt idx="2">
                  <c:v>7.75</c:v>
                </c:pt>
                <c:pt idx="3">
                  <c:v>3.8</c:v>
                </c:pt>
                <c:pt idx="4">
                  <c:v>5.7</c:v>
                </c:pt>
                <c:pt idx="5">
                  <c:v>1.8</c:v>
                </c:pt>
                <c:pt idx="6">
                  <c:v>4.8</c:v>
                </c:pt>
                <c:pt idx="7">
                  <c:v>2.5</c:v>
                </c:pt>
                <c:pt idx="8">
                  <c:v>3.5</c:v>
                </c:pt>
                <c:pt idx="9">
                  <c:v>5.3</c:v>
                </c:pt>
              </c:numCache>
            </c:numRef>
          </c:val>
          <c:extLst>
            <c:ext xmlns:c16="http://schemas.microsoft.com/office/drawing/2014/chart" uri="{C3380CC4-5D6E-409C-BE32-E72D297353CC}">
              <c16:uniqueId val="{00000000-E9D7-4DE1-BD48-1271131D2034}"/>
            </c:ext>
          </c:extLst>
        </c:ser>
        <c:dLbls>
          <c:showLegendKey val="0"/>
          <c:showVal val="0"/>
          <c:showCatName val="0"/>
          <c:showSerName val="0"/>
          <c:showPercent val="0"/>
          <c:showBubbleSize val="0"/>
        </c:dLbls>
        <c:gapWidth val="182"/>
        <c:axId val="279202991"/>
        <c:axId val="279194351"/>
      </c:barChart>
      <c:catAx>
        <c:axId val="279202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crossAx val="279194351"/>
        <c:crosses val="autoZero"/>
        <c:auto val="1"/>
        <c:lblAlgn val="ctr"/>
        <c:lblOffset val="100"/>
        <c:noMultiLvlLbl val="0"/>
      </c:catAx>
      <c:valAx>
        <c:axId val="279194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79202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Calificación evaluación mensual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'Memorias 24'!$O$8</c:f>
              <c:strCache>
                <c:ptCount val="1"/>
                <c:pt idx="0">
                  <c:v>calificación evaluación</c:v>
                </c:pt>
              </c:strCache>
            </c:strRef>
          </c:tx>
          <c:spPr>
            <a:solidFill>
              <a:schemeClr val="accent1"/>
            </a:solidFill>
            <a:ln>
              <a:noFill/>
            </a:ln>
            <a:effectLst/>
          </c:spPr>
          <c:invertIfNegative val="0"/>
          <c:cat>
            <c:strRef>
              <c:f>'Memorias 24'!$N$9:$N$17</c:f>
              <c:strCache>
                <c:ptCount val="9"/>
                <c:pt idx="0">
                  <c:v>Enero</c:v>
                </c:pt>
                <c:pt idx="1">
                  <c:v>Febrero</c:v>
                </c:pt>
                <c:pt idx="2">
                  <c:v>Marzo</c:v>
                </c:pt>
                <c:pt idx="3">
                  <c:v>Abril</c:v>
                </c:pt>
                <c:pt idx="4">
                  <c:v>Mayo</c:v>
                </c:pt>
                <c:pt idx="5">
                  <c:v>Junio</c:v>
                </c:pt>
                <c:pt idx="6">
                  <c:v>Julio</c:v>
                </c:pt>
                <c:pt idx="7">
                  <c:v>Agosto</c:v>
                </c:pt>
                <c:pt idx="8">
                  <c:v>Sept</c:v>
                </c:pt>
              </c:strCache>
            </c:strRef>
          </c:cat>
          <c:val>
            <c:numRef>
              <c:f>'Memorias 24'!$O$9:$O$17</c:f>
              <c:numCache>
                <c:formatCode>General</c:formatCode>
                <c:ptCount val="9"/>
                <c:pt idx="0">
                  <c:v>94.97</c:v>
                </c:pt>
                <c:pt idx="1">
                  <c:v>98.4</c:v>
                </c:pt>
                <c:pt idx="2">
                  <c:v>93.2</c:v>
                </c:pt>
                <c:pt idx="3">
                  <c:v>95.97</c:v>
                </c:pt>
                <c:pt idx="4">
                  <c:v>97.96</c:v>
                </c:pt>
                <c:pt idx="5">
                  <c:v>99.39</c:v>
                </c:pt>
                <c:pt idx="6">
                  <c:v>96.99</c:v>
                </c:pt>
                <c:pt idx="7">
                  <c:v>99.73</c:v>
                </c:pt>
                <c:pt idx="8">
                  <c:v>96.81</c:v>
                </c:pt>
              </c:numCache>
            </c:numRef>
          </c:val>
          <c:extLst>
            <c:ext xmlns:c16="http://schemas.microsoft.com/office/drawing/2014/chart" uri="{C3380CC4-5D6E-409C-BE32-E72D297353CC}">
              <c16:uniqueId val="{00000000-8B6A-409A-93A7-9351732F6CCE}"/>
            </c:ext>
          </c:extLst>
        </c:ser>
        <c:dLbls>
          <c:showLegendKey val="0"/>
          <c:showVal val="0"/>
          <c:showCatName val="0"/>
          <c:showSerName val="0"/>
          <c:showPercent val="0"/>
          <c:showBubbleSize val="0"/>
        </c:dLbls>
        <c:gapWidth val="182"/>
        <c:axId val="1576524991"/>
        <c:axId val="1576525471"/>
      </c:barChart>
      <c:catAx>
        <c:axId val="1576524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76525471"/>
        <c:crosses val="autoZero"/>
        <c:auto val="1"/>
        <c:lblAlgn val="ctr"/>
        <c:lblOffset val="100"/>
        <c:noMultiLvlLbl val="0"/>
      </c:catAx>
      <c:valAx>
        <c:axId val="15765254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76524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Personalizado 2">
      <a:dk1>
        <a:sysClr val="windowText" lastClr="000000"/>
      </a:dk1>
      <a:lt1>
        <a:sysClr val="window" lastClr="FFFFFF"/>
      </a:lt1>
      <a:dk2>
        <a:srgbClr val="44546A"/>
      </a:dk2>
      <a:lt2>
        <a:srgbClr val="E7E6E6"/>
      </a:lt2>
      <a:accent1>
        <a:srgbClr val="011C5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73</Pages>
  <Words>20518</Words>
  <Characters>112854</Characters>
  <Application>Microsoft Office Word</Application>
  <DocSecurity>0</DocSecurity>
  <Lines>940</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Emmanuel De Jesus  Paredes Coste</cp:lastModifiedBy>
  <cp:revision>14</cp:revision>
  <cp:lastPrinted>2024-12-19T13:59:00Z</cp:lastPrinted>
  <dcterms:created xsi:type="dcterms:W3CDTF">2024-12-19T19:42:00Z</dcterms:created>
  <dcterms:modified xsi:type="dcterms:W3CDTF">2024-12-27T03:34:00Z</dcterms:modified>
</cp:coreProperties>
</file>